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rPr>
          <w:rFonts w:hint="eastAsia" w:ascii="Times New Roman" w:hAnsi="Times New Roman" w:eastAsia="方正小标宋简体" w:cs="Times New Roman"/>
          <w:color w:val="auto"/>
          <w:kern w:val="2"/>
          <w:sz w:val="72"/>
          <w:szCs w:val="72"/>
          <w:highlight w:val="none"/>
          <w:lang w:val="en-US" w:eastAsia="zh-CN" w:bidi="ar-SA"/>
        </w:rPr>
      </w:pPr>
      <w:bookmarkStart w:id="0" w:name="_Toc15377193"/>
      <w:bookmarkStart w:id="1" w:name="_Toc15396475"/>
      <w:bookmarkStart w:id="2" w:name="_Toc15378441"/>
      <w:bookmarkStart w:id="3" w:name="_Toc15377425"/>
      <w:bookmarkStart w:id="4" w:name="_Toc15396597"/>
      <w:bookmarkStart w:id="5" w:name="_Toc15306267"/>
    </w:p>
    <w:p>
      <w:pPr>
        <w:pStyle w:val="5"/>
        <w:rPr>
          <w:rFonts w:hint="eastAsia" w:ascii="Times New Roman" w:hAnsi="Times New Roman" w:eastAsia="方正小标宋简体" w:cs="Times New Roman"/>
          <w:color w:val="auto"/>
          <w:kern w:val="2"/>
          <w:sz w:val="72"/>
          <w:szCs w:val="72"/>
          <w:highlight w:val="none"/>
          <w:lang w:val="en-US" w:eastAsia="zh-CN" w:bidi="ar-SA"/>
        </w:rPr>
      </w:pPr>
    </w:p>
    <w:p>
      <w:pPr>
        <w:pStyle w:val="5"/>
        <w:rPr>
          <w:rFonts w:hint="eastAsia" w:ascii="Times New Roman" w:hAnsi="Times New Roman" w:eastAsia="方正小标宋简体" w:cs="Times New Roman"/>
          <w:color w:val="auto"/>
          <w:kern w:val="2"/>
          <w:sz w:val="72"/>
          <w:szCs w:val="72"/>
          <w:highlight w:val="none"/>
          <w:lang w:val="en-US" w:eastAsia="zh-CN" w:bidi="ar-SA"/>
        </w:rPr>
      </w:pPr>
    </w:p>
    <w:p>
      <w:pPr>
        <w:adjustRightInd w:val="0"/>
        <w:snapToGrid w:val="0"/>
        <w:spacing w:line="360" w:lineRule="auto"/>
        <w:jc w:val="center"/>
        <w:outlineLvl w:val="0"/>
        <w:rPr>
          <w:rFonts w:hint="eastAsia" w:ascii="方正小标宋简体" w:hAnsi="方正小标宋简体" w:eastAsia="方正小标宋简体" w:cs="方正小标宋简体"/>
          <w:sz w:val="72"/>
          <w:szCs w:val="72"/>
        </w:rPr>
      </w:pPr>
      <w:r>
        <w:rPr>
          <w:rFonts w:hint="eastAsia" w:ascii="方正小标宋简体" w:hAnsi="方正小标宋简体" w:eastAsia="方正小标宋简体" w:cs="方正小标宋简体"/>
          <w:sz w:val="72"/>
          <w:szCs w:val="72"/>
        </w:rPr>
        <w:t>202</w:t>
      </w:r>
      <w:r>
        <w:rPr>
          <w:rFonts w:hint="eastAsia" w:ascii="方正小标宋简体" w:hAnsi="方正小标宋简体" w:eastAsia="方正小标宋简体" w:cs="方正小标宋简体"/>
          <w:sz w:val="72"/>
          <w:szCs w:val="72"/>
          <w:lang w:val="en-US" w:eastAsia="zh-CN"/>
        </w:rPr>
        <w:t>5</w:t>
      </w:r>
      <w:r>
        <w:rPr>
          <w:rFonts w:hint="eastAsia" w:ascii="方正小标宋简体" w:hAnsi="方正小标宋简体" w:eastAsia="方正小标宋简体" w:cs="方正小标宋简体"/>
          <w:sz w:val="72"/>
          <w:szCs w:val="72"/>
        </w:rPr>
        <w:t>年度</w:t>
      </w:r>
    </w:p>
    <w:p>
      <w:pPr>
        <w:adjustRightInd w:val="0"/>
        <w:snapToGrid w:val="0"/>
        <w:spacing w:line="360" w:lineRule="auto"/>
        <w:jc w:val="center"/>
        <w:outlineLvl w:val="0"/>
        <w:rPr>
          <w:rFonts w:hint="eastAsia" w:ascii="方正小标宋简体" w:hAnsi="方正小标宋简体" w:eastAsia="方正小标宋简体" w:cs="方正小标宋简体"/>
          <w:sz w:val="72"/>
          <w:szCs w:val="72"/>
        </w:rPr>
      </w:pPr>
      <w:bookmarkStart w:id="6" w:name="_Toc15306268"/>
      <w:bookmarkStart w:id="7" w:name="_Toc1710"/>
      <w:bookmarkStart w:id="8" w:name="_Toc15377426"/>
      <w:bookmarkStart w:id="9" w:name="_Toc15378442"/>
      <w:bookmarkStart w:id="10" w:name="_Toc15396598"/>
      <w:bookmarkStart w:id="11" w:name="_Toc15396476"/>
      <w:bookmarkStart w:id="12" w:name="_Toc15377194"/>
      <w:r>
        <w:rPr>
          <w:rFonts w:hint="eastAsia" w:ascii="方正小标宋简体" w:hAnsi="方正小标宋简体" w:eastAsia="方正小标宋简体" w:cs="方正小标宋简体"/>
          <w:sz w:val="72"/>
          <w:szCs w:val="72"/>
        </w:rPr>
        <w:t>巴中市</w:t>
      </w:r>
      <w:r>
        <w:rPr>
          <w:rFonts w:hint="eastAsia" w:ascii="方正小标宋简体" w:hAnsi="方正小标宋简体" w:eastAsia="方正小标宋简体" w:cs="方正小标宋简体"/>
          <w:sz w:val="72"/>
          <w:szCs w:val="72"/>
          <w:lang w:eastAsia="zh-CN"/>
        </w:rPr>
        <w:t>平昌县人民检察院</w:t>
      </w:r>
      <w:r>
        <w:rPr>
          <w:rFonts w:hint="eastAsia" w:ascii="方正小标宋简体" w:hAnsi="方正小标宋简体" w:eastAsia="方正小标宋简体" w:cs="方正小标宋简体"/>
          <w:sz w:val="72"/>
          <w:szCs w:val="72"/>
        </w:rPr>
        <w:t>部门</w:t>
      </w:r>
      <w:bookmarkStart w:id="109" w:name="_GoBack"/>
      <w:bookmarkEnd w:id="109"/>
      <w:r>
        <w:rPr>
          <w:rFonts w:hint="eastAsia" w:ascii="方正小标宋简体" w:hAnsi="方正小标宋简体" w:eastAsia="方正小标宋简体" w:cs="方正小标宋简体"/>
          <w:sz w:val="72"/>
          <w:szCs w:val="72"/>
        </w:rPr>
        <w:t>决算</w:t>
      </w:r>
      <w:bookmarkEnd w:id="6"/>
      <w:bookmarkEnd w:id="7"/>
      <w:bookmarkEnd w:id="8"/>
      <w:bookmarkEnd w:id="9"/>
      <w:bookmarkEnd w:id="10"/>
      <w:bookmarkEnd w:id="11"/>
      <w:bookmarkEnd w:id="12"/>
      <w:r>
        <w:rPr>
          <w:rFonts w:hint="eastAsia" w:ascii="方正小标宋简体" w:hAnsi="方正小标宋简体" w:eastAsia="方正小标宋简体" w:cs="方正小标宋简体"/>
          <w:sz w:val="72"/>
          <w:szCs w:val="72"/>
          <w:lang w:val="en-US" w:eastAsia="zh-CN"/>
        </w:rPr>
        <w:t>公开文字</w:t>
      </w:r>
      <w:r>
        <w:rPr>
          <w:rFonts w:hint="eastAsia" w:ascii="方正小标宋简体" w:hAnsi="方正小标宋简体" w:eastAsia="方正小标宋简体" w:cs="方正小标宋简体"/>
          <w:sz w:val="72"/>
          <w:szCs w:val="72"/>
        </w:rPr>
        <w:t>说明</w:t>
      </w:r>
    </w:p>
    <w:p>
      <w:pPr>
        <w:pStyle w:val="5"/>
        <w:rPr>
          <w:rFonts w:hint="eastAsia" w:ascii="微软雅黑" w:hAnsi="微软雅黑" w:eastAsia="微软雅黑" w:cs="微软雅黑"/>
          <w:sz w:val="72"/>
          <w:szCs w:val="72"/>
        </w:rPr>
      </w:pPr>
    </w:p>
    <w:p>
      <w:pPr>
        <w:rPr>
          <w:rFonts w:hint="eastAsia" w:ascii="微软雅黑" w:hAnsi="微软雅黑" w:eastAsia="微软雅黑" w:cs="微软雅黑"/>
          <w:sz w:val="72"/>
          <w:szCs w:val="72"/>
        </w:rPr>
      </w:pPr>
    </w:p>
    <w:p>
      <w:pPr>
        <w:pStyle w:val="5"/>
        <w:rPr>
          <w:rFonts w:hint="eastAsia" w:ascii="微软雅黑" w:hAnsi="微软雅黑" w:eastAsia="微软雅黑" w:cs="微软雅黑"/>
          <w:sz w:val="72"/>
          <w:szCs w:val="72"/>
        </w:rPr>
      </w:pPr>
    </w:p>
    <w:p>
      <w:pPr>
        <w:rPr>
          <w:rFonts w:hint="eastAsia" w:ascii="微软雅黑" w:hAnsi="微软雅黑" w:eastAsia="微软雅黑" w:cs="微软雅黑"/>
          <w:sz w:val="72"/>
          <w:szCs w:val="72"/>
        </w:rPr>
      </w:pPr>
    </w:p>
    <w:p>
      <w:pPr>
        <w:pStyle w:val="5"/>
      </w:pPr>
    </w:p>
    <w:p/>
    <w:sdt>
      <w:sdtPr>
        <w:rPr>
          <w:rFonts w:hint="eastAsia" w:ascii="黑体" w:hAnsi="黑体" w:eastAsia="黑体" w:cs="黑体"/>
          <w:kern w:val="2"/>
          <w:sz w:val="48"/>
          <w:szCs w:val="48"/>
          <w:lang w:val="en-US" w:eastAsia="zh-CN" w:bidi="ar-SA"/>
        </w:rPr>
        <w:id w:val="147461875"/>
        <w15:color w:val="DBDBDB"/>
        <w:docPartObj>
          <w:docPartGallery w:val="Table of Contents"/>
          <w:docPartUnique/>
        </w:docPartObj>
      </w:sdtPr>
      <w:sdtEndPr>
        <w:rPr>
          <w:rFonts w:hint="eastAsia" w:ascii="Times New Roman" w:hAnsi="Times New Roman" w:eastAsia="黑体" w:cs="Times New Roman"/>
          <w:b/>
          <w:kern w:val="2"/>
          <w:sz w:val="24"/>
          <w:szCs w:val="28"/>
          <w:lang w:val="en-US" w:eastAsia="zh-CN" w:bidi="ar-SA"/>
        </w:rPr>
      </w:sdtEndPr>
      <w:sdtContent>
        <w:p>
          <w:pPr>
            <w:spacing w:before="0" w:beforeLines="0" w:after="0" w:afterLines="0" w:line="240" w:lineRule="auto"/>
            <w:ind w:left="0" w:leftChars="0" w:right="0" w:rightChars="0" w:firstLine="0" w:firstLineChars="0"/>
            <w:jc w:val="center"/>
            <w:rPr>
              <w:rFonts w:hint="eastAsia" w:ascii="黑体" w:hAnsi="黑体" w:eastAsia="黑体" w:cs="黑体"/>
              <w:sz w:val="48"/>
              <w:szCs w:val="48"/>
            </w:rPr>
          </w:pPr>
          <w:r>
            <w:rPr>
              <w:rFonts w:hint="eastAsia" w:ascii="黑体" w:hAnsi="黑体" w:eastAsia="黑体" w:cs="黑体"/>
              <w:sz w:val="48"/>
              <w:szCs w:val="48"/>
            </w:rPr>
            <w:t>目录</w:t>
          </w:r>
        </w:p>
        <w:p>
          <w:pPr>
            <w:pStyle w:val="14"/>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 xml:space="preserve"> 9 </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 xml:space="preserve"> 16 </w:t>
          </w:r>
          <w:r>
            <w:rPr>
              <w:rFonts w:hint="eastAsia" w:ascii="Times New Roman" w:hAnsi="Times New Roman" w:eastAsia="仿宋_GB2312" w:cs="仿宋_GB2312"/>
              <w:color w:val="auto"/>
              <w:sz w:val="32"/>
              <w:szCs w:val="32"/>
              <w:highlight w:val="none"/>
            </w:rPr>
            <w:t>日</w:t>
          </w:r>
        </w:p>
        <w:p>
          <w:pPr>
            <w:pStyle w:val="14"/>
            <w:tabs>
              <w:tab w:val="right" w:leader="dot" w:pos="8306"/>
              <w:tab w:val="clear" w:pos="8296"/>
            </w:tabs>
          </w:pPr>
          <w:r>
            <w:rPr>
              <w:rFonts w:ascii="Times New Roman" w:hAnsi="Times New Roman"/>
            </w:rPr>
            <w:fldChar w:fldCharType="begin"/>
          </w:r>
          <w:r>
            <w:rPr>
              <w:rFonts w:ascii="Times New Roman" w:hAnsi="Times New Roman"/>
            </w:rPr>
            <w:instrText xml:space="preserve">TOC \o "1-3" \h \u </w:instrText>
          </w:r>
          <w:r>
            <w:rPr>
              <w:rFonts w:ascii="Times New Roman" w:hAnsi="Times New Roman"/>
            </w:rPr>
            <w:fldChar w:fldCharType="separate"/>
          </w: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HYPERLINK \l _Toc25015 </w:instrText>
          </w:r>
          <w:r>
            <w:rPr>
              <w:rFonts w:hint="eastAsia" w:ascii="黑体" w:hAnsi="黑体" w:eastAsia="黑体" w:cs="黑体"/>
              <w:sz w:val="32"/>
              <w:szCs w:val="32"/>
            </w:rPr>
            <w:fldChar w:fldCharType="separate"/>
          </w:r>
          <w:r>
            <w:rPr>
              <w:rFonts w:hint="eastAsia" w:ascii="黑体" w:hAnsi="黑体" w:eastAsia="黑体" w:cs="黑体"/>
              <w:sz w:val="32"/>
              <w:szCs w:val="32"/>
            </w:rPr>
            <w:t>第一部分</w:t>
          </w:r>
          <w:r>
            <w:rPr>
              <w:rFonts w:hint="eastAsia" w:ascii="黑体" w:hAnsi="黑体" w:eastAsia="黑体" w:cs="黑体"/>
              <w:sz w:val="32"/>
              <w:szCs w:val="32"/>
              <w:lang w:val="en-US" w:eastAsia="zh-CN"/>
            </w:rPr>
            <w:t xml:space="preserve"> </w:t>
          </w:r>
          <w:r>
            <w:rPr>
              <w:rFonts w:hint="eastAsia" w:ascii="黑体" w:hAnsi="黑体" w:eastAsia="黑体" w:cs="黑体"/>
              <w:sz w:val="32"/>
              <w:szCs w:val="32"/>
            </w:rPr>
            <w:t xml:space="preserve"> 部门概况</w:t>
          </w:r>
          <w:r>
            <w:rPr>
              <w:rFonts w:hint="eastAsia" w:ascii="黑体" w:hAnsi="黑体" w:eastAsia="黑体" w:cs="黑体"/>
              <w:sz w:val="32"/>
              <w:szCs w:val="32"/>
            </w:rPr>
            <w:tab/>
          </w: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PAGEREF _Toc25015 \h </w:instrText>
          </w:r>
          <w:r>
            <w:rPr>
              <w:rFonts w:hint="eastAsia" w:ascii="黑体" w:hAnsi="黑体" w:eastAsia="黑体" w:cs="黑体"/>
              <w:sz w:val="32"/>
              <w:szCs w:val="32"/>
            </w:rPr>
            <w:fldChar w:fldCharType="separate"/>
          </w:r>
          <w:r>
            <w:rPr>
              <w:rFonts w:hint="eastAsia" w:ascii="黑体" w:hAnsi="黑体" w:eastAsia="黑体" w:cs="黑体"/>
              <w:sz w:val="32"/>
              <w:szCs w:val="32"/>
            </w:rPr>
            <w:t>- 1 -</w:t>
          </w:r>
          <w:r>
            <w:rPr>
              <w:rFonts w:hint="eastAsia" w:ascii="黑体" w:hAnsi="黑体" w:eastAsia="黑体" w:cs="黑体"/>
              <w:sz w:val="32"/>
              <w:szCs w:val="32"/>
            </w:rPr>
            <w:fldChar w:fldCharType="end"/>
          </w:r>
          <w:r>
            <w:rPr>
              <w:rFonts w:hint="eastAsia" w:ascii="黑体" w:hAnsi="黑体" w:eastAsia="黑体" w:cs="黑体"/>
              <w:sz w:val="32"/>
              <w:szCs w:val="32"/>
            </w:rPr>
            <w:fldChar w:fldCharType="end"/>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fldChar w:fldCharType="begin"/>
          </w:r>
          <w:r>
            <w:rPr>
              <w:rFonts w:hint="eastAsia" w:ascii="Times New Roman" w:hAnsi="Times New Roman" w:eastAsia="仿宋_GB2312" w:cs="仿宋_GB2312"/>
              <w:color w:val="auto"/>
              <w:sz w:val="32"/>
              <w:szCs w:val="32"/>
              <w:highlight w:val="none"/>
              <w:lang w:eastAsia="zh-CN"/>
            </w:rPr>
            <w:instrText xml:space="preserve"> HYPERLINK \l _Toc6338 </w:instrText>
          </w:r>
          <w:r>
            <w:rPr>
              <w:rFonts w:hint="eastAsia" w:ascii="Times New Roman" w:hAnsi="Times New Roman" w:eastAsia="仿宋_GB2312" w:cs="仿宋_GB2312"/>
              <w:color w:val="auto"/>
              <w:sz w:val="32"/>
              <w:szCs w:val="32"/>
              <w:highlight w:val="none"/>
              <w:lang w:eastAsia="zh-CN"/>
            </w:rPr>
            <w:fldChar w:fldCharType="separate"/>
          </w:r>
          <w:r>
            <w:rPr>
              <w:rFonts w:hint="eastAsia" w:ascii="Times New Roman" w:hAnsi="Times New Roman" w:eastAsia="仿宋_GB2312" w:cs="仿宋_GB2312"/>
              <w:color w:val="auto"/>
              <w:sz w:val="32"/>
              <w:szCs w:val="32"/>
              <w:highlight w:val="none"/>
              <w:lang w:eastAsia="zh-CN"/>
            </w:rPr>
            <w:t>一、部门职责</w:t>
          </w:r>
          <w:r>
            <w:rPr>
              <w:rFonts w:hint="eastAsia" w:ascii="Times New Roman" w:hAnsi="Times New Roman" w:eastAsia="仿宋_GB2312" w:cs="仿宋_GB2312"/>
              <w:color w:val="auto"/>
              <w:sz w:val="32"/>
              <w:szCs w:val="32"/>
              <w:highlight w:val="none"/>
              <w:lang w:eastAsia="zh-CN"/>
            </w:rPr>
            <w:tab/>
          </w:r>
          <w:r>
            <w:rPr>
              <w:rFonts w:hint="eastAsia" w:ascii="Times New Roman" w:hAnsi="Times New Roman" w:eastAsia="仿宋_GB2312" w:cs="仿宋_GB2312"/>
              <w:color w:val="auto"/>
              <w:sz w:val="32"/>
              <w:szCs w:val="32"/>
              <w:highlight w:val="none"/>
              <w:lang w:eastAsia="zh-CN"/>
            </w:rPr>
            <w:fldChar w:fldCharType="begin"/>
          </w:r>
          <w:r>
            <w:rPr>
              <w:rFonts w:hint="eastAsia" w:ascii="Times New Roman" w:hAnsi="Times New Roman" w:eastAsia="仿宋_GB2312" w:cs="仿宋_GB2312"/>
              <w:color w:val="auto"/>
              <w:sz w:val="32"/>
              <w:szCs w:val="32"/>
              <w:highlight w:val="none"/>
              <w:lang w:eastAsia="zh-CN"/>
            </w:rPr>
            <w:instrText xml:space="preserve"> PAGEREF _Toc6338 \h </w:instrText>
          </w:r>
          <w:r>
            <w:rPr>
              <w:rFonts w:hint="eastAsia" w:ascii="Times New Roman" w:hAnsi="Times New Roman" w:eastAsia="仿宋_GB2312" w:cs="仿宋_GB2312"/>
              <w:color w:val="auto"/>
              <w:sz w:val="32"/>
              <w:szCs w:val="32"/>
              <w:highlight w:val="none"/>
              <w:lang w:eastAsia="zh-CN"/>
            </w:rPr>
            <w:fldChar w:fldCharType="separate"/>
          </w:r>
          <w:r>
            <w:rPr>
              <w:rFonts w:hint="eastAsia" w:ascii="Times New Roman" w:hAnsi="Times New Roman" w:eastAsia="仿宋_GB2312" w:cs="仿宋_GB2312"/>
              <w:color w:val="auto"/>
              <w:sz w:val="32"/>
              <w:szCs w:val="32"/>
              <w:highlight w:val="none"/>
              <w:lang w:eastAsia="zh-CN"/>
            </w:rPr>
            <w:t>- 1 -</w:t>
          </w:r>
          <w:r>
            <w:rPr>
              <w:rFonts w:hint="eastAsia" w:ascii="Times New Roman" w:hAnsi="Times New Roman" w:eastAsia="仿宋_GB2312" w:cs="仿宋_GB2312"/>
              <w:color w:val="auto"/>
              <w:sz w:val="32"/>
              <w:szCs w:val="32"/>
              <w:highlight w:val="none"/>
              <w:lang w:eastAsia="zh-CN"/>
            </w:rPr>
            <w:fldChar w:fldCharType="end"/>
          </w:r>
          <w:r>
            <w:rPr>
              <w:rFonts w:hint="eastAsia" w:ascii="Times New Roman" w:hAnsi="Times New Roman" w:eastAsia="仿宋_GB2312" w:cs="仿宋_GB2312"/>
              <w:color w:val="auto"/>
              <w:sz w:val="32"/>
              <w:szCs w:val="32"/>
              <w:highlight w:val="none"/>
              <w:lang w:eastAsia="zh-CN"/>
            </w:rPr>
            <w:fldChar w:fldCharType="end"/>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pPr>
          <w:r>
            <w:rPr>
              <w:rFonts w:hint="eastAsia" w:ascii="Times New Roman" w:hAnsi="Times New Roman" w:eastAsia="仿宋_GB2312" w:cs="仿宋_GB2312"/>
              <w:color w:val="auto"/>
              <w:sz w:val="32"/>
              <w:szCs w:val="32"/>
              <w:highlight w:val="none"/>
              <w:lang w:eastAsia="zh-CN"/>
            </w:rPr>
            <w:fldChar w:fldCharType="begin"/>
          </w:r>
          <w:r>
            <w:rPr>
              <w:rFonts w:hint="eastAsia" w:ascii="Times New Roman" w:hAnsi="Times New Roman" w:eastAsia="仿宋_GB2312" w:cs="仿宋_GB2312"/>
              <w:color w:val="auto"/>
              <w:sz w:val="32"/>
              <w:szCs w:val="32"/>
              <w:highlight w:val="none"/>
              <w:lang w:eastAsia="zh-CN"/>
            </w:rPr>
            <w:instrText xml:space="preserve"> HYPERLINK \l _Toc23301 </w:instrText>
          </w:r>
          <w:r>
            <w:rPr>
              <w:rFonts w:hint="eastAsia" w:ascii="Times New Roman" w:hAnsi="Times New Roman" w:eastAsia="仿宋_GB2312" w:cs="仿宋_GB2312"/>
              <w:color w:val="auto"/>
              <w:sz w:val="32"/>
              <w:szCs w:val="32"/>
              <w:highlight w:val="none"/>
              <w:lang w:eastAsia="zh-CN"/>
            </w:rPr>
            <w:fldChar w:fldCharType="separate"/>
          </w:r>
          <w:r>
            <w:rPr>
              <w:rFonts w:hint="eastAsia" w:ascii="Times New Roman" w:hAnsi="Times New Roman" w:eastAsia="仿宋_GB2312" w:cs="仿宋_GB2312"/>
              <w:color w:val="auto"/>
              <w:sz w:val="32"/>
              <w:szCs w:val="32"/>
              <w:highlight w:val="none"/>
              <w:lang w:eastAsia="zh-CN"/>
            </w:rPr>
            <w:t>二、机构设置</w:t>
          </w:r>
          <w:r>
            <w:rPr>
              <w:rFonts w:hint="eastAsia" w:ascii="Times New Roman" w:hAnsi="Times New Roman" w:eastAsia="仿宋_GB2312" w:cs="仿宋_GB2312"/>
              <w:color w:val="auto"/>
              <w:sz w:val="32"/>
              <w:szCs w:val="32"/>
              <w:highlight w:val="none"/>
              <w:lang w:eastAsia="zh-CN"/>
            </w:rPr>
            <w:tab/>
          </w:r>
          <w:r>
            <w:rPr>
              <w:rFonts w:hint="eastAsia" w:ascii="Times New Roman" w:hAnsi="Times New Roman" w:eastAsia="仿宋_GB2312" w:cs="仿宋_GB2312"/>
              <w:color w:val="auto"/>
              <w:sz w:val="32"/>
              <w:szCs w:val="32"/>
              <w:highlight w:val="none"/>
              <w:lang w:eastAsia="zh-CN"/>
            </w:rPr>
            <w:fldChar w:fldCharType="begin"/>
          </w:r>
          <w:r>
            <w:rPr>
              <w:rFonts w:hint="eastAsia" w:ascii="Times New Roman" w:hAnsi="Times New Roman" w:eastAsia="仿宋_GB2312" w:cs="仿宋_GB2312"/>
              <w:color w:val="auto"/>
              <w:sz w:val="32"/>
              <w:szCs w:val="32"/>
              <w:highlight w:val="none"/>
              <w:lang w:eastAsia="zh-CN"/>
            </w:rPr>
            <w:instrText xml:space="preserve"> PAGEREF _Toc23301 \h </w:instrText>
          </w:r>
          <w:r>
            <w:rPr>
              <w:rFonts w:hint="eastAsia" w:ascii="Times New Roman" w:hAnsi="Times New Roman" w:eastAsia="仿宋_GB2312" w:cs="仿宋_GB2312"/>
              <w:color w:val="auto"/>
              <w:sz w:val="32"/>
              <w:szCs w:val="32"/>
              <w:highlight w:val="none"/>
              <w:lang w:eastAsia="zh-CN"/>
            </w:rPr>
            <w:fldChar w:fldCharType="separate"/>
          </w:r>
          <w:r>
            <w:rPr>
              <w:rFonts w:hint="eastAsia" w:ascii="Times New Roman" w:hAnsi="Times New Roman" w:eastAsia="仿宋_GB2312" w:cs="仿宋_GB2312"/>
              <w:color w:val="auto"/>
              <w:sz w:val="32"/>
              <w:szCs w:val="32"/>
              <w:highlight w:val="none"/>
              <w:lang w:eastAsia="zh-CN"/>
            </w:rPr>
            <w:t>- 1 -</w:t>
          </w:r>
          <w:r>
            <w:rPr>
              <w:rFonts w:hint="eastAsia" w:ascii="Times New Roman" w:hAnsi="Times New Roman" w:eastAsia="仿宋_GB2312" w:cs="仿宋_GB2312"/>
              <w:color w:val="auto"/>
              <w:sz w:val="32"/>
              <w:szCs w:val="32"/>
              <w:highlight w:val="none"/>
              <w:lang w:eastAsia="zh-CN"/>
            </w:rPr>
            <w:fldChar w:fldCharType="end"/>
          </w:r>
          <w:r>
            <w:rPr>
              <w:rFonts w:hint="eastAsia" w:ascii="Times New Roman" w:hAnsi="Times New Roman" w:eastAsia="仿宋_GB2312" w:cs="仿宋_GB2312"/>
              <w:color w:val="auto"/>
              <w:sz w:val="32"/>
              <w:szCs w:val="32"/>
              <w:highlight w:val="none"/>
              <w:lang w:eastAsia="zh-CN"/>
            </w:rPr>
            <w:fldChar w:fldCharType="end"/>
          </w:r>
        </w:p>
        <w:p>
          <w:pPr>
            <w:pStyle w:val="14"/>
            <w:tabs>
              <w:tab w:val="right" w:leader="dot" w:pos="8306"/>
              <w:tab w:val="clear" w:pos="8296"/>
            </w:tabs>
          </w:pPr>
          <w:r>
            <w:rPr>
              <w:rFonts w:ascii="Times New Roman" w:hAnsi="Times New Roman"/>
            </w:rPr>
            <w:fldChar w:fldCharType="begin"/>
          </w:r>
          <w:r>
            <w:rPr>
              <w:rFonts w:ascii="Times New Roman" w:hAnsi="Times New Roman"/>
            </w:rPr>
            <w:instrText xml:space="preserve"> HYPERLINK \l _Toc15981 </w:instrText>
          </w:r>
          <w:r>
            <w:rPr>
              <w:rFonts w:ascii="Times New Roman" w:hAnsi="Times New Roman"/>
            </w:rPr>
            <w:fldChar w:fldCharType="separate"/>
          </w:r>
          <w:r>
            <w:rPr>
              <w:rFonts w:hint="eastAsia" w:ascii="黑体" w:hAnsi="黑体" w:eastAsia="黑体" w:cs="黑体"/>
              <w:sz w:val="32"/>
              <w:szCs w:val="32"/>
              <w:lang w:val="en-US" w:eastAsia="zh-CN"/>
            </w:rPr>
            <w:t>第二部分</w:t>
          </w:r>
          <w:r>
            <w:rPr>
              <w:rFonts w:hint="eastAsia" w:ascii="黑体" w:hAnsi="黑体" w:eastAsia="黑体" w:cs="黑体"/>
              <w:sz w:val="32"/>
              <w:szCs w:val="32"/>
            </w:rPr>
            <w:t xml:space="preserve"> </w:t>
          </w:r>
          <w:r>
            <w:rPr>
              <w:rFonts w:hint="eastAsia" w:ascii="黑体" w:hAnsi="黑体" w:eastAsia="黑体" w:cs="黑体"/>
              <w:sz w:val="32"/>
              <w:szCs w:val="32"/>
              <w:lang w:val="en-US" w:eastAsia="zh-CN"/>
            </w:rPr>
            <w:t>2024年度</w:t>
          </w:r>
          <w:r>
            <w:rPr>
              <w:rFonts w:hint="eastAsia" w:ascii="黑体" w:hAnsi="黑体" w:eastAsia="黑体" w:cs="黑体"/>
              <w:sz w:val="32"/>
              <w:szCs w:val="32"/>
            </w:rPr>
            <w:t>部门决算情况说明</w:t>
          </w:r>
          <w:r>
            <w:tab/>
          </w:r>
          <w:r>
            <w:rPr>
              <w:rFonts w:hint="eastAsia" w:ascii="Times New Roman" w:hAnsi="Times New Roman" w:eastAsia="仿宋_GB2312" w:cs="仿宋_GB2312"/>
              <w:color w:val="auto"/>
              <w:kern w:val="2"/>
              <w:sz w:val="32"/>
              <w:szCs w:val="32"/>
              <w:highlight w:val="none"/>
              <w:lang w:val="en-US" w:eastAsia="zh-CN" w:bidi="ar-SA"/>
            </w:rPr>
            <w:fldChar w:fldCharType="begin"/>
          </w:r>
          <w:r>
            <w:rPr>
              <w:rFonts w:hint="eastAsia" w:ascii="Times New Roman" w:hAnsi="Times New Roman" w:eastAsia="仿宋_GB2312" w:cs="仿宋_GB2312"/>
              <w:color w:val="auto"/>
              <w:kern w:val="2"/>
              <w:sz w:val="32"/>
              <w:szCs w:val="32"/>
              <w:highlight w:val="none"/>
              <w:lang w:val="en-US" w:eastAsia="zh-CN" w:bidi="ar-SA"/>
            </w:rPr>
            <w:instrText xml:space="preserve"> PAGEREF _Toc15981 \h </w:instrText>
          </w:r>
          <w:r>
            <w:rPr>
              <w:rFonts w:hint="eastAsia" w:ascii="Times New Roman" w:hAnsi="Times New Roman" w:eastAsia="仿宋_GB2312" w:cs="仿宋_GB2312"/>
              <w:color w:val="auto"/>
              <w:kern w:val="2"/>
              <w:sz w:val="32"/>
              <w:szCs w:val="32"/>
              <w:highlight w:val="none"/>
              <w:lang w:val="en-US" w:eastAsia="zh-CN" w:bidi="ar-SA"/>
            </w:rPr>
            <w:fldChar w:fldCharType="separate"/>
          </w:r>
          <w:r>
            <w:rPr>
              <w:rFonts w:hint="eastAsia" w:ascii="Times New Roman" w:hAnsi="Times New Roman" w:eastAsia="仿宋_GB2312" w:cs="仿宋_GB2312"/>
              <w:color w:val="auto"/>
              <w:kern w:val="2"/>
              <w:sz w:val="32"/>
              <w:szCs w:val="32"/>
              <w:highlight w:val="none"/>
              <w:lang w:val="en-US" w:eastAsia="zh-CN" w:bidi="ar-SA"/>
            </w:rPr>
            <w:t>- 2 -</w:t>
          </w:r>
          <w:r>
            <w:rPr>
              <w:rFonts w:hint="eastAsia" w:ascii="Times New Roman" w:hAnsi="Times New Roman" w:eastAsia="仿宋_GB2312" w:cs="仿宋_GB2312"/>
              <w:color w:val="auto"/>
              <w:kern w:val="2"/>
              <w:sz w:val="32"/>
              <w:szCs w:val="32"/>
              <w:highlight w:val="none"/>
              <w:lang w:val="en-US" w:eastAsia="zh-CN" w:bidi="ar-SA"/>
            </w:rPr>
            <w:fldChar w:fldCharType="end"/>
          </w:r>
          <w:r>
            <w:rPr>
              <w:rFonts w:ascii="Times New Roman" w:hAnsi="Times New Roman"/>
            </w:rPr>
            <w:fldChar w:fldCharType="end"/>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fldChar w:fldCharType="begin"/>
          </w:r>
          <w:r>
            <w:rPr>
              <w:rFonts w:hint="eastAsia" w:ascii="Times New Roman" w:hAnsi="Times New Roman" w:eastAsia="仿宋_GB2312" w:cs="仿宋_GB2312"/>
              <w:color w:val="auto"/>
              <w:sz w:val="32"/>
              <w:szCs w:val="32"/>
              <w:highlight w:val="none"/>
              <w:lang w:eastAsia="zh-CN"/>
            </w:rPr>
            <w:instrText xml:space="preserve"> HYPERLINK \l _Toc19135 </w:instrText>
          </w:r>
          <w:r>
            <w:rPr>
              <w:rFonts w:hint="eastAsia" w:ascii="Times New Roman" w:hAnsi="Times New Roman" w:eastAsia="仿宋_GB2312" w:cs="仿宋_GB2312"/>
              <w:color w:val="auto"/>
              <w:sz w:val="32"/>
              <w:szCs w:val="32"/>
              <w:highlight w:val="none"/>
              <w:lang w:eastAsia="zh-CN"/>
            </w:rPr>
            <w:fldChar w:fldCharType="separate"/>
          </w:r>
          <w:r>
            <w:rPr>
              <w:rFonts w:hint="eastAsia" w:ascii="Times New Roman" w:hAnsi="Times New Roman" w:eastAsia="仿宋_GB2312" w:cs="仿宋_GB2312"/>
              <w:color w:val="auto"/>
              <w:sz w:val="32"/>
              <w:szCs w:val="32"/>
              <w:highlight w:val="none"/>
              <w:lang w:eastAsia="zh-CN"/>
            </w:rPr>
            <w:t>一、收入支出决算总体情况说明</w:t>
          </w:r>
          <w:r>
            <w:rPr>
              <w:rFonts w:hint="eastAsia" w:ascii="Times New Roman" w:hAnsi="Times New Roman" w:eastAsia="仿宋_GB2312" w:cs="仿宋_GB2312"/>
              <w:color w:val="auto"/>
              <w:sz w:val="32"/>
              <w:szCs w:val="32"/>
              <w:highlight w:val="none"/>
              <w:lang w:eastAsia="zh-CN"/>
            </w:rPr>
            <w:tab/>
          </w:r>
          <w:r>
            <w:rPr>
              <w:rFonts w:hint="eastAsia" w:ascii="Times New Roman" w:hAnsi="Times New Roman" w:eastAsia="仿宋_GB2312" w:cs="仿宋_GB2312"/>
              <w:color w:val="auto"/>
              <w:sz w:val="32"/>
              <w:szCs w:val="32"/>
              <w:highlight w:val="none"/>
              <w:lang w:eastAsia="zh-CN"/>
            </w:rPr>
            <w:fldChar w:fldCharType="begin"/>
          </w:r>
          <w:r>
            <w:rPr>
              <w:rFonts w:hint="eastAsia" w:ascii="Times New Roman" w:hAnsi="Times New Roman" w:eastAsia="仿宋_GB2312" w:cs="仿宋_GB2312"/>
              <w:color w:val="auto"/>
              <w:sz w:val="32"/>
              <w:szCs w:val="32"/>
              <w:highlight w:val="none"/>
              <w:lang w:eastAsia="zh-CN"/>
            </w:rPr>
            <w:instrText xml:space="preserve"> PAGEREF _Toc19135 \h </w:instrText>
          </w:r>
          <w:r>
            <w:rPr>
              <w:rFonts w:hint="eastAsia" w:ascii="Times New Roman" w:hAnsi="Times New Roman" w:eastAsia="仿宋_GB2312" w:cs="仿宋_GB2312"/>
              <w:color w:val="auto"/>
              <w:sz w:val="32"/>
              <w:szCs w:val="32"/>
              <w:highlight w:val="none"/>
              <w:lang w:eastAsia="zh-CN"/>
            </w:rPr>
            <w:fldChar w:fldCharType="separate"/>
          </w:r>
          <w:r>
            <w:rPr>
              <w:rFonts w:hint="eastAsia" w:ascii="Times New Roman" w:hAnsi="Times New Roman" w:eastAsia="仿宋_GB2312" w:cs="仿宋_GB2312"/>
              <w:color w:val="auto"/>
              <w:sz w:val="32"/>
              <w:szCs w:val="32"/>
              <w:highlight w:val="none"/>
              <w:lang w:eastAsia="zh-CN"/>
            </w:rPr>
            <w:t>- 2 -</w:t>
          </w:r>
          <w:r>
            <w:rPr>
              <w:rFonts w:hint="eastAsia" w:ascii="Times New Roman" w:hAnsi="Times New Roman" w:eastAsia="仿宋_GB2312" w:cs="仿宋_GB2312"/>
              <w:color w:val="auto"/>
              <w:sz w:val="32"/>
              <w:szCs w:val="32"/>
              <w:highlight w:val="none"/>
              <w:lang w:eastAsia="zh-CN"/>
            </w:rPr>
            <w:fldChar w:fldCharType="end"/>
          </w:r>
          <w:r>
            <w:rPr>
              <w:rFonts w:hint="eastAsia" w:ascii="Times New Roman" w:hAnsi="Times New Roman" w:eastAsia="仿宋_GB2312" w:cs="仿宋_GB2312"/>
              <w:color w:val="auto"/>
              <w:sz w:val="32"/>
              <w:szCs w:val="32"/>
              <w:highlight w:val="none"/>
              <w:lang w:eastAsia="zh-CN"/>
            </w:rPr>
            <w:fldChar w:fldCharType="end"/>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fldChar w:fldCharType="begin"/>
          </w:r>
          <w:r>
            <w:rPr>
              <w:rFonts w:hint="eastAsia" w:ascii="Times New Roman" w:hAnsi="Times New Roman" w:eastAsia="仿宋_GB2312" w:cs="仿宋_GB2312"/>
              <w:color w:val="auto"/>
              <w:sz w:val="32"/>
              <w:szCs w:val="32"/>
              <w:highlight w:val="none"/>
              <w:lang w:eastAsia="zh-CN"/>
            </w:rPr>
            <w:instrText xml:space="preserve"> HYPERLINK \l _Toc9332 </w:instrText>
          </w:r>
          <w:r>
            <w:rPr>
              <w:rFonts w:hint="eastAsia" w:ascii="Times New Roman" w:hAnsi="Times New Roman" w:eastAsia="仿宋_GB2312" w:cs="仿宋_GB2312"/>
              <w:color w:val="auto"/>
              <w:sz w:val="32"/>
              <w:szCs w:val="32"/>
              <w:highlight w:val="none"/>
              <w:lang w:eastAsia="zh-CN"/>
            </w:rPr>
            <w:fldChar w:fldCharType="separate"/>
          </w:r>
          <w:r>
            <w:rPr>
              <w:rFonts w:hint="eastAsia" w:ascii="Times New Roman" w:hAnsi="Times New Roman" w:eastAsia="仿宋_GB2312" w:cs="仿宋_GB2312"/>
              <w:color w:val="auto"/>
              <w:sz w:val="32"/>
              <w:szCs w:val="32"/>
              <w:highlight w:val="none"/>
              <w:lang w:eastAsia="zh-CN"/>
            </w:rPr>
            <w:t>二、收入决算情况说明</w:t>
          </w:r>
          <w:r>
            <w:rPr>
              <w:rFonts w:hint="eastAsia" w:ascii="Times New Roman" w:hAnsi="Times New Roman" w:eastAsia="仿宋_GB2312" w:cs="仿宋_GB2312"/>
              <w:color w:val="auto"/>
              <w:sz w:val="32"/>
              <w:szCs w:val="32"/>
              <w:highlight w:val="none"/>
              <w:lang w:eastAsia="zh-CN"/>
            </w:rPr>
            <w:tab/>
          </w:r>
          <w:r>
            <w:rPr>
              <w:rFonts w:hint="eastAsia" w:ascii="Times New Roman" w:hAnsi="Times New Roman" w:eastAsia="仿宋_GB2312" w:cs="仿宋_GB2312"/>
              <w:color w:val="auto"/>
              <w:sz w:val="32"/>
              <w:szCs w:val="32"/>
              <w:highlight w:val="none"/>
              <w:lang w:eastAsia="zh-CN"/>
            </w:rPr>
            <w:fldChar w:fldCharType="begin"/>
          </w:r>
          <w:r>
            <w:rPr>
              <w:rFonts w:hint="eastAsia" w:ascii="Times New Roman" w:hAnsi="Times New Roman" w:eastAsia="仿宋_GB2312" w:cs="仿宋_GB2312"/>
              <w:color w:val="auto"/>
              <w:sz w:val="32"/>
              <w:szCs w:val="32"/>
              <w:highlight w:val="none"/>
              <w:lang w:eastAsia="zh-CN"/>
            </w:rPr>
            <w:instrText xml:space="preserve"> PAGEREF _Toc9332 \h </w:instrText>
          </w:r>
          <w:r>
            <w:rPr>
              <w:rFonts w:hint="eastAsia" w:ascii="Times New Roman" w:hAnsi="Times New Roman" w:eastAsia="仿宋_GB2312" w:cs="仿宋_GB2312"/>
              <w:color w:val="auto"/>
              <w:sz w:val="32"/>
              <w:szCs w:val="32"/>
              <w:highlight w:val="none"/>
              <w:lang w:eastAsia="zh-CN"/>
            </w:rPr>
            <w:fldChar w:fldCharType="separate"/>
          </w:r>
          <w:r>
            <w:rPr>
              <w:rFonts w:hint="eastAsia" w:ascii="Times New Roman" w:hAnsi="Times New Roman" w:eastAsia="仿宋_GB2312" w:cs="仿宋_GB2312"/>
              <w:color w:val="auto"/>
              <w:sz w:val="32"/>
              <w:szCs w:val="32"/>
              <w:highlight w:val="none"/>
              <w:lang w:eastAsia="zh-CN"/>
            </w:rPr>
            <w:t>- 2 -</w:t>
          </w:r>
          <w:r>
            <w:rPr>
              <w:rFonts w:hint="eastAsia" w:ascii="Times New Roman" w:hAnsi="Times New Roman" w:eastAsia="仿宋_GB2312" w:cs="仿宋_GB2312"/>
              <w:color w:val="auto"/>
              <w:sz w:val="32"/>
              <w:szCs w:val="32"/>
              <w:highlight w:val="none"/>
              <w:lang w:eastAsia="zh-CN"/>
            </w:rPr>
            <w:fldChar w:fldCharType="end"/>
          </w:r>
          <w:r>
            <w:rPr>
              <w:rFonts w:hint="eastAsia" w:ascii="Times New Roman" w:hAnsi="Times New Roman" w:eastAsia="仿宋_GB2312" w:cs="仿宋_GB2312"/>
              <w:color w:val="auto"/>
              <w:sz w:val="32"/>
              <w:szCs w:val="32"/>
              <w:highlight w:val="none"/>
              <w:lang w:eastAsia="zh-CN"/>
            </w:rPr>
            <w:fldChar w:fldCharType="end"/>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fldChar w:fldCharType="begin"/>
          </w:r>
          <w:r>
            <w:rPr>
              <w:rFonts w:hint="eastAsia" w:ascii="Times New Roman" w:hAnsi="Times New Roman" w:eastAsia="仿宋_GB2312" w:cs="仿宋_GB2312"/>
              <w:color w:val="auto"/>
              <w:sz w:val="32"/>
              <w:szCs w:val="32"/>
              <w:highlight w:val="none"/>
              <w:lang w:eastAsia="zh-CN"/>
            </w:rPr>
            <w:instrText xml:space="preserve"> HYPERLINK \l _Toc1882 </w:instrText>
          </w:r>
          <w:r>
            <w:rPr>
              <w:rFonts w:hint="eastAsia" w:ascii="Times New Roman" w:hAnsi="Times New Roman" w:eastAsia="仿宋_GB2312" w:cs="仿宋_GB2312"/>
              <w:color w:val="auto"/>
              <w:sz w:val="32"/>
              <w:szCs w:val="32"/>
              <w:highlight w:val="none"/>
              <w:lang w:eastAsia="zh-CN"/>
            </w:rPr>
            <w:fldChar w:fldCharType="separate"/>
          </w:r>
          <w:r>
            <w:rPr>
              <w:rFonts w:hint="eastAsia" w:ascii="Times New Roman" w:hAnsi="Times New Roman" w:eastAsia="仿宋_GB2312" w:cs="仿宋_GB2312"/>
              <w:color w:val="auto"/>
              <w:sz w:val="32"/>
              <w:szCs w:val="32"/>
              <w:highlight w:val="none"/>
              <w:lang w:eastAsia="zh-CN"/>
            </w:rPr>
            <w:t>三、支出决算情况说明</w:t>
          </w:r>
          <w:r>
            <w:rPr>
              <w:rFonts w:hint="eastAsia" w:ascii="Times New Roman" w:hAnsi="Times New Roman" w:eastAsia="仿宋_GB2312" w:cs="仿宋_GB2312"/>
              <w:color w:val="auto"/>
              <w:sz w:val="32"/>
              <w:szCs w:val="32"/>
              <w:highlight w:val="none"/>
              <w:lang w:eastAsia="zh-CN"/>
            </w:rPr>
            <w:tab/>
          </w:r>
          <w:r>
            <w:rPr>
              <w:rFonts w:hint="eastAsia" w:ascii="Times New Roman" w:hAnsi="Times New Roman" w:eastAsia="仿宋_GB2312" w:cs="仿宋_GB2312"/>
              <w:color w:val="auto"/>
              <w:sz w:val="32"/>
              <w:szCs w:val="32"/>
              <w:highlight w:val="none"/>
              <w:lang w:eastAsia="zh-CN"/>
            </w:rPr>
            <w:fldChar w:fldCharType="begin"/>
          </w:r>
          <w:r>
            <w:rPr>
              <w:rFonts w:hint="eastAsia" w:ascii="Times New Roman" w:hAnsi="Times New Roman" w:eastAsia="仿宋_GB2312" w:cs="仿宋_GB2312"/>
              <w:color w:val="auto"/>
              <w:sz w:val="32"/>
              <w:szCs w:val="32"/>
              <w:highlight w:val="none"/>
              <w:lang w:eastAsia="zh-CN"/>
            </w:rPr>
            <w:instrText xml:space="preserve"> PAGEREF _Toc1882 \h </w:instrText>
          </w:r>
          <w:r>
            <w:rPr>
              <w:rFonts w:hint="eastAsia" w:ascii="Times New Roman" w:hAnsi="Times New Roman" w:eastAsia="仿宋_GB2312" w:cs="仿宋_GB2312"/>
              <w:color w:val="auto"/>
              <w:sz w:val="32"/>
              <w:szCs w:val="32"/>
              <w:highlight w:val="none"/>
              <w:lang w:eastAsia="zh-CN"/>
            </w:rPr>
            <w:fldChar w:fldCharType="separate"/>
          </w:r>
          <w:r>
            <w:rPr>
              <w:rFonts w:hint="eastAsia" w:ascii="Times New Roman" w:hAnsi="Times New Roman" w:eastAsia="仿宋_GB2312" w:cs="仿宋_GB2312"/>
              <w:color w:val="auto"/>
              <w:sz w:val="32"/>
              <w:szCs w:val="32"/>
              <w:highlight w:val="none"/>
              <w:lang w:eastAsia="zh-CN"/>
            </w:rPr>
            <w:t>- 3 -</w:t>
          </w:r>
          <w:r>
            <w:rPr>
              <w:rFonts w:hint="eastAsia" w:ascii="Times New Roman" w:hAnsi="Times New Roman" w:eastAsia="仿宋_GB2312" w:cs="仿宋_GB2312"/>
              <w:color w:val="auto"/>
              <w:sz w:val="32"/>
              <w:szCs w:val="32"/>
              <w:highlight w:val="none"/>
              <w:lang w:eastAsia="zh-CN"/>
            </w:rPr>
            <w:fldChar w:fldCharType="end"/>
          </w:r>
          <w:r>
            <w:rPr>
              <w:rFonts w:hint="eastAsia" w:ascii="Times New Roman" w:hAnsi="Times New Roman" w:eastAsia="仿宋_GB2312" w:cs="仿宋_GB2312"/>
              <w:color w:val="auto"/>
              <w:sz w:val="32"/>
              <w:szCs w:val="32"/>
              <w:highlight w:val="none"/>
              <w:lang w:eastAsia="zh-CN"/>
            </w:rPr>
            <w:fldChar w:fldCharType="end"/>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fldChar w:fldCharType="begin"/>
          </w:r>
          <w:r>
            <w:rPr>
              <w:rFonts w:hint="eastAsia" w:ascii="Times New Roman" w:hAnsi="Times New Roman" w:eastAsia="仿宋_GB2312" w:cs="仿宋_GB2312"/>
              <w:color w:val="auto"/>
              <w:sz w:val="32"/>
              <w:szCs w:val="32"/>
              <w:highlight w:val="none"/>
              <w:lang w:eastAsia="zh-CN"/>
            </w:rPr>
            <w:instrText xml:space="preserve"> HYPERLINK \l _Toc24163 </w:instrText>
          </w:r>
          <w:r>
            <w:rPr>
              <w:rFonts w:hint="eastAsia" w:ascii="Times New Roman" w:hAnsi="Times New Roman" w:eastAsia="仿宋_GB2312" w:cs="仿宋_GB2312"/>
              <w:color w:val="auto"/>
              <w:sz w:val="32"/>
              <w:szCs w:val="32"/>
              <w:highlight w:val="none"/>
              <w:lang w:eastAsia="zh-CN"/>
            </w:rPr>
            <w:fldChar w:fldCharType="separate"/>
          </w:r>
          <w:r>
            <w:rPr>
              <w:rFonts w:hint="eastAsia" w:ascii="Times New Roman" w:hAnsi="Times New Roman" w:eastAsia="仿宋_GB2312" w:cs="仿宋_GB2312"/>
              <w:color w:val="auto"/>
              <w:sz w:val="32"/>
              <w:szCs w:val="32"/>
              <w:highlight w:val="none"/>
              <w:lang w:val="en-US" w:eastAsia="zh-CN"/>
            </w:rPr>
            <w:t>四、</w:t>
          </w:r>
          <w:r>
            <w:rPr>
              <w:rFonts w:hint="eastAsia" w:ascii="Times New Roman" w:hAnsi="Times New Roman" w:eastAsia="仿宋_GB2312" w:cs="仿宋_GB2312"/>
              <w:color w:val="auto"/>
              <w:sz w:val="32"/>
              <w:szCs w:val="32"/>
              <w:highlight w:val="none"/>
              <w:lang w:eastAsia="zh-CN"/>
            </w:rPr>
            <w:t>财政拨款收入支出决算总体情况说明</w:t>
          </w:r>
          <w:r>
            <w:rPr>
              <w:rFonts w:hint="eastAsia" w:ascii="Times New Roman" w:hAnsi="Times New Roman" w:eastAsia="仿宋_GB2312" w:cs="仿宋_GB2312"/>
              <w:color w:val="auto"/>
              <w:sz w:val="32"/>
              <w:szCs w:val="32"/>
              <w:highlight w:val="none"/>
              <w:lang w:eastAsia="zh-CN"/>
            </w:rPr>
            <w:tab/>
          </w:r>
          <w:r>
            <w:rPr>
              <w:rFonts w:hint="eastAsia" w:ascii="Times New Roman" w:hAnsi="Times New Roman" w:eastAsia="仿宋_GB2312" w:cs="仿宋_GB2312"/>
              <w:color w:val="auto"/>
              <w:sz w:val="32"/>
              <w:szCs w:val="32"/>
              <w:highlight w:val="none"/>
              <w:lang w:eastAsia="zh-CN"/>
            </w:rPr>
            <w:fldChar w:fldCharType="begin"/>
          </w:r>
          <w:r>
            <w:rPr>
              <w:rFonts w:hint="eastAsia" w:ascii="Times New Roman" w:hAnsi="Times New Roman" w:eastAsia="仿宋_GB2312" w:cs="仿宋_GB2312"/>
              <w:color w:val="auto"/>
              <w:sz w:val="32"/>
              <w:szCs w:val="32"/>
              <w:highlight w:val="none"/>
              <w:lang w:eastAsia="zh-CN"/>
            </w:rPr>
            <w:instrText xml:space="preserve"> PAGEREF _Toc24163 \h </w:instrText>
          </w:r>
          <w:r>
            <w:rPr>
              <w:rFonts w:hint="eastAsia" w:ascii="Times New Roman" w:hAnsi="Times New Roman" w:eastAsia="仿宋_GB2312" w:cs="仿宋_GB2312"/>
              <w:color w:val="auto"/>
              <w:sz w:val="32"/>
              <w:szCs w:val="32"/>
              <w:highlight w:val="none"/>
              <w:lang w:eastAsia="zh-CN"/>
            </w:rPr>
            <w:fldChar w:fldCharType="separate"/>
          </w:r>
          <w:r>
            <w:rPr>
              <w:rFonts w:hint="eastAsia" w:ascii="Times New Roman" w:hAnsi="Times New Roman" w:eastAsia="仿宋_GB2312" w:cs="仿宋_GB2312"/>
              <w:color w:val="auto"/>
              <w:sz w:val="32"/>
              <w:szCs w:val="32"/>
              <w:highlight w:val="none"/>
              <w:lang w:eastAsia="zh-CN"/>
            </w:rPr>
            <w:t>- 3 -</w:t>
          </w:r>
          <w:r>
            <w:rPr>
              <w:rFonts w:hint="eastAsia" w:ascii="Times New Roman" w:hAnsi="Times New Roman" w:eastAsia="仿宋_GB2312" w:cs="仿宋_GB2312"/>
              <w:color w:val="auto"/>
              <w:sz w:val="32"/>
              <w:szCs w:val="32"/>
              <w:highlight w:val="none"/>
              <w:lang w:eastAsia="zh-CN"/>
            </w:rPr>
            <w:fldChar w:fldCharType="end"/>
          </w:r>
          <w:r>
            <w:rPr>
              <w:rFonts w:hint="eastAsia" w:ascii="Times New Roman" w:hAnsi="Times New Roman" w:eastAsia="仿宋_GB2312" w:cs="仿宋_GB2312"/>
              <w:color w:val="auto"/>
              <w:sz w:val="32"/>
              <w:szCs w:val="32"/>
              <w:highlight w:val="none"/>
              <w:lang w:eastAsia="zh-CN"/>
            </w:rPr>
            <w:fldChar w:fldCharType="end"/>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pPr>
          <w:r>
            <w:rPr>
              <w:rFonts w:hint="eastAsia" w:ascii="Times New Roman" w:hAnsi="Times New Roman" w:eastAsia="仿宋_GB2312" w:cs="仿宋_GB2312"/>
              <w:color w:val="auto"/>
              <w:sz w:val="32"/>
              <w:szCs w:val="32"/>
              <w:highlight w:val="none"/>
              <w:lang w:eastAsia="zh-CN"/>
            </w:rPr>
            <w:fldChar w:fldCharType="begin"/>
          </w:r>
          <w:r>
            <w:rPr>
              <w:rFonts w:hint="eastAsia" w:ascii="Times New Roman" w:hAnsi="Times New Roman" w:eastAsia="仿宋_GB2312" w:cs="仿宋_GB2312"/>
              <w:color w:val="auto"/>
              <w:sz w:val="32"/>
              <w:szCs w:val="32"/>
              <w:highlight w:val="none"/>
              <w:lang w:eastAsia="zh-CN"/>
            </w:rPr>
            <w:instrText xml:space="preserve"> HYPERLINK \l _Toc20339 </w:instrText>
          </w:r>
          <w:r>
            <w:rPr>
              <w:rFonts w:hint="eastAsia" w:ascii="Times New Roman" w:hAnsi="Times New Roman" w:eastAsia="仿宋_GB2312" w:cs="仿宋_GB2312"/>
              <w:color w:val="auto"/>
              <w:sz w:val="32"/>
              <w:szCs w:val="32"/>
              <w:highlight w:val="none"/>
              <w:lang w:eastAsia="zh-CN"/>
            </w:rPr>
            <w:fldChar w:fldCharType="separate"/>
          </w:r>
          <w:r>
            <w:rPr>
              <w:rFonts w:hint="eastAsia" w:ascii="Times New Roman" w:hAnsi="Times New Roman" w:eastAsia="仿宋_GB2312" w:cs="仿宋_GB2312"/>
              <w:color w:val="auto"/>
              <w:sz w:val="32"/>
              <w:szCs w:val="32"/>
              <w:highlight w:val="none"/>
              <w:lang w:val="en-US" w:eastAsia="zh-CN"/>
            </w:rPr>
            <w:t>五、一般公共预算财政拨款支出决算情况说明</w:t>
          </w:r>
          <w:r>
            <w:rPr>
              <w:rFonts w:hint="eastAsia" w:ascii="Times New Roman" w:hAnsi="Times New Roman" w:eastAsia="仿宋_GB2312" w:cs="仿宋_GB2312"/>
              <w:color w:val="auto"/>
              <w:sz w:val="32"/>
              <w:szCs w:val="32"/>
              <w:highlight w:val="none"/>
              <w:lang w:eastAsia="zh-CN"/>
            </w:rPr>
            <w:tab/>
          </w:r>
          <w:r>
            <w:rPr>
              <w:rFonts w:hint="eastAsia" w:ascii="Times New Roman" w:hAnsi="Times New Roman" w:eastAsia="仿宋_GB2312" w:cs="仿宋_GB2312"/>
              <w:color w:val="auto"/>
              <w:sz w:val="32"/>
              <w:szCs w:val="32"/>
              <w:highlight w:val="none"/>
              <w:lang w:eastAsia="zh-CN"/>
            </w:rPr>
            <w:fldChar w:fldCharType="begin"/>
          </w:r>
          <w:r>
            <w:rPr>
              <w:rFonts w:hint="eastAsia" w:ascii="Times New Roman" w:hAnsi="Times New Roman" w:eastAsia="仿宋_GB2312" w:cs="仿宋_GB2312"/>
              <w:color w:val="auto"/>
              <w:sz w:val="32"/>
              <w:szCs w:val="32"/>
              <w:highlight w:val="none"/>
              <w:lang w:eastAsia="zh-CN"/>
            </w:rPr>
            <w:instrText xml:space="preserve"> PAGEREF _Toc20339 \h </w:instrText>
          </w:r>
          <w:r>
            <w:rPr>
              <w:rFonts w:hint="eastAsia" w:ascii="Times New Roman" w:hAnsi="Times New Roman" w:eastAsia="仿宋_GB2312" w:cs="仿宋_GB2312"/>
              <w:color w:val="auto"/>
              <w:sz w:val="32"/>
              <w:szCs w:val="32"/>
              <w:highlight w:val="none"/>
              <w:lang w:eastAsia="zh-CN"/>
            </w:rPr>
            <w:fldChar w:fldCharType="separate"/>
          </w:r>
          <w:r>
            <w:rPr>
              <w:rFonts w:hint="eastAsia" w:ascii="Times New Roman" w:hAnsi="Times New Roman" w:eastAsia="仿宋_GB2312" w:cs="仿宋_GB2312"/>
              <w:color w:val="auto"/>
              <w:sz w:val="32"/>
              <w:szCs w:val="32"/>
              <w:highlight w:val="none"/>
              <w:lang w:eastAsia="zh-CN"/>
            </w:rPr>
            <w:t>- 4 -</w:t>
          </w:r>
          <w:r>
            <w:rPr>
              <w:rFonts w:hint="eastAsia" w:ascii="Times New Roman" w:hAnsi="Times New Roman" w:eastAsia="仿宋_GB2312" w:cs="仿宋_GB2312"/>
              <w:color w:val="auto"/>
              <w:sz w:val="32"/>
              <w:szCs w:val="32"/>
              <w:highlight w:val="none"/>
              <w:lang w:eastAsia="zh-CN"/>
            </w:rPr>
            <w:fldChar w:fldCharType="end"/>
          </w:r>
          <w:r>
            <w:rPr>
              <w:rFonts w:hint="eastAsia" w:ascii="Times New Roman" w:hAnsi="Times New Roman" w:eastAsia="仿宋_GB2312" w:cs="仿宋_GB2312"/>
              <w:color w:val="auto"/>
              <w:sz w:val="32"/>
              <w:szCs w:val="32"/>
              <w:highlight w:val="none"/>
              <w:lang w:eastAsia="zh-CN"/>
            </w:rPr>
            <w:fldChar w:fldCharType="end"/>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lang w:val="en-US" w:eastAsia="zh-CN"/>
            </w:rPr>
            <w:fldChar w:fldCharType="begin"/>
          </w:r>
          <w:r>
            <w:rPr>
              <w:rFonts w:hint="eastAsia" w:ascii="Times New Roman" w:hAnsi="Times New Roman" w:eastAsia="仿宋_GB2312" w:cs="仿宋_GB2312"/>
              <w:color w:val="auto"/>
              <w:sz w:val="32"/>
              <w:szCs w:val="32"/>
              <w:highlight w:val="none"/>
              <w:lang w:val="en-US" w:eastAsia="zh-CN"/>
            </w:rPr>
            <w:instrText xml:space="preserve"> HYPERLINK \l _Toc26258 </w:instrText>
          </w:r>
          <w:r>
            <w:rPr>
              <w:rFonts w:hint="eastAsia" w:ascii="Times New Roman" w:hAnsi="Times New Roman" w:eastAsia="仿宋_GB2312" w:cs="仿宋_GB2312"/>
              <w:color w:val="auto"/>
              <w:sz w:val="32"/>
              <w:szCs w:val="32"/>
              <w:highlight w:val="none"/>
              <w:lang w:val="en-US" w:eastAsia="zh-CN"/>
            </w:rPr>
            <w:fldChar w:fldCharType="separate"/>
          </w:r>
          <w:r>
            <w:rPr>
              <w:rFonts w:hint="eastAsia" w:ascii="Times New Roman" w:hAnsi="Times New Roman" w:eastAsia="仿宋_GB2312" w:cs="仿宋_GB2312"/>
              <w:color w:val="auto"/>
              <w:sz w:val="32"/>
              <w:szCs w:val="32"/>
              <w:highlight w:val="none"/>
              <w:lang w:val="en-US" w:eastAsia="zh-CN"/>
            </w:rPr>
            <w:t>六、一般公共预算财政拨款基本支出决算情况说明</w:t>
          </w:r>
          <w:r>
            <w:rPr>
              <w:rFonts w:hint="eastAsia" w:ascii="Times New Roman" w:hAnsi="Times New Roman" w:eastAsia="仿宋_GB2312" w:cs="仿宋_GB2312"/>
              <w:color w:val="auto"/>
              <w:sz w:val="32"/>
              <w:szCs w:val="32"/>
              <w:highlight w:val="none"/>
              <w:lang w:val="en-US" w:eastAsia="zh-CN"/>
            </w:rPr>
            <w:tab/>
          </w:r>
          <w:r>
            <w:rPr>
              <w:rFonts w:hint="eastAsia" w:ascii="Times New Roman" w:hAnsi="Times New Roman" w:eastAsia="仿宋_GB2312" w:cs="仿宋_GB2312"/>
              <w:color w:val="auto"/>
              <w:sz w:val="32"/>
              <w:szCs w:val="32"/>
              <w:highlight w:val="none"/>
              <w:lang w:val="en-US" w:eastAsia="zh-CN"/>
            </w:rPr>
            <w:fldChar w:fldCharType="begin"/>
          </w:r>
          <w:r>
            <w:rPr>
              <w:rFonts w:hint="eastAsia" w:ascii="Times New Roman" w:hAnsi="Times New Roman" w:eastAsia="仿宋_GB2312" w:cs="仿宋_GB2312"/>
              <w:color w:val="auto"/>
              <w:sz w:val="32"/>
              <w:szCs w:val="32"/>
              <w:highlight w:val="none"/>
              <w:lang w:val="en-US" w:eastAsia="zh-CN"/>
            </w:rPr>
            <w:instrText xml:space="preserve"> PAGEREF _Toc26258 \h </w:instrText>
          </w:r>
          <w:r>
            <w:rPr>
              <w:rFonts w:hint="eastAsia" w:ascii="Times New Roman" w:hAnsi="Times New Roman" w:eastAsia="仿宋_GB2312" w:cs="仿宋_GB2312"/>
              <w:color w:val="auto"/>
              <w:sz w:val="32"/>
              <w:szCs w:val="32"/>
              <w:highlight w:val="none"/>
              <w:lang w:val="en-US" w:eastAsia="zh-CN"/>
            </w:rPr>
            <w:fldChar w:fldCharType="separate"/>
          </w:r>
          <w:r>
            <w:rPr>
              <w:rFonts w:hint="eastAsia" w:ascii="Times New Roman" w:hAnsi="Times New Roman" w:eastAsia="仿宋_GB2312" w:cs="仿宋_GB2312"/>
              <w:color w:val="auto"/>
              <w:sz w:val="32"/>
              <w:szCs w:val="32"/>
              <w:highlight w:val="none"/>
              <w:lang w:val="en-US" w:eastAsia="zh-CN"/>
            </w:rPr>
            <w:t>- 6 -</w:t>
          </w:r>
          <w:r>
            <w:rPr>
              <w:rFonts w:hint="eastAsia" w:ascii="Times New Roman" w:hAnsi="Times New Roman" w:eastAsia="仿宋_GB2312" w:cs="仿宋_GB2312"/>
              <w:color w:val="auto"/>
              <w:sz w:val="32"/>
              <w:szCs w:val="32"/>
              <w:highlight w:val="none"/>
              <w:lang w:val="en-US" w:eastAsia="zh-CN"/>
            </w:rPr>
            <w:fldChar w:fldCharType="end"/>
          </w:r>
          <w:r>
            <w:rPr>
              <w:rFonts w:hint="eastAsia" w:ascii="Times New Roman" w:hAnsi="Times New Roman" w:eastAsia="仿宋_GB2312" w:cs="仿宋_GB2312"/>
              <w:color w:val="auto"/>
              <w:sz w:val="32"/>
              <w:szCs w:val="32"/>
              <w:highlight w:val="none"/>
              <w:lang w:val="en-US" w:eastAsia="zh-CN"/>
            </w:rPr>
            <w:fldChar w:fldCharType="end"/>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pPr>
          <w:r>
            <w:rPr>
              <w:rFonts w:hint="eastAsia" w:ascii="Times New Roman" w:hAnsi="Times New Roman" w:eastAsia="仿宋_GB2312" w:cs="仿宋_GB2312"/>
              <w:color w:val="auto"/>
              <w:sz w:val="32"/>
              <w:szCs w:val="32"/>
              <w:highlight w:val="none"/>
              <w:lang w:val="en-US" w:eastAsia="zh-CN"/>
            </w:rPr>
            <w:fldChar w:fldCharType="begin"/>
          </w:r>
          <w:r>
            <w:rPr>
              <w:rFonts w:hint="eastAsia" w:ascii="Times New Roman" w:hAnsi="Times New Roman" w:eastAsia="仿宋_GB2312" w:cs="仿宋_GB2312"/>
              <w:color w:val="auto"/>
              <w:sz w:val="32"/>
              <w:szCs w:val="32"/>
              <w:highlight w:val="none"/>
              <w:lang w:val="en-US" w:eastAsia="zh-CN"/>
            </w:rPr>
            <w:instrText xml:space="preserve"> HYPERLINK \l _Toc12404 </w:instrText>
          </w:r>
          <w:r>
            <w:rPr>
              <w:rFonts w:hint="eastAsia" w:ascii="Times New Roman" w:hAnsi="Times New Roman" w:eastAsia="仿宋_GB2312" w:cs="仿宋_GB2312"/>
              <w:color w:val="auto"/>
              <w:sz w:val="32"/>
              <w:szCs w:val="32"/>
              <w:highlight w:val="none"/>
              <w:lang w:val="en-US" w:eastAsia="zh-CN"/>
            </w:rPr>
            <w:fldChar w:fldCharType="separate"/>
          </w:r>
          <w:r>
            <w:rPr>
              <w:rFonts w:hint="eastAsia" w:ascii="Times New Roman" w:hAnsi="Times New Roman" w:eastAsia="仿宋_GB2312" w:cs="仿宋_GB2312"/>
              <w:color w:val="auto"/>
              <w:sz w:val="32"/>
              <w:szCs w:val="32"/>
              <w:highlight w:val="none"/>
              <w:lang w:val="en-US" w:eastAsia="zh-CN"/>
            </w:rPr>
            <w:t>七、财政拨款“三公”经费支出决算情况说明</w:t>
          </w:r>
          <w:r>
            <w:rPr>
              <w:rFonts w:hint="eastAsia" w:ascii="Times New Roman" w:hAnsi="Times New Roman" w:eastAsia="仿宋_GB2312" w:cs="仿宋_GB2312"/>
              <w:color w:val="auto"/>
              <w:sz w:val="32"/>
              <w:szCs w:val="32"/>
              <w:highlight w:val="none"/>
              <w:lang w:val="en-US" w:eastAsia="zh-CN"/>
            </w:rPr>
            <w:tab/>
          </w:r>
          <w:r>
            <w:rPr>
              <w:rFonts w:hint="eastAsia" w:ascii="Times New Roman" w:hAnsi="Times New Roman" w:eastAsia="仿宋_GB2312" w:cs="仿宋_GB2312"/>
              <w:color w:val="auto"/>
              <w:sz w:val="32"/>
              <w:szCs w:val="32"/>
              <w:highlight w:val="none"/>
              <w:lang w:val="en-US" w:eastAsia="zh-CN"/>
            </w:rPr>
            <w:fldChar w:fldCharType="begin"/>
          </w:r>
          <w:r>
            <w:rPr>
              <w:rFonts w:hint="eastAsia" w:ascii="Times New Roman" w:hAnsi="Times New Roman" w:eastAsia="仿宋_GB2312" w:cs="仿宋_GB2312"/>
              <w:color w:val="auto"/>
              <w:sz w:val="32"/>
              <w:szCs w:val="32"/>
              <w:highlight w:val="none"/>
              <w:lang w:val="en-US" w:eastAsia="zh-CN"/>
            </w:rPr>
            <w:instrText xml:space="preserve"> PAGEREF _Toc12404 \h </w:instrText>
          </w:r>
          <w:r>
            <w:rPr>
              <w:rFonts w:hint="eastAsia" w:ascii="Times New Roman" w:hAnsi="Times New Roman" w:eastAsia="仿宋_GB2312" w:cs="仿宋_GB2312"/>
              <w:color w:val="auto"/>
              <w:sz w:val="32"/>
              <w:szCs w:val="32"/>
              <w:highlight w:val="none"/>
              <w:lang w:val="en-US" w:eastAsia="zh-CN"/>
            </w:rPr>
            <w:fldChar w:fldCharType="separate"/>
          </w:r>
          <w:r>
            <w:rPr>
              <w:rFonts w:hint="eastAsia" w:ascii="Times New Roman" w:hAnsi="Times New Roman" w:eastAsia="仿宋_GB2312" w:cs="仿宋_GB2312"/>
              <w:color w:val="auto"/>
              <w:sz w:val="32"/>
              <w:szCs w:val="32"/>
              <w:highlight w:val="none"/>
              <w:lang w:val="en-US" w:eastAsia="zh-CN"/>
            </w:rPr>
            <w:t>- 6 -</w:t>
          </w:r>
          <w:r>
            <w:rPr>
              <w:rFonts w:hint="eastAsia" w:ascii="Times New Roman" w:hAnsi="Times New Roman" w:eastAsia="仿宋_GB2312" w:cs="仿宋_GB2312"/>
              <w:color w:val="auto"/>
              <w:sz w:val="32"/>
              <w:szCs w:val="32"/>
              <w:highlight w:val="none"/>
              <w:lang w:val="en-US" w:eastAsia="zh-CN"/>
            </w:rPr>
            <w:fldChar w:fldCharType="end"/>
          </w:r>
          <w:r>
            <w:rPr>
              <w:rFonts w:hint="eastAsia" w:ascii="Times New Roman" w:hAnsi="Times New Roman" w:eastAsia="仿宋_GB2312" w:cs="仿宋_GB2312"/>
              <w:color w:val="auto"/>
              <w:sz w:val="32"/>
              <w:szCs w:val="32"/>
              <w:highlight w:val="none"/>
              <w:lang w:val="en-US" w:eastAsia="zh-CN"/>
            </w:rPr>
            <w:fldChar w:fldCharType="end"/>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lang w:val="en-US" w:eastAsia="zh-CN"/>
            </w:rPr>
            <w:fldChar w:fldCharType="begin"/>
          </w:r>
          <w:r>
            <w:rPr>
              <w:rFonts w:hint="eastAsia" w:ascii="Times New Roman" w:hAnsi="Times New Roman" w:eastAsia="仿宋_GB2312" w:cs="仿宋_GB2312"/>
              <w:color w:val="auto"/>
              <w:sz w:val="32"/>
              <w:szCs w:val="32"/>
              <w:highlight w:val="none"/>
              <w:lang w:val="en-US" w:eastAsia="zh-CN"/>
            </w:rPr>
            <w:instrText xml:space="preserve"> HYPERLINK \l _Toc20487 </w:instrText>
          </w:r>
          <w:r>
            <w:rPr>
              <w:rFonts w:hint="eastAsia" w:ascii="Times New Roman" w:hAnsi="Times New Roman" w:eastAsia="仿宋_GB2312" w:cs="仿宋_GB2312"/>
              <w:color w:val="auto"/>
              <w:sz w:val="32"/>
              <w:szCs w:val="32"/>
              <w:highlight w:val="none"/>
              <w:lang w:val="en-US" w:eastAsia="zh-CN"/>
            </w:rPr>
            <w:fldChar w:fldCharType="separate"/>
          </w:r>
          <w:r>
            <w:rPr>
              <w:rFonts w:hint="eastAsia" w:ascii="Times New Roman" w:hAnsi="Times New Roman" w:eastAsia="仿宋_GB2312" w:cs="仿宋_GB2312"/>
              <w:color w:val="auto"/>
              <w:sz w:val="32"/>
              <w:szCs w:val="32"/>
              <w:highlight w:val="none"/>
              <w:lang w:val="en-US" w:eastAsia="zh-CN"/>
            </w:rPr>
            <w:t>八、政府性基金预算支出决算情况说明</w:t>
          </w:r>
          <w:r>
            <w:rPr>
              <w:rFonts w:hint="eastAsia" w:ascii="Times New Roman" w:hAnsi="Times New Roman" w:eastAsia="仿宋_GB2312" w:cs="仿宋_GB2312"/>
              <w:color w:val="auto"/>
              <w:sz w:val="32"/>
              <w:szCs w:val="32"/>
              <w:highlight w:val="none"/>
              <w:lang w:val="en-US" w:eastAsia="zh-CN"/>
            </w:rPr>
            <w:tab/>
          </w:r>
          <w:r>
            <w:rPr>
              <w:rFonts w:hint="eastAsia" w:ascii="Times New Roman" w:hAnsi="Times New Roman" w:eastAsia="仿宋_GB2312" w:cs="仿宋_GB2312"/>
              <w:color w:val="auto"/>
              <w:sz w:val="32"/>
              <w:szCs w:val="32"/>
              <w:highlight w:val="none"/>
              <w:lang w:val="en-US" w:eastAsia="zh-CN"/>
            </w:rPr>
            <w:fldChar w:fldCharType="begin"/>
          </w:r>
          <w:r>
            <w:rPr>
              <w:rFonts w:hint="eastAsia" w:ascii="Times New Roman" w:hAnsi="Times New Roman" w:eastAsia="仿宋_GB2312" w:cs="仿宋_GB2312"/>
              <w:color w:val="auto"/>
              <w:sz w:val="32"/>
              <w:szCs w:val="32"/>
              <w:highlight w:val="none"/>
              <w:lang w:val="en-US" w:eastAsia="zh-CN"/>
            </w:rPr>
            <w:instrText xml:space="preserve"> PAGEREF _Toc20487 \h </w:instrText>
          </w:r>
          <w:r>
            <w:rPr>
              <w:rFonts w:hint="eastAsia" w:ascii="Times New Roman" w:hAnsi="Times New Roman" w:eastAsia="仿宋_GB2312" w:cs="仿宋_GB2312"/>
              <w:color w:val="auto"/>
              <w:sz w:val="32"/>
              <w:szCs w:val="32"/>
              <w:highlight w:val="none"/>
              <w:lang w:val="en-US" w:eastAsia="zh-CN"/>
            </w:rPr>
            <w:fldChar w:fldCharType="separate"/>
          </w:r>
          <w:r>
            <w:rPr>
              <w:rFonts w:hint="eastAsia" w:ascii="Times New Roman" w:hAnsi="Times New Roman" w:eastAsia="仿宋_GB2312" w:cs="仿宋_GB2312"/>
              <w:color w:val="auto"/>
              <w:sz w:val="32"/>
              <w:szCs w:val="32"/>
              <w:highlight w:val="none"/>
              <w:lang w:val="en-US" w:eastAsia="zh-CN"/>
            </w:rPr>
            <w:t>- 8 -</w:t>
          </w:r>
          <w:r>
            <w:rPr>
              <w:rFonts w:hint="eastAsia" w:ascii="Times New Roman" w:hAnsi="Times New Roman" w:eastAsia="仿宋_GB2312" w:cs="仿宋_GB2312"/>
              <w:color w:val="auto"/>
              <w:sz w:val="32"/>
              <w:szCs w:val="32"/>
              <w:highlight w:val="none"/>
              <w:lang w:val="en-US" w:eastAsia="zh-CN"/>
            </w:rPr>
            <w:fldChar w:fldCharType="end"/>
          </w:r>
          <w:r>
            <w:rPr>
              <w:rFonts w:hint="eastAsia" w:ascii="Times New Roman" w:hAnsi="Times New Roman" w:eastAsia="仿宋_GB2312" w:cs="仿宋_GB2312"/>
              <w:color w:val="auto"/>
              <w:sz w:val="32"/>
              <w:szCs w:val="32"/>
              <w:highlight w:val="none"/>
              <w:lang w:val="en-US" w:eastAsia="zh-CN"/>
            </w:rPr>
            <w:fldChar w:fldCharType="end"/>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lang w:val="en-US" w:eastAsia="zh-CN"/>
            </w:rPr>
            <w:fldChar w:fldCharType="begin"/>
          </w:r>
          <w:r>
            <w:rPr>
              <w:rFonts w:hint="eastAsia" w:ascii="Times New Roman" w:hAnsi="Times New Roman" w:eastAsia="仿宋_GB2312" w:cs="仿宋_GB2312"/>
              <w:color w:val="auto"/>
              <w:sz w:val="32"/>
              <w:szCs w:val="32"/>
              <w:highlight w:val="none"/>
              <w:lang w:val="en-US" w:eastAsia="zh-CN"/>
            </w:rPr>
            <w:instrText xml:space="preserve"> HYPERLINK \l _Toc27632 </w:instrText>
          </w:r>
          <w:r>
            <w:rPr>
              <w:rFonts w:hint="eastAsia" w:ascii="Times New Roman" w:hAnsi="Times New Roman" w:eastAsia="仿宋_GB2312" w:cs="仿宋_GB2312"/>
              <w:color w:val="auto"/>
              <w:sz w:val="32"/>
              <w:szCs w:val="32"/>
              <w:highlight w:val="none"/>
              <w:lang w:val="en-US" w:eastAsia="zh-CN"/>
            </w:rPr>
            <w:fldChar w:fldCharType="separate"/>
          </w:r>
          <w:r>
            <w:rPr>
              <w:rFonts w:hint="eastAsia" w:ascii="Times New Roman" w:hAnsi="Times New Roman" w:eastAsia="仿宋_GB2312" w:cs="仿宋_GB2312"/>
              <w:color w:val="auto"/>
              <w:sz w:val="32"/>
              <w:szCs w:val="32"/>
              <w:highlight w:val="none"/>
              <w:lang w:val="en-US" w:eastAsia="zh-CN"/>
            </w:rPr>
            <w:t>九、国有资本经营预算支出决算情况说明</w:t>
          </w:r>
          <w:r>
            <w:rPr>
              <w:rFonts w:hint="eastAsia" w:ascii="Times New Roman" w:hAnsi="Times New Roman" w:eastAsia="仿宋_GB2312" w:cs="仿宋_GB2312"/>
              <w:color w:val="auto"/>
              <w:sz w:val="32"/>
              <w:szCs w:val="32"/>
              <w:highlight w:val="none"/>
              <w:lang w:val="en-US" w:eastAsia="zh-CN"/>
            </w:rPr>
            <w:tab/>
          </w:r>
          <w:r>
            <w:rPr>
              <w:rFonts w:hint="eastAsia" w:ascii="Times New Roman" w:hAnsi="Times New Roman" w:eastAsia="仿宋_GB2312" w:cs="仿宋_GB2312"/>
              <w:color w:val="auto"/>
              <w:sz w:val="32"/>
              <w:szCs w:val="32"/>
              <w:highlight w:val="none"/>
              <w:lang w:val="en-US" w:eastAsia="zh-CN"/>
            </w:rPr>
            <w:fldChar w:fldCharType="begin"/>
          </w:r>
          <w:r>
            <w:rPr>
              <w:rFonts w:hint="eastAsia" w:ascii="Times New Roman" w:hAnsi="Times New Roman" w:eastAsia="仿宋_GB2312" w:cs="仿宋_GB2312"/>
              <w:color w:val="auto"/>
              <w:sz w:val="32"/>
              <w:szCs w:val="32"/>
              <w:highlight w:val="none"/>
              <w:lang w:val="en-US" w:eastAsia="zh-CN"/>
            </w:rPr>
            <w:instrText xml:space="preserve"> PAGEREF _Toc27632 \h </w:instrText>
          </w:r>
          <w:r>
            <w:rPr>
              <w:rFonts w:hint="eastAsia" w:ascii="Times New Roman" w:hAnsi="Times New Roman" w:eastAsia="仿宋_GB2312" w:cs="仿宋_GB2312"/>
              <w:color w:val="auto"/>
              <w:sz w:val="32"/>
              <w:szCs w:val="32"/>
              <w:highlight w:val="none"/>
              <w:lang w:val="en-US" w:eastAsia="zh-CN"/>
            </w:rPr>
            <w:fldChar w:fldCharType="separate"/>
          </w:r>
          <w:r>
            <w:rPr>
              <w:rFonts w:hint="eastAsia" w:ascii="Times New Roman" w:hAnsi="Times New Roman" w:eastAsia="仿宋_GB2312" w:cs="仿宋_GB2312"/>
              <w:color w:val="auto"/>
              <w:sz w:val="32"/>
              <w:szCs w:val="32"/>
              <w:highlight w:val="none"/>
              <w:lang w:val="en-US" w:eastAsia="zh-CN"/>
            </w:rPr>
            <w:t>- 8 -</w:t>
          </w:r>
          <w:r>
            <w:rPr>
              <w:rFonts w:hint="eastAsia" w:ascii="Times New Roman" w:hAnsi="Times New Roman" w:eastAsia="仿宋_GB2312" w:cs="仿宋_GB2312"/>
              <w:color w:val="auto"/>
              <w:sz w:val="32"/>
              <w:szCs w:val="32"/>
              <w:highlight w:val="none"/>
              <w:lang w:val="en-US" w:eastAsia="zh-CN"/>
            </w:rPr>
            <w:fldChar w:fldCharType="end"/>
          </w:r>
          <w:r>
            <w:rPr>
              <w:rFonts w:hint="eastAsia" w:ascii="Times New Roman" w:hAnsi="Times New Roman" w:eastAsia="仿宋_GB2312" w:cs="仿宋_GB2312"/>
              <w:color w:val="auto"/>
              <w:sz w:val="32"/>
              <w:szCs w:val="32"/>
              <w:highlight w:val="none"/>
              <w:lang w:val="en-US" w:eastAsia="zh-CN"/>
            </w:rPr>
            <w:fldChar w:fldCharType="end"/>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pPr>
          <w:r>
            <w:rPr>
              <w:rFonts w:hint="eastAsia" w:ascii="Times New Roman" w:hAnsi="Times New Roman" w:eastAsia="仿宋_GB2312" w:cs="仿宋_GB2312"/>
              <w:color w:val="auto"/>
              <w:sz w:val="32"/>
              <w:szCs w:val="32"/>
              <w:highlight w:val="none"/>
              <w:lang w:val="en-US" w:eastAsia="zh-CN"/>
            </w:rPr>
            <w:fldChar w:fldCharType="begin"/>
          </w:r>
          <w:r>
            <w:rPr>
              <w:rFonts w:hint="eastAsia" w:ascii="Times New Roman" w:hAnsi="Times New Roman" w:eastAsia="仿宋_GB2312" w:cs="仿宋_GB2312"/>
              <w:color w:val="auto"/>
              <w:sz w:val="32"/>
              <w:szCs w:val="32"/>
              <w:highlight w:val="none"/>
              <w:lang w:val="en-US" w:eastAsia="zh-CN"/>
            </w:rPr>
            <w:instrText xml:space="preserve"> HYPERLINK \l _Toc16887 </w:instrText>
          </w:r>
          <w:r>
            <w:rPr>
              <w:rFonts w:hint="eastAsia" w:ascii="Times New Roman" w:hAnsi="Times New Roman" w:eastAsia="仿宋_GB2312" w:cs="仿宋_GB2312"/>
              <w:color w:val="auto"/>
              <w:sz w:val="32"/>
              <w:szCs w:val="32"/>
              <w:highlight w:val="none"/>
              <w:lang w:val="en-US" w:eastAsia="zh-CN"/>
            </w:rPr>
            <w:fldChar w:fldCharType="separate"/>
          </w:r>
          <w:r>
            <w:rPr>
              <w:rFonts w:hint="eastAsia" w:ascii="Times New Roman" w:hAnsi="Times New Roman" w:eastAsia="仿宋_GB2312" w:cs="仿宋_GB2312"/>
              <w:color w:val="auto"/>
              <w:sz w:val="32"/>
              <w:szCs w:val="32"/>
              <w:highlight w:val="none"/>
              <w:lang w:val="en-US" w:eastAsia="zh-CN"/>
            </w:rPr>
            <w:t>十、其他重要事项的情况说明</w:t>
          </w:r>
          <w:r>
            <w:rPr>
              <w:rFonts w:hint="eastAsia" w:ascii="Times New Roman" w:hAnsi="Times New Roman" w:eastAsia="仿宋_GB2312" w:cs="仿宋_GB2312"/>
              <w:color w:val="auto"/>
              <w:sz w:val="32"/>
              <w:szCs w:val="32"/>
              <w:highlight w:val="none"/>
              <w:lang w:val="en-US" w:eastAsia="zh-CN"/>
            </w:rPr>
            <w:tab/>
          </w:r>
          <w:r>
            <w:rPr>
              <w:rFonts w:hint="eastAsia" w:ascii="Times New Roman" w:hAnsi="Times New Roman" w:eastAsia="仿宋_GB2312" w:cs="仿宋_GB2312"/>
              <w:color w:val="auto"/>
              <w:sz w:val="32"/>
              <w:szCs w:val="32"/>
              <w:highlight w:val="none"/>
              <w:lang w:val="en-US" w:eastAsia="zh-CN"/>
            </w:rPr>
            <w:fldChar w:fldCharType="begin"/>
          </w:r>
          <w:r>
            <w:rPr>
              <w:rFonts w:hint="eastAsia" w:ascii="Times New Roman" w:hAnsi="Times New Roman" w:eastAsia="仿宋_GB2312" w:cs="仿宋_GB2312"/>
              <w:color w:val="auto"/>
              <w:sz w:val="32"/>
              <w:szCs w:val="32"/>
              <w:highlight w:val="none"/>
              <w:lang w:val="en-US" w:eastAsia="zh-CN"/>
            </w:rPr>
            <w:instrText xml:space="preserve"> PAGEREF _Toc16887 \h </w:instrText>
          </w:r>
          <w:r>
            <w:rPr>
              <w:rFonts w:hint="eastAsia" w:ascii="Times New Roman" w:hAnsi="Times New Roman" w:eastAsia="仿宋_GB2312" w:cs="仿宋_GB2312"/>
              <w:color w:val="auto"/>
              <w:sz w:val="32"/>
              <w:szCs w:val="32"/>
              <w:highlight w:val="none"/>
              <w:lang w:val="en-US" w:eastAsia="zh-CN"/>
            </w:rPr>
            <w:fldChar w:fldCharType="separate"/>
          </w:r>
          <w:r>
            <w:rPr>
              <w:rFonts w:hint="eastAsia" w:ascii="Times New Roman" w:hAnsi="Times New Roman" w:eastAsia="仿宋_GB2312" w:cs="仿宋_GB2312"/>
              <w:color w:val="auto"/>
              <w:sz w:val="32"/>
              <w:szCs w:val="32"/>
              <w:highlight w:val="none"/>
              <w:lang w:val="en-US" w:eastAsia="zh-CN"/>
            </w:rPr>
            <w:t>- 8 -</w:t>
          </w:r>
          <w:r>
            <w:rPr>
              <w:rFonts w:hint="eastAsia" w:ascii="Times New Roman" w:hAnsi="Times New Roman" w:eastAsia="仿宋_GB2312" w:cs="仿宋_GB2312"/>
              <w:color w:val="auto"/>
              <w:sz w:val="32"/>
              <w:szCs w:val="32"/>
              <w:highlight w:val="none"/>
              <w:lang w:val="en-US" w:eastAsia="zh-CN"/>
            </w:rPr>
            <w:fldChar w:fldCharType="end"/>
          </w:r>
          <w:r>
            <w:rPr>
              <w:rFonts w:hint="eastAsia" w:ascii="Times New Roman" w:hAnsi="Times New Roman" w:eastAsia="仿宋_GB2312" w:cs="仿宋_GB2312"/>
              <w:color w:val="auto"/>
              <w:sz w:val="32"/>
              <w:szCs w:val="32"/>
              <w:highlight w:val="none"/>
              <w:lang w:val="en-US" w:eastAsia="zh-CN"/>
            </w:rPr>
            <w:fldChar w:fldCharType="end"/>
          </w:r>
        </w:p>
        <w:p>
          <w:pPr>
            <w:pStyle w:val="14"/>
            <w:tabs>
              <w:tab w:val="right" w:leader="dot" w:pos="8306"/>
              <w:tab w:val="clear" w:pos="8296"/>
            </w:tabs>
          </w:pPr>
          <w:r>
            <w:rPr>
              <w:rFonts w:ascii="Times New Roman" w:hAnsi="Times New Roman"/>
            </w:rPr>
            <w:fldChar w:fldCharType="begin"/>
          </w:r>
          <w:r>
            <w:rPr>
              <w:rFonts w:ascii="Times New Roman" w:hAnsi="Times New Roman"/>
            </w:rPr>
            <w:instrText xml:space="preserve"> HYPERLINK \l _Toc14865 </w:instrText>
          </w:r>
          <w:r>
            <w:rPr>
              <w:rFonts w:ascii="Times New Roman" w:hAnsi="Times New Roman"/>
            </w:rPr>
            <w:fldChar w:fldCharType="separate"/>
          </w:r>
          <w:r>
            <w:rPr>
              <w:rFonts w:hint="eastAsia" w:ascii="黑体" w:hAnsi="黑体" w:eastAsia="黑体" w:cs="黑体"/>
              <w:sz w:val="32"/>
              <w:szCs w:val="32"/>
            </w:rPr>
            <w:t>第</w:t>
          </w:r>
          <w:r>
            <w:rPr>
              <w:rFonts w:hint="eastAsia" w:ascii="黑体" w:hAnsi="黑体" w:eastAsia="黑体" w:cs="黑体"/>
              <w:sz w:val="32"/>
              <w:szCs w:val="32"/>
              <w:lang w:eastAsia="zh-CN"/>
            </w:rPr>
            <w:t>三</w:t>
          </w:r>
          <w:r>
            <w:rPr>
              <w:rFonts w:hint="eastAsia" w:ascii="黑体" w:hAnsi="黑体" w:eastAsia="黑体" w:cs="黑体"/>
              <w:sz w:val="32"/>
              <w:szCs w:val="32"/>
            </w:rPr>
            <w:t>部分</w:t>
          </w:r>
          <w:r>
            <w:rPr>
              <w:rFonts w:hint="eastAsia" w:ascii="黑体" w:hAnsi="黑体" w:eastAsia="黑体" w:cs="黑体"/>
              <w:sz w:val="32"/>
              <w:szCs w:val="32"/>
              <w:lang w:val="en-US" w:eastAsia="zh-CN"/>
            </w:rPr>
            <w:t xml:space="preserve">  </w:t>
          </w:r>
          <w:r>
            <w:rPr>
              <w:rFonts w:hint="eastAsia" w:ascii="黑体" w:hAnsi="黑体" w:eastAsia="黑体" w:cs="黑体"/>
              <w:sz w:val="32"/>
              <w:szCs w:val="32"/>
            </w:rPr>
            <w:t>名词解释</w:t>
          </w:r>
          <w:r>
            <w:tab/>
          </w:r>
          <w:r>
            <w:rPr>
              <w:rFonts w:hint="eastAsia" w:ascii="Times New Roman" w:hAnsi="Times New Roman" w:eastAsia="仿宋_GB2312" w:cs="仿宋_GB2312"/>
              <w:color w:val="auto"/>
              <w:kern w:val="2"/>
              <w:sz w:val="32"/>
              <w:szCs w:val="32"/>
              <w:highlight w:val="none"/>
              <w:lang w:val="en-US" w:eastAsia="zh-CN" w:bidi="ar-SA"/>
            </w:rPr>
            <w:fldChar w:fldCharType="begin"/>
          </w:r>
          <w:r>
            <w:rPr>
              <w:rFonts w:hint="eastAsia" w:ascii="Times New Roman" w:hAnsi="Times New Roman" w:eastAsia="仿宋_GB2312" w:cs="仿宋_GB2312"/>
              <w:color w:val="auto"/>
              <w:kern w:val="2"/>
              <w:sz w:val="32"/>
              <w:szCs w:val="32"/>
              <w:highlight w:val="none"/>
              <w:lang w:val="en-US" w:eastAsia="zh-CN" w:bidi="ar-SA"/>
            </w:rPr>
            <w:instrText xml:space="preserve"> PAGEREF _Toc14865 \h </w:instrText>
          </w:r>
          <w:r>
            <w:rPr>
              <w:rFonts w:hint="eastAsia" w:ascii="Times New Roman" w:hAnsi="Times New Roman" w:eastAsia="仿宋_GB2312" w:cs="仿宋_GB2312"/>
              <w:color w:val="auto"/>
              <w:kern w:val="2"/>
              <w:sz w:val="32"/>
              <w:szCs w:val="32"/>
              <w:highlight w:val="none"/>
              <w:lang w:val="en-US" w:eastAsia="zh-CN" w:bidi="ar-SA"/>
            </w:rPr>
            <w:fldChar w:fldCharType="separate"/>
          </w:r>
          <w:r>
            <w:rPr>
              <w:rFonts w:hint="eastAsia" w:ascii="Times New Roman" w:hAnsi="Times New Roman" w:eastAsia="仿宋_GB2312" w:cs="仿宋_GB2312"/>
              <w:color w:val="auto"/>
              <w:kern w:val="2"/>
              <w:sz w:val="32"/>
              <w:szCs w:val="32"/>
              <w:highlight w:val="none"/>
              <w:lang w:val="en-US" w:eastAsia="zh-CN" w:bidi="ar-SA"/>
            </w:rPr>
            <w:t>- 10 -</w:t>
          </w:r>
          <w:r>
            <w:rPr>
              <w:rFonts w:hint="eastAsia" w:ascii="Times New Roman" w:hAnsi="Times New Roman" w:eastAsia="仿宋_GB2312" w:cs="仿宋_GB2312"/>
              <w:color w:val="auto"/>
              <w:kern w:val="2"/>
              <w:sz w:val="32"/>
              <w:szCs w:val="32"/>
              <w:highlight w:val="none"/>
              <w:lang w:val="en-US" w:eastAsia="zh-CN" w:bidi="ar-SA"/>
            </w:rPr>
            <w:fldChar w:fldCharType="end"/>
          </w:r>
          <w:r>
            <w:rPr>
              <w:rFonts w:ascii="Times New Roman" w:hAnsi="Times New Roman"/>
            </w:rPr>
            <w:fldChar w:fldCharType="end"/>
          </w:r>
        </w:p>
        <w:p>
          <w:pPr>
            <w:pStyle w:val="14"/>
            <w:tabs>
              <w:tab w:val="right" w:leader="dot" w:pos="8306"/>
              <w:tab w:val="clear" w:pos="8296"/>
            </w:tabs>
          </w:pPr>
          <w:r>
            <w:rPr>
              <w:rFonts w:ascii="Times New Roman" w:hAnsi="Times New Roman"/>
            </w:rPr>
            <w:fldChar w:fldCharType="begin"/>
          </w:r>
          <w:r>
            <w:rPr>
              <w:rFonts w:ascii="Times New Roman" w:hAnsi="Times New Roman"/>
            </w:rPr>
            <w:instrText xml:space="preserve"> HYPERLINK \l _Toc12531 </w:instrText>
          </w:r>
          <w:r>
            <w:rPr>
              <w:rFonts w:ascii="Times New Roman" w:hAnsi="Times New Roman"/>
            </w:rPr>
            <w:fldChar w:fldCharType="separate"/>
          </w:r>
          <w:r>
            <w:rPr>
              <w:rFonts w:hint="eastAsia" w:ascii="黑体" w:hAnsi="黑体" w:eastAsia="黑体" w:cs="黑体"/>
              <w:sz w:val="32"/>
              <w:szCs w:val="32"/>
            </w:rPr>
            <w:t>第四部分</w:t>
          </w:r>
          <w:r>
            <w:rPr>
              <w:rFonts w:hint="eastAsia" w:ascii="黑体" w:hAnsi="黑体" w:eastAsia="黑体" w:cs="黑体"/>
              <w:sz w:val="32"/>
              <w:szCs w:val="32"/>
              <w:lang w:val="en-US" w:eastAsia="zh-CN"/>
            </w:rPr>
            <w:t xml:space="preserve"> </w:t>
          </w:r>
          <w:r>
            <w:rPr>
              <w:rFonts w:hint="eastAsia" w:ascii="黑体" w:hAnsi="黑体" w:eastAsia="黑体" w:cs="黑体"/>
              <w:sz w:val="32"/>
              <w:szCs w:val="32"/>
            </w:rPr>
            <w:t xml:space="preserve"> 附件</w:t>
          </w:r>
          <w:r>
            <w:tab/>
          </w:r>
          <w:r>
            <w:rPr>
              <w:rFonts w:hint="eastAsia" w:ascii="Times New Roman" w:hAnsi="Times New Roman" w:eastAsia="仿宋_GB2312" w:cs="仿宋_GB2312"/>
              <w:color w:val="auto"/>
              <w:kern w:val="2"/>
              <w:sz w:val="32"/>
              <w:szCs w:val="32"/>
              <w:highlight w:val="none"/>
              <w:lang w:val="en-US" w:eastAsia="zh-CN" w:bidi="ar-SA"/>
            </w:rPr>
            <w:fldChar w:fldCharType="begin"/>
          </w:r>
          <w:r>
            <w:rPr>
              <w:rFonts w:hint="eastAsia" w:ascii="Times New Roman" w:hAnsi="Times New Roman" w:eastAsia="仿宋_GB2312" w:cs="仿宋_GB2312"/>
              <w:color w:val="auto"/>
              <w:kern w:val="2"/>
              <w:sz w:val="32"/>
              <w:szCs w:val="32"/>
              <w:highlight w:val="none"/>
              <w:lang w:val="en-US" w:eastAsia="zh-CN" w:bidi="ar-SA"/>
            </w:rPr>
            <w:instrText xml:space="preserve"> PAGEREF _Toc12531 \h </w:instrText>
          </w:r>
          <w:r>
            <w:rPr>
              <w:rFonts w:hint="eastAsia" w:ascii="Times New Roman" w:hAnsi="Times New Roman" w:eastAsia="仿宋_GB2312" w:cs="仿宋_GB2312"/>
              <w:color w:val="auto"/>
              <w:kern w:val="2"/>
              <w:sz w:val="32"/>
              <w:szCs w:val="32"/>
              <w:highlight w:val="none"/>
              <w:lang w:val="en-US" w:eastAsia="zh-CN" w:bidi="ar-SA"/>
            </w:rPr>
            <w:fldChar w:fldCharType="separate"/>
          </w:r>
          <w:r>
            <w:rPr>
              <w:rFonts w:hint="eastAsia" w:ascii="Times New Roman" w:hAnsi="Times New Roman" w:eastAsia="仿宋_GB2312" w:cs="仿宋_GB2312"/>
              <w:color w:val="auto"/>
              <w:kern w:val="2"/>
              <w:sz w:val="32"/>
              <w:szCs w:val="32"/>
              <w:highlight w:val="none"/>
              <w:lang w:val="en-US" w:eastAsia="zh-CN" w:bidi="ar-SA"/>
            </w:rPr>
            <w:t>- 13 -</w:t>
          </w:r>
          <w:r>
            <w:rPr>
              <w:rFonts w:hint="eastAsia" w:ascii="Times New Roman" w:hAnsi="Times New Roman" w:eastAsia="仿宋_GB2312" w:cs="仿宋_GB2312"/>
              <w:color w:val="auto"/>
              <w:kern w:val="2"/>
              <w:sz w:val="32"/>
              <w:szCs w:val="32"/>
              <w:highlight w:val="none"/>
              <w:lang w:val="en-US" w:eastAsia="zh-CN" w:bidi="ar-SA"/>
            </w:rPr>
            <w:fldChar w:fldCharType="end"/>
          </w:r>
          <w:r>
            <w:rPr>
              <w:rFonts w:ascii="Times New Roman" w:hAnsi="Times New Roman"/>
            </w:rPr>
            <w:fldChar w:fldCharType="end"/>
          </w:r>
        </w:p>
        <w:p>
          <w:pPr>
            <w:pStyle w:val="14"/>
            <w:tabs>
              <w:tab w:val="right" w:leader="dot" w:pos="8306"/>
              <w:tab w:val="clear" w:pos="8296"/>
            </w:tabs>
          </w:pPr>
          <w:r>
            <w:rPr>
              <w:rFonts w:ascii="Times New Roman" w:hAnsi="Times New Roman"/>
            </w:rPr>
            <w:fldChar w:fldCharType="begin"/>
          </w:r>
          <w:r>
            <w:rPr>
              <w:rFonts w:ascii="Times New Roman" w:hAnsi="Times New Roman"/>
            </w:rPr>
            <w:instrText xml:space="preserve"> HYPERLINK \l _Toc25732 </w:instrText>
          </w:r>
          <w:r>
            <w:rPr>
              <w:rFonts w:ascii="Times New Roman" w:hAnsi="Times New Roman"/>
            </w:rPr>
            <w:fldChar w:fldCharType="separate"/>
          </w:r>
          <w:r>
            <w:rPr>
              <w:rFonts w:hint="eastAsia" w:ascii="黑体" w:hAnsi="黑体" w:eastAsia="黑体" w:cs="黑体"/>
              <w:sz w:val="32"/>
              <w:szCs w:val="32"/>
            </w:rPr>
            <w:t>第五部分 附表</w:t>
          </w:r>
          <w:r>
            <w:tab/>
          </w:r>
          <w:r>
            <w:fldChar w:fldCharType="begin"/>
          </w:r>
          <w:r>
            <w:instrText xml:space="preserve"> PAGEREF _Toc25732 \h </w:instrText>
          </w:r>
          <w:r>
            <w:fldChar w:fldCharType="separate"/>
          </w:r>
          <w:r>
            <w:t xml:space="preserve">- </w:t>
          </w:r>
          <w:r>
            <w:rPr>
              <w:rFonts w:hint="default" w:ascii="Times New Roman" w:hAnsi="Times New Roman" w:cs="Times New Roman"/>
              <w:sz w:val="32"/>
              <w:szCs w:val="32"/>
            </w:rPr>
            <w:t>21</w:t>
          </w:r>
          <w:r>
            <w:t xml:space="preserve"> -</w:t>
          </w:r>
          <w:r>
            <w:fldChar w:fldCharType="end"/>
          </w:r>
          <w:r>
            <w:rPr>
              <w:rFonts w:ascii="Times New Roman" w:hAnsi="Times New Roman"/>
            </w:rPr>
            <w:fldChar w:fldCharType="end"/>
          </w:r>
        </w:p>
        <w:p>
          <w:pPr>
            <w:pStyle w:val="21"/>
            <w:rPr>
              <w:rFonts w:ascii="Times New Roman" w:hAnsi="Times New Roman"/>
            </w:rPr>
            <w:sectPr>
              <w:headerReference r:id="rId3" w:type="default"/>
              <w:footerReference r:id="rId4" w:type="default"/>
              <w:pgSz w:w="11906" w:h="16838"/>
              <w:pgMar w:top="1440" w:right="1800" w:bottom="1440" w:left="1800" w:header="851" w:footer="992" w:gutter="0"/>
              <w:pgNumType w:fmt="numberInDash" w:start="1"/>
              <w:cols w:space="425" w:num="1"/>
              <w:titlePg/>
              <w:docGrid w:type="lines" w:linePitch="312" w:charSpace="0"/>
            </w:sectPr>
          </w:pPr>
          <w:r>
            <w:rPr>
              <w:rFonts w:ascii="Times New Roman" w:hAnsi="Times New Roman"/>
            </w:rPr>
            <w:fldChar w:fldCharType="end"/>
          </w:r>
        </w:p>
      </w:sdtContent>
    </w:sdt>
    <w:bookmarkEnd w:id="0"/>
    <w:bookmarkEnd w:id="1"/>
    <w:bookmarkEnd w:id="2"/>
    <w:bookmarkEnd w:id="3"/>
    <w:bookmarkEnd w:id="4"/>
    <w:bookmarkEnd w:id="5"/>
    <w:p>
      <w:pPr>
        <w:pStyle w:val="6"/>
        <w:keepNext/>
        <w:keepLines/>
        <w:pageBreakBefore w:val="0"/>
        <w:widowControl w:val="0"/>
        <w:kinsoku/>
        <w:wordWrap/>
        <w:overflowPunct/>
        <w:topLinePunct w:val="0"/>
        <w:autoSpaceDE/>
        <w:autoSpaceDN/>
        <w:bidi w:val="0"/>
        <w:adjustRightInd/>
        <w:snapToGrid/>
        <w:spacing w:before="20" w:after="20" w:line="600" w:lineRule="exact"/>
        <w:jc w:val="center"/>
        <w:textAlignment w:val="auto"/>
      </w:pPr>
      <w:bookmarkStart w:id="13" w:name="_Toc15377196"/>
      <w:bookmarkStart w:id="14" w:name="_Toc15396599"/>
      <w:bookmarkStart w:id="15" w:name="_Toc25015"/>
      <w:r>
        <w:rPr>
          <w:rFonts w:hint="eastAsia"/>
        </w:rPr>
        <w:t>第一部分</w:t>
      </w:r>
      <w:r>
        <w:rPr>
          <w:rFonts w:hint="eastAsia"/>
          <w:lang w:val="en-US" w:eastAsia="zh-CN"/>
        </w:rPr>
        <w:t xml:space="preserve"> </w:t>
      </w:r>
      <w:r>
        <w:rPr>
          <w:rFonts w:hint="eastAsia"/>
        </w:rPr>
        <w:t xml:space="preserve"> 部门概况</w:t>
      </w:r>
      <w:bookmarkEnd w:id="13"/>
      <w:bookmarkEnd w:id="14"/>
      <w:bookmarkEnd w:id="15"/>
    </w:p>
    <w:p>
      <w:pPr>
        <w:pStyle w:val="7"/>
        <w:keepNext/>
        <w:keepLines/>
        <w:pageBreakBefore w:val="0"/>
        <w:widowControl w:val="0"/>
        <w:numPr>
          <w:ilvl w:val="0"/>
          <w:numId w:val="0"/>
        </w:numPr>
        <w:kinsoku/>
        <w:wordWrap/>
        <w:overflowPunct/>
        <w:topLinePunct w:val="0"/>
        <w:autoSpaceDE/>
        <w:autoSpaceDN/>
        <w:bidi w:val="0"/>
        <w:adjustRightInd/>
        <w:snapToGrid/>
        <w:spacing w:before="0" w:after="0" w:line="600" w:lineRule="exact"/>
        <w:ind w:firstLine="640" w:firstLineChars="200"/>
        <w:textAlignment w:val="auto"/>
        <w:rPr>
          <w:rFonts w:hint="eastAsia" w:ascii="黑体" w:hAnsi="黑体" w:eastAsia="黑体" w:cs="黑体"/>
          <w:b w:val="0"/>
          <w:bCs w:val="0"/>
          <w:lang w:eastAsia="zh-CN"/>
        </w:rPr>
      </w:pPr>
      <w:bookmarkStart w:id="16" w:name="_Toc6338"/>
      <w:r>
        <w:rPr>
          <w:rFonts w:hint="eastAsia" w:ascii="黑体" w:hAnsi="黑体" w:eastAsia="黑体" w:cs="黑体"/>
          <w:b w:val="0"/>
          <w:bCs w:val="0"/>
          <w:lang w:eastAsia="zh-CN"/>
        </w:rPr>
        <w:t>一、部门职责</w:t>
      </w:r>
      <w:bookmarkEnd w:id="16"/>
    </w:p>
    <w:p>
      <w:pPr>
        <w:pStyle w:val="7"/>
        <w:keepNext/>
        <w:keepLines/>
        <w:pageBreakBefore w:val="0"/>
        <w:widowControl w:val="0"/>
        <w:numPr>
          <w:ilvl w:val="0"/>
          <w:numId w:val="0"/>
        </w:numPr>
        <w:kinsoku/>
        <w:wordWrap/>
        <w:overflowPunct/>
        <w:topLinePunct w:val="0"/>
        <w:autoSpaceDE/>
        <w:autoSpaceDN/>
        <w:bidi w:val="0"/>
        <w:adjustRightInd/>
        <w:snapToGrid/>
        <w:spacing w:before="0" w:after="0" w:line="560" w:lineRule="exact"/>
        <w:ind w:firstLine="640" w:firstLineChars="200"/>
        <w:textAlignment w:val="auto"/>
        <w:rPr>
          <w:rFonts w:hint="eastAsia" w:ascii="Times New Roman" w:hAnsi="Times New Roman" w:eastAsia="仿宋_GB2312" w:cs="仿宋_GB2312"/>
          <w:b w:val="0"/>
          <w:bCs w:val="0"/>
          <w:color w:val="auto"/>
          <w:kern w:val="2"/>
          <w:sz w:val="32"/>
          <w:szCs w:val="32"/>
          <w:highlight w:val="none"/>
          <w:lang w:val="en-US" w:eastAsia="zh-CN" w:bidi="ar-SA"/>
        </w:rPr>
      </w:pPr>
      <w:bookmarkStart w:id="17" w:name="_Toc31711"/>
      <w:r>
        <w:rPr>
          <w:rFonts w:hint="eastAsia" w:ascii="Times New Roman" w:hAnsi="Times New Roman" w:eastAsia="仿宋_GB2312" w:cs="仿宋_GB2312"/>
          <w:b w:val="0"/>
          <w:bCs w:val="0"/>
          <w:color w:val="auto"/>
          <w:kern w:val="2"/>
          <w:sz w:val="32"/>
          <w:szCs w:val="32"/>
          <w:highlight w:val="none"/>
          <w:lang w:val="en-US" w:eastAsia="zh-CN" w:bidi="ar-SA"/>
        </w:rPr>
        <w:t>1、依法对平昌县人民代表大会及其常委会负责并报告工作，接受平昌县人民代表大会及其常务委员会的监督，服从上级人民检察院的领导。</w:t>
      </w:r>
      <w:bookmarkEnd w:id="17"/>
    </w:p>
    <w:p>
      <w:pPr>
        <w:pStyle w:val="7"/>
        <w:keepNext/>
        <w:keepLines/>
        <w:pageBreakBefore w:val="0"/>
        <w:widowControl w:val="0"/>
        <w:numPr>
          <w:ilvl w:val="0"/>
          <w:numId w:val="0"/>
        </w:numPr>
        <w:kinsoku/>
        <w:wordWrap/>
        <w:overflowPunct/>
        <w:topLinePunct w:val="0"/>
        <w:autoSpaceDE/>
        <w:autoSpaceDN/>
        <w:bidi w:val="0"/>
        <w:adjustRightInd/>
        <w:snapToGrid/>
        <w:spacing w:before="0" w:after="0" w:line="560" w:lineRule="exact"/>
        <w:ind w:firstLine="640" w:firstLineChars="200"/>
        <w:textAlignment w:val="auto"/>
        <w:rPr>
          <w:rFonts w:hint="eastAsia" w:ascii="Times New Roman" w:hAnsi="Times New Roman" w:eastAsia="仿宋_GB2312" w:cs="仿宋_GB2312"/>
          <w:b w:val="0"/>
          <w:bCs w:val="0"/>
          <w:color w:val="auto"/>
          <w:kern w:val="2"/>
          <w:sz w:val="32"/>
          <w:szCs w:val="32"/>
          <w:highlight w:val="none"/>
          <w:lang w:val="en-US" w:eastAsia="zh-CN" w:bidi="ar-SA"/>
        </w:rPr>
      </w:pPr>
      <w:bookmarkStart w:id="18" w:name="_Toc24768"/>
      <w:r>
        <w:rPr>
          <w:rFonts w:hint="eastAsia" w:ascii="Times New Roman" w:hAnsi="Times New Roman" w:eastAsia="仿宋_GB2312" w:cs="仿宋_GB2312"/>
          <w:b w:val="0"/>
          <w:bCs w:val="0"/>
          <w:color w:val="auto"/>
          <w:kern w:val="2"/>
          <w:sz w:val="32"/>
          <w:szCs w:val="32"/>
          <w:highlight w:val="none"/>
          <w:lang w:val="en-US" w:eastAsia="zh-CN" w:bidi="ar-SA"/>
        </w:rPr>
        <w:t>2、对由平昌县人民检察院管辖的刑事案件依法审查批准逮捕、决定逮捕、提起公诉。</w:t>
      </w:r>
      <w:bookmarkEnd w:id="18"/>
    </w:p>
    <w:p>
      <w:pPr>
        <w:pStyle w:val="7"/>
        <w:keepNext/>
        <w:keepLines/>
        <w:pageBreakBefore w:val="0"/>
        <w:widowControl w:val="0"/>
        <w:numPr>
          <w:ilvl w:val="0"/>
          <w:numId w:val="0"/>
        </w:numPr>
        <w:kinsoku/>
        <w:wordWrap/>
        <w:overflowPunct/>
        <w:topLinePunct w:val="0"/>
        <w:autoSpaceDE/>
        <w:autoSpaceDN/>
        <w:bidi w:val="0"/>
        <w:adjustRightInd/>
        <w:snapToGrid/>
        <w:spacing w:before="0" w:after="0" w:line="560" w:lineRule="exact"/>
        <w:ind w:firstLine="640" w:firstLineChars="200"/>
        <w:textAlignment w:val="auto"/>
        <w:rPr>
          <w:rFonts w:hint="eastAsia" w:ascii="Times New Roman" w:hAnsi="Times New Roman" w:eastAsia="仿宋_GB2312" w:cs="仿宋_GB2312"/>
          <w:b w:val="0"/>
          <w:bCs w:val="0"/>
          <w:color w:val="auto"/>
          <w:kern w:val="2"/>
          <w:sz w:val="32"/>
          <w:szCs w:val="32"/>
          <w:highlight w:val="none"/>
          <w:lang w:val="en-US" w:eastAsia="zh-CN" w:bidi="ar-SA"/>
        </w:rPr>
      </w:pPr>
      <w:bookmarkStart w:id="19" w:name="_Toc21153"/>
      <w:r>
        <w:rPr>
          <w:rFonts w:hint="eastAsia" w:ascii="Times New Roman" w:hAnsi="Times New Roman" w:eastAsia="仿宋_GB2312" w:cs="仿宋_GB2312"/>
          <w:b w:val="0"/>
          <w:bCs w:val="0"/>
          <w:color w:val="auto"/>
          <w:kern w:val="2"/>
          <w:sz w:val="32"/>
          <w:szCs w:val="32"/>
          <w:highlight w:val="none"/>
          <w:lang w:val="en-US" w:eastAsia="zh-CN" w:bidi="ar-SA"/>
        </w:rPr>
        <w:t>3、负责对同级人民法院刑事、民事、行政诉讼活动及刑事、民事、行政判决和裁定等生效法律文书执行的法律监督工作。</w:t>
      </w:r>
      <w:bookmarkEnd w:id="19"/>
    </w:p>
    <w:p>
      <w:pPr>
        <w:pStyle w:val="7"/>
        <w:keepNext/>
        <w:keepLines/>
        <w:pageBreakBefore w:val="0"/>
        <w:widowControl w:val="0"/>
        <w:numPr>
          <w:ilvl w:val="0"/>
          <w:numId w:val="0"/>
        </w:numPr>
        <w:kinsoku/>
        <w:wordWrap/>
        <w:overflowPunct/>
        <w:topLinePunct w:val="0"/>
        <w:autoSpaceDE/>
        <w:autoSpaceDN/>
        <w:bidi w:val="0"/>
        <w:adjustRightInd/>
        <w:snapToGrid/>
        <w:spacing w:before="0" w:after="0" w:line="560" w:lineRule="exact"/>
        <w:ind w:firstLine="640" w:firstLineChars="200"/>
        <w:textAlignment w:val="auto"/>
        <w:rPr>
          <w:rFonts w:hint="default" w:ascii="Times New Roman" w:hAnsi="Times New Roman" w:eastAsia="仿宋_GB2312" w:cs="仿宋_GB2312"/>
          <w:b w:val="0"/>
          <w:bCs w:val="0"/>
          <w:color w:val="auto"/>
          <w:kern w:val="2"/>
          <w:sz w:val="32"/>
          <w:szCs w:val="32"/>
          <w:highlight w:val="none"/>
          <w:lang w:val="en-US" w:eastAsia="zh-CN" w:bidi="ar-SA"/>
        </w:rPr>
      </w:pPr>
      <w:bookmarkStart w:id="20" w:name="_Toc31199"/>
      <w:r>
        <w:rPr>
          <w:rFonts w:hint="eastAsia" w:ascii="Times New Roman" w:hAnsi="Times New Roman" w:eastAsia="仿宋_GB2312" w:cs="仿宋_GB2312"/>
          <w:b w:val="0"/>
          <w:bCs w:val="0"/>
          <w:color w:val="auto"/>
          <w:kern w:val="2"/>
          <w:sz w:val="32"/>
          <w:szCs w:val="32"/>
          <w:highlight w:val="none"/>
          <w:lang w:val="en-US" w:eastAsia="zh-CN" w:bidi="ar-SA"/>
        </w:rPr>
        <w:t>4、依法开展公益诉讼检察工作。</w:t>
      </w:r>
      <w:bookmarkEnd w:id="20"/>
    </w:p>
    <w:p>
      <w:pPr>
        <w:pStyle w:val="7"/>
        <w:keepNext/>
        <w:keepLines/>
        <w:pageBreakBefore w:val="0"/>
        <w:widowControl w:val="0"/>
        <w:numPr>
          <w:ilvl w:val="0"/>
          <w:numId w:val="0"/>
        </w:numPr>
        <w:kinsoku/>
        <w:wordWrap/>
        <w:overflowPunct/>
        <w:topLinePunct w:val="0"/>
        <w:autoSpaceDE/>
        <w:autoSpaceDN/>
        <w:bidi w:val="0"/>
        <w:adjustRightInd/>
        <w:snapToGrid/>
        <w:spacing w:before="0" w:after="0" w:line="560" w:lineRule="exact"/>
        <w:ind w:firstLine="640" w:firstLineChars="200"/>
        <w:textAlignment w:val="auto"/>
        <w:rPr>
          <w:rFonts w:hint="default" w:ascii="Times New Roman" w:hAnsi="Times New Roman" w:eastAsia="仿宋_GB2312" w:cs="仿宋_GB2312"/>
          <w:b w:val="0"/>
          <w:bCs w:val="0"/>
          <w:color w:val="auto"/>
          <w:kern w:val="2"/>
          <w:sz w:val="32"/>
          <w:szCs w:val="32"/>
          <w:highlight w:val="none"/>
          <w:lang w:val="en-US" w:eastAsia="zh-CN" w:bidi="ar-SA"/>
        </w:rPr>
      </w:pPr>
      <w:bookmarkStart w:id="21" w:name="_Toc12848"/>
      <w:r>
        <w:rPr>
          <w:rFonts w:hint="eastAsia" w:ascii="Times New Roman" w:hAnsi="Times New Roman" w:eastAsia="仿宋_GB2312" w:cs="仿宋_GB2312"/>
          <w:b w:val="0"/>
          <w:bCs w:val="0"/>
          <w:color w:val="auto"/>
          <w:kern w:val="2"/>
          <w:sz w:val="32"/>
          <w:szCs w:val="32"/>
          <w:highlight w:val="none"/>
          <w:lang w:val="en-US" w:eastAsia="zh-CN" w:bidi="ar-SA"/>
        </w:rPr>
        <w:t>5、依法对侦查机关、刑罚执行机关和看守所的执法活动实施法律监督。</w:t>
      </w:r>
      <w:bookmarkEnd w:id="21"/>
    </w:p>
    <w:p>
      <w:pPr>
        <w:pStyle w:val="7"/>
        <w:keepNext/>
        <w:keepLines/>
        <w:pageBreakBefore w:val="0"/>
        <w:widowControl w:val="0"/>
        <w:numPr>
          <w:ilvl w:val="0"/>
          <w:numId w:val="0"/>
        </w:numPr>
        <w:kinsoku/>
        <w:wordWrap/>
        <w:overflowPunct/>
        <w:topLinePunct w:val="0"/>
        <w:autoSpaceDE/>
        <w:autoSpaceDN/>
        <w:bidi w:val="0"/>
        <w:adjustRightInd/>
        <w:snapToGrid/>
        <w:spacing w:before="0" w:after="0" w:line="560" w:lineRule="exact"/>
        <w:ind w:firstLine="640" w:firstLineChars="200"/>
        <w:textAlignment w:val="auto"/>
        <w:rPr>
          <w:rFonts w:hint="eastAsia" w:ascii="Times New Roman" w:hAnsi="Times New Roman" w:eastAsia="仿宋_GB2312" w:cs="仿宋_GB2312"/>
          <w:b w:val="0"/>
          <w:bCs w:val="0"/>
          <w:color w:val="auto"/>
          <w:kern w:val="2"/>
          <w:sz w:val="32"/>
          <w:szCs w:val="32"/>
          <w:highlight w:val="none"/>
          <w:lang w:val="en-US" w:eastAsia="zh-CN" w:bidi="ar-SA"/>
        </w:rPr>
      </w:pPr>
      <w:bookmarkStart w:id="22" w:name="_Toc20746"/>
      <w:r>
        <w:rPr>
          <w:rFonts w:hint="eastAsia" w:ascii="Times New Roman" w:hAnsi="Times New Roman" w:eastAsia="仿宋_GB2312" w:cs="仿宋_GB2312"/>
          <w:b w:val="0"/>
          <w:bCs w:val="0"/>
          <w:color w:val="auto"/>
          <w:kern w:val="2"/>
          <w:sz w:val="32"/>
          <w:szCs w:val="32"/>
          <w:highlight w:val="none"/>
          <w:lang w:val="en-US" w:eastAsia="zh-CN" w:bidi="ar-SA"/>
        </w:rPr>
        <w:t>6、依法受理向平昌县人民检察院的控告申诉。</w:t>
      </w:r>
      <w:bookmarkEnd w:id="22"/>
    </w:p>
    <w:p>
      <w:pPr>
        <w:pStyle w:val="7"/>
        <w:keepNext/>
        <w:keepLines/>
        <w:pageBreakBefore w:val="0"/>
        <w:widowControl w:val="0"/>
        <w:numPr>
          <w:ilvl w:val="0"/>
          <w:numId w:val="0"/>
        </w:numPr>
        <w:kinsoku/>
        <w:wordWrap/>
        <w:overflowPunct/>
        <w:topLinePunct w:val="0"/>
        <w:autoSpaceDE/>
        <w:autoSpaceDN/>
        <w:bidi w:val="0"/>
        <w:adjustRightInd/>
        <w:snapToGrid/>
        <w:spacing w:before="0" w:after="0" w:line="560" w:lineRule="exact"/>
        <w:ind w:firstLine="640" w:firstLineChars="200"/>
        <w:textAlignment w:val="auto"/>
        <w:rPr>
          <w:rFonts w:hint="eastAsia" w:ascii="Times New Roman" w:hAnsi="Times New Roman" w:eastAsia="仿宋_GB2312" w:cs="仿宋_GB2312"/>
          <w:b w:val="0"/>
          <w:bCs w:val="0"/>
          <w:color w:val="auto"/>
          <w:kern w:val="2"/>
          <w:sz w:val="32"/>
          <w:szCs w:val="32"/>
          <w:highlight w:val="none"/>
          <w:lang w:val="en-US" w:eastAsia="zh-CN" w:bidi="ar-SA"/>
        </w:rPr>
      </w:pPr>
      <w:bookmarkStart w:id="23" w:name="_Toc26439"/>
      <w:r>
        <w:rPr>
          <w:rFonts w:hint="eastAsia" w:ascii="Times New Roman" w:hAnsi="Times New Roman" w:eastAsia="仿宋_GB2312" w:cs="仿宋_GB2312"/>
          <w:b w:val="0"/>
          <w:bCs w:val="0"/>
          <w:color w:val="auto"/>
          <w:kern w:val="2"/>
          <w:sz w:val="32"/>
          <w:szCs w:val="32"/>
          <w:highlight w:val="none"/>
          <w:lang w:val="en-US" w:eastAsia="zh-CN" w:bidi="ar-SA"/>
        </w:rPr>
        <w:t>7、对检察工作中具体应用法律进行调研，积极参与社会治安综合治理，搞好信息反馈及法治宣传，为上级检察机关和地方党委政府正确决策提供依据。</w:t>
      </w:r>
      <w:bookmarkEnd w:id="23"/>
    </w:p>
    <w:p>
      <w:pPr>
        <w:pStyle w:val="7"/>
        <w:keepNext/>
        <w:keepLines/>
        <w:pageBreakBefore w:val="0"/>
        <w:widowControl w:val="0"/>
        <w:numPr>
          <w:ilvl w:val="0"/>
          <w:numId w:val="0"/>
        </w:numPr>
        <w:kinsoku/>
        <w:wordWrap/>
        <w:overflowPunct/>
        <w:topLinePunct w:val="0"/>
        <w:autoSpaceDE/>
        <w:autoSpaceDN/>
        <w:bidi w:val="0"/>
        <w:adjustRightInd/>
        <w:snapToGrid/>
        <w:spacing w:before="0" w:after="0" w:line="560" w:lineRule="exact"/>
        <w:ind w:firstLine="640" w:firstLineChars="200"/>
        <w:textAlignment w:val="auto"/>
        <w:rPr>
          <w:rFonts w:hint="eastAsia" w:ascii="Times New Roman" w:hAnsi="Times New Roman" w:eastAsia="仿宋_GB2312" w:cs="仿宋_GB2312"/>
          <w:b w:val="0"/>
          <w:bCs w:val="0"/>
          <w:color w:val="auto"/>
          <w:kern w:val="2"/>
          <w:sz w:val="32"/>
          <w:szCs w:val="32"/>
          <w:highlight w:val="none"/>
          <w:lang w:val="en-US" w:eastAsia="zh-CN" w:bidi="ar-SA"/>
        </w:rPr>
      </w:pPr>
      <w:bookmarkStart w:id="24" w:name="_Toc11683"/>
      <w:r>
        <w:rPr>
          <w:rFonts w:hint="eastAsia" w:ascii="Times New Roman" w:hAnsi="Times New Roman" w:eastAsia="仿宋_GB2312" w:cs="仿宋_GB2312"/>
          <w:b w:val="0"/>
          <w:bCs w:val="0"/>
          <w:color w:val="auto"/>
          <w:kern w:val="2"/>
          <w:sz w:val="32"/>
          <w:szCs w:val="32"/>
          <w:highlight w:val="none"/>
          <w:lang w:val="en-US" w:eastAsia="zh-CN" w:bidi="ar-SA"/>
        </w:rPr>
        <w:t>8、负责开展检务督查工作。</w:t>
      </w:r>
      <w:bookmarkEnd w:id="24"/>
      <w:bookmarkStart w:id="25" w:name="_Toc15396601"/>
      <w:bookmarkStart w:id="26" w:name="_Toc15377200"/>
    </w:p>
    <w:p>
      <w:pPr>
        <w:pStyle w:val="7"/>
        <w:keepNext/>
        <w:keepLines/>
        <w:pageBreakBefore w:val="0"/>
        <w:widowControl w:val="0"/>
        <w:kinsoku/>
        <w:wordWrap/>
        <w:overflowPunct/>
        <w:topLinePunct w:val="0"/>
        <w:autoSpaceDE/>
        <w:autoSpaceDN/>
        <w:bidi w:val="0"/>
        <w:adjustRightInd/>
        <w:snapToGrid/>
        <w:spacing w:before="0" w:after="0" w:line="600" w:lineRule="exact"/>
        <w:ind w:firstLine="640" w:firstLineChars="200"/>
        <w:textAlignment w:val="auto"/>
        <w:rPr>
          <w:rFonts w:hint="eastAsia" w:ascii="黑体" w:hAnsi="黑体" w:eastAsia="黑体" w:cs="黑体"/>
          <w:b w:val="0"/>
          <w:bCs w:val="0"/>
        </w:rPr>
      </w:pPr>
      <w:bookmarkStart w:id="27" w:name="_Toc23301"/>
      <w:r>
        <w:rPr>
          <w:rFonts w:hint="eastAsia" w:ascii="黑体" w:hAnsi="黑体" w:eastAsia="黑体" w:cs="黑体"/>
          <w:b w:val="0"/>
          <w:bCs w:val="0"/>
        </w:rPr>
        <w:t>二、</w:t>
      </w:r>
      <w:r>
        <w:rPr>
          <w:rFonts w:hint="eastAsia" w:ascii="黑体" w:hAnsi="黑体" w:eastAsia="黑体" w:cs="黑体"/>
          <w:b w:val="0"/>
          <w:bCs w:val="0"/>
          <w:lang w:eastAsia="zh-CN"/>
        </w:rPr>
        <w:t>机</w:t>
      </w:r>
      <w:r>
        <w:rPr>
          <w:rFonts w:hint="eastAsia" w:ascii="黑体" w:hAnsi="黑体" w:eastAsia="黑体" w:cs="黑体"/>
          <w:b w:val="0"/>
          <w:bCs w:val="0"/>
        </w:rPr>
        <w:t>构设置</w:t>
      </w:r>
      <w:bookmarkEnd w:id="25"/>
      <w:bookmarkEnd w:id="26"/>
      <w:bookmarkEnd w:id="27"/>
      <w:bookmarkStart w:id="28" w:name="_Toc15377204"/>
      <w:bookmarkStart w:id="29" w:name="_Toc15396602"/>
    </w:p>
    <w:p>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textAlignment w:val="auto"/>
        <w:rPr>
          <w:rFonts w:hint="eastAsia" w:ascii="Times New Roman" w:hAnsi="Times New Roman" w:eastAsia="仿宋_GB2312" w:cs="仿宋_GB2312"/>
          <w:b w:val="0"/>
          <w:bCs w:val="0"/>
          <w:color w:val="auto"/>
          <w:kern w:val="2"/>
          <w:sz w:val="32"/>
          <w:szCs w:val="32"/>
          <w:highlight w:val="none"/>
          <w:lang w:val="en-US" w:eastAsia="zh-CN" w:bidi="ar-SA"/>
        </w:rPr>
      </w:pPr>
      <w:r>
        <w:rPr>
          <w:rFonts w:hint="eastAsia" w:ascii="Times New Roman" w:hAnsi="Times New Roman" w:eastAsia="仿宋_GB2312" w:cs="仿宋_GB2312"/>
          <w:b w:val="0"/>
          <w:bCs w:val="0"/>
          <w:color w:val="auto"/>
          <w:kern w:val="2"/>
          <w:sz w:val="32"/>
          <w:szCs w:val="32"/>
          <w:highlight w:val="none"/>
          <w:lang w:val="en-US" w:eastAsia="zh-CN" w:bidi="ar-SA"/>
        </w:rPr>
        <w:t>平昌县人民检察院下属二级预算单位0个，其中行政单位0个，参照公务员法管理的事业单位0个，其他事业单位0个。</w:t>
      </w:r>
    </w:p>
    <w:p>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textAlignment w:val="auto"/>
        <w:rPr>
          <w:rFonts w:hint="eastAsia" w:ascii="Times New Roman" w:hAnsi="Times New Roman" w:eastAsia="仿宋_GB2312" w:cs="仿宋_GB2312"/>
          <w:b w:val="0"/>
          <w:bCs w:val="0"/>
          <w:color w:val="auto"/>
          <w:kern w:val="2"/>
          <w:sz w:val="32"/>
          <w:szCs w:val="32"/>
          <w:highlight w:val="none"/>
          <w:lang w:val="en-US" w:eastAsia="zh-CN" w:bidi="ar-SA"/>
        </w:rPr>
      </w:pPr>
      <w:r>
        <w:rPr>
          <w:rFonts w:hint="eastAsia" w:ascii="Times New Roman" w:hAnsi="Times New Roman" w:eastAsia="仿宋_GB2312" w:cs="仿宋_GB2312"/>
          <w:b w:val="0"/>
          <w:bCs w:val="0"/>
          <w:color w:val="auto"/>
          <w:kern w:val="2"/>
          <w:sz w:val="32"/>
          <w:szCs w:val="32"/>
          <w:highlight w:val="none"/>
          <w:lang w:val="en-US" w:eastAsia="zh-CN" w:bidi="ar-SA"/>
        </w:rPr>
        <w:t>无纳入平昌县人民检察院202</w:t>
      </w:r>
      <w:r>
        <w:rPr>
          <w:rFonts w:hint="eastAsia" w:ascii="Times New Roman" w:eastAsia="仿宋_GB2312" w:cs="仿宋_GB2312"/>
          <w:b w:val="0"/>
          <w:bCs w:val="0"/>
          <w:color w:val="auto"/>
          <w:kern w:val="2"/>
          <w:sz w:val="32"/>
          <w:szCs w:val="32"/>
          <w:highlight w:val="none"/>
          <w:lang w:val="en-US" w:eastAsia="zh-CN" w:bidi="ar-SA"/>
        </w:rPr>
        <w:t>5</w:t>
      </w:r>
      <w:r>
        <w:rPr>
          <w:rFonts w:hint="eastAsia" w:ascii="Times New Roman" w:hAnsi="Times New Roman" w:eastAsia="仿宋_GB2312" w:cs="仿宋_GB2312"/>
          <w:b w:val="0"/>
          <w:bCs w:val="0"/>
          <w:color w:val="auto"/>
          <w:kern w:val="2"/>
          <w:sz w:val="32"/>
          <w:szCs w:val="32"/>
          <w:highlight w:val="none"/>
          <w:lang w:val="en-US" w:eastAsia="zh-CN" w:bidi="ar-SA"/>
        </w:rPr>
        <w:t>年度部门决算编制范围的二级预算。</w:t>
      </w:r>
    </w:p>
    <w:p>
      <w:pPr>
        <w:pStyle w:val="6"/>
        <w:keepNext/>
        <w:keepLines/>
        <w:pageBreakBefore w:val="0"/>
        <w:widowControl w:val="0"/>
        <w:kinsoku/>
        <w:wordWrap/>
        <w:overflowPunct/>
        <w:topLinePunct w:val="0"/>
        <w:autoSpaceDE/>
        <w:autoSpaceDN/>
        <w:bidi w:val="0"/>
        <w:adjustRightInd/>
        <w:snapToGrid/>
        <w:spacing w:before="20" w:after="20" w:line="600" w:lineRule="exact"/>
        <w:jc w:val="center"/>
        <w:textAlignment w:val="auto"/>
        <w:rPr>
          <w:rFonts w:hint="eastAsia"/>
        </w:rPr>
      </w:pPr>
      <w:bookmarkStart w:id="30" w:name="_Toc15981"/>
      <w:r>
        <w:rPr>
          <w:rFonts w:hint="eastAsia"/>
          <w:lang w:val="en-US" w:eastAsia="zh-CN"/>
        </w:rPr>
        <w:t>第二部分</w:t>
      </w:r>
      <w:r>
        <w:rPr>
          <w:rFonts w:hint="eastAsia"/>
        </w:rPr>
        <w:t xml:space="preserve"> </w:t>
      </w:r>
      <w:r>
        <w:rPr>
          <w:rFonts w:hint="eastAsia"/>
          <w:lang w:val="en-US" w:eastAsia="zh-CN"/>
        </w:rPr>
        <w:t>2025年度</w:t>
      </w:r>
      <w:r>
        <w:rPr>
          <w:rFonts w:hint="eastAsia"/>
        </w:rPr>
        <w:t>部门决算情况说明</w:t>
      </w:r>
      <w:bookmarkEnd w:id="28"/>
      <w:bookmarkEnd w:id="29"/>
      <w:bookmarkEnd w:id="30"/>
      <w:bookmarkStart w:id="31" w:name="_Toc15396603"/>
      <w:bookmarkStart w:id="32" w:name="_Toc15377205"/>
    </w:p>
    <w:p>
      <w:pPr>
        <w:pStyle w:val="7"/>
        <w:keepNext/>
        <w:keepLines/>
        <w:pageBreakBefore w:val="0"/>
        <w:widowControl w:val="0"/>
        <w:kinsoku/>
        <w:wordWrap/>
        <w:overflowPunct/>
        <w:topLinePunct w:val="0"/>
        <w:autoSpaceDE/>
        <w:autoSpaceDN/>
        <w:bidi w:val="0"/>
        <w:adjustRightInd/>
        <w:snapToGrid/>
        <w:spacing w:before="0" w:after="0" w:line="600" w:lineRule="exact"/>
        <w:ind w:firstLine="640" w:firstLineChars="200"/>
        <w:textAlignment w:val="auto"/>
        <w:rPr>
          <w:rFonts w:hint="eastAsia" w:ascii="黑体" w:hAnsi="黑体" w:eastAsia="黑体" w:cs="黑体"/>
          <w:b w:val="0"/>
          <w:bCs w:val="0"/>
        </w:rPr>
      </w:pPr>
      <w:bookmarkStart w:id="33" w:name="_Toc19135"/>
      <w:r>
        <w:rPr>
          <w:rFonts w:hint="eastAsia" w:ascii="黑体" w:hAnsi="黑体" w:eastAsia="黑体" w:cs="黑体"/>
          <w:b w:val="0"/>
          <w:bCs w:val="0"/>
          <w:lang w:eastAsia="zh-CN"/>
        </w:rPr>
        <w:t>一、</w:t>
      </w:r>
      <w:r>
        <w:rPr>
          <w:rFonts w:hint="eastAsia" w:ascii="黑体" w:hAnsi="黑体" w:eastAsia="黑体" w:cs="黑体"/>
          <w:b w:val="0"/>
          <w:bCs w:val="0"/>
        </w:rPr>
        <w:t>收入支出决算总体情况说明</w:t>
      </w:r>
      <w:bookmarkEnd w:id="31"/>
      <w:bookmarkEnd w:id="32"/>
      <w:bookmarkEnd w:id="33"/>
    </w:p>
    <w:p>
      <w:pPr>
        <w:pStyle w:val="6"/>
        <w:keepNext/>
        <w:keepLines/>
        <w:pageBreakBefore w:val="0"/>
        <w:widowControl w:val="0"/>
        <w:kinsoku/>
        <w:wordWrap/>
        <w:overflowPunct/>
        <w:topLinePunct w:val="0"/>
        <w:autoSpaceDE/>
        <w:autoSpaceDN/>
        <w:bidi w:val="0"/>
        <w:adjustRightInd/>
        <w:snapToGrid/>
        <w:spacing w:before="0" w:after="0" w:line="560" w:lineRule="exact"/>
        <w:ind w:right="442" w:firstLine="640" w:firstLineChars="200"/>
        <w:textAlignment w:val="auto"/>
        <w:rPr>
          <w:rFonts w:hint="eastAsia" w:ascii="Times New Roman" w:hAnsi="Times New Roman" w:eastAsia="仿宋_GB2312" w:cs="仿宋_GB2312"/>
          <w:b w:val="0"/>
          <w:bCs w:val="0"/>
          <w:color w:val="auto"/>
          <w:kern w:val="2"/>
          <w:sz w:val="32"/>
          <w:szCs w:val="32"/>
          <w:highlight w:val="none"/>
          <w:lang w:val="en-US" w:eastAsia="zh-CN" w:bidi="ar-SA"/>
        </w:rPr>
      </w:pPr>
      <w:bookmarkStart w:id="34" w:name="_Toc22169"/>
      <w:r>
        <w:rPr>
          <w:rFonts w:hint="eastAsia" w:ascii="Times New Roman" w:hAnsi="Times New Roman" w:eastAsia="仿宋_GB2312" w:cs="仿宋_GB2312"/>
          <w:b w:val="0"/>
          <w:bCs w:val="0"/>
          <w:color w:val="auto"/>
          <w:kern w:val="2"/>
          <w:sz w:val="32"/>
          <w:szCs w:val="32"/>
          <w:highlight w:val="none"/>
          <w:lang w:val="en-US" w:eastAsia="zh-CN" w:bidi="ar-SA"/>
        </w:rPr>
        <w:t>202</w:t>
      </w:r>
      <w:r>
        <w:rPr>
          <w:rFonts w:hint="eastAsia" w:eastAsia="仿宋_GB2312" w:cs="仿宋_GB2312"/>
          <w:b w:val="0"/>
          <w:bCs w:val="0"/>
          <w:color w:val="auto"/>
          <w:kern w:val="2"/>
          <w:sz w:val="32"/>
          <w:szCs w:val="32"/>
          <w:highlight w:val="none"/>
          <w:lang w:val="en-US" w:eastAsia="zh-CN" w:bidi="ar-SA"/>
        </w:rPr>
        <w:t>5</w:t>
      </w:r>
      <w:r>
        <w:rPr>
          <w:rFonts w:hint="eastAsia" w:ascii="Times New Roman" w:hAnsi="Times New Roman" w:eastAsia="仿宋_GB2312" w:cs="仿宋_GB2312"/>
          <w:b w:val="0"/>
          <w:bCs w:val="0"/>
          <w:color w:val="auto"/>
          <w:kern w:val="2"/>
          <w:sz w:val="32"/>
          <w:szCs w:val="32"/>
          <w:highlight w:val="none"/>
          <w:lang w:val="en-US" w:eastAsia="zh-CN" w:bidi="ar-SA"/>
        </w:rPr>
        <w:t>年度收入、支出总计均为</w:t>
      </w:r>
      <w:r>
        <w:rPr>
          <w:rFonts w:hint="eastAsia" w:eastAsia="仿宋_GB2312" w:cs="仿宋_GB2312"/>
          <w:b w:val="0"/>
          <w:bCs w:val="0"/>
          <w:color w:val="auto"/>
          <w:kern w:val="2"/>
          <w:sz w:val="32"/>
          <w:szCs w:val="32"/>
          <w:highlight w:val="none"/>
          <w:lang w:val="en-US" w:eastAsia="zh-CN" w:bidi="ar-SA"/>
        </w:rPr>
        <w:t>1698.23</w:t>
      </w:r>
      <w:r>
        <w:rPr>
          <w:rFonts w:hint="eastAsia" w:ascii="Times New Roman" w:hAnsi="Times New Roman" w:eastAsia="仿宋_GB2312" w:cs="仿宋_GB2312"/>
          <w:b w:val="0"/>
          <w:bCs w:val="0"/>
          <w:color w:val="auto"/>
          <w:kern w:val="2"/>
          <w:sz w:val="32"/>
          <w:szCs w:val="32"/>
          <w:highlight w:val="none"/>
          <w:lang w:val="en-US" w:eastAsia="zh-CN" w:bidi="ar-SA"/>
        </w:rPr>
        <w:t>万元</w:t>
      </w:r>
      <w:r>
        <w:rPr>
          <w:rFonts w:hint="eastAsia" w:eastAsia="仿宋_GB2312" w:cs="仿宋_GB2312"/>
          <w:b w:val="0"/>
          <w:bCs w:val="0"/>
          <w:color w:val="auto"/>
          <w:kern w:val="2"/>
          <w:sz w:val="32"/>
          <w:szCs w:val="32"/>
          <w:highlight w:val="none"/>
          <w:lang w:val="en-US" w:eastAsia="zh-CN" w:bidi="ar-SA"/>
        </w:rPr>
        <w:t>。</w:t>
      </w:r>
      <w:r>
        <w:rPr>
          <w:rFonts w:hint="eastAsia" w:ascii="Times New Roman" w:hAnsi="Times New Roman" w:eastAsia="仿宋_GB2312" w:cs="仿宋_GB2312"/>
          <w:b w:val="0"/>
          <w:bCs w:val="0"/>
          <w:color w:val="auto"/>
          <w:kern w:val="2"/>
          <w:sz w:val="32"/>
          <w:szCs w:val="32"/>
          <w:highlight w:val="none"/>
          <w:lang w:val="en-US" w:eastAsia="zh-CN" w:bidi="ar-SA"/>
        </w:rPr>
        <w:t>与202</w:t>
      </w:r>
      <w:r>
        <w:rPr>
          <w:rFonts w:hint="eastAsia" w:eastAsia="仿宋_GB2312" w:cs="仿宋_GB2312"/>
          <w:b w:val="0"/>
          <w:bCs w:val="0"/>
          <w:color w:val="auto"/>
          <w:kern w:val="2"/>
          <w:sz w:val="32"/>
          <w:szCs w:val="32"/>
          <w:highlight w:val="none"/>
          <w:lang w:val="en-US" w:eastAsia="zh-CN" w:bidi="ar-SA"/>
        </w:rPr>
        <w:t>4</w:t>
      </w:r>
      <w:r>
        <w:rPr>
          <w:rFonts w:hint="eastAsia" w:ascii="Times New Roman" w:hAnsi="Times New Roman" w:eastAsia="仿宋_GB2312" w:cs="仿宋_GB2312"/>
          <w:b w:val="0"/>
          <w:bCs w:val="0"/>
          <w:color w:val="auto"/>
          <w:kern w:val="2"/>
          <w:sz w:val="32"/>
          <w:szCs w:val="32"/>
          <w:highlight w:val="none"/>
          <w:lang w:val="en-US" w:eastAsia="zh-CN" w:bidi="ar-SA"/>
        </w:rPr>
        <w:t>年度相比，收入、支出总计各</w:t>
      </w:r>
      <w:r>
        <w:rPr>
          <w:rFonts w:hint="eastAsia" w:eastAsia="仿宋_GB2312" w:cs="仿宋_GB2312"/>
          <w:b w:val="0"/>
          <w:bCs w:val="0"/>
          <w:color w:val="auto"/>
          <w:kern w:val="2"/>
          <w:sz w:val="32"/>
          <w:szCs w:val="32"/>
          <w:highlight w:val="none"/>
          <w:lang w:val="en-US" w:eastAsia="zh-CN" w:bidi="ar-SA"/>
        </w:rPr>
        <w:t>减少127.07</w:t>
      </w:r>
      <w:r>
        <w:rPr>
          <w:rFonts w:hint="eastAsia" w:ascii="Times New Roman" w:hAnsi="Times New Roman" w:eastAsia="仿宋_GB2312" w:cs="仿宋_GB2312"/>
          <w:b w:val="0"/>
          <w:bCs w:val="0"/>
          <w:color w:val="auto"/>
          <w:kern w:val="2"/>
          <w:sz w:val="32"/>
          <w:szCs w:val="32"/>
          <w:highlight w:val="none"/>
          <w:lang w:val="en-US" w:eastAsia="zh-CN" w:bidi="ar-SA"/>
        </w:rPr>
        <w:t>万元，</w:t>
      </w:r>
      <w:r>
        <w:rPr>
          <w:rFonts w:hint="eastAsia" w:eastAsia="仿宋_GB2312" w:cs="仿宋_GB2312"/>
          <w:b w:val="0"/>
          <w:bCs w:val="0"/>
          <w:color w:val="auto"/>
          <w:kern w:val="2"/>
          <w:sz w:val="32"/>
          <w:szCs w:val="32"/>
          <w:highlight w:val="none"/>
          <w:lang w:val="en-US" w:eastAsia="zh-CN" w:bidi="ar-SA"/>
        </w:rPr>
        <w:t>减少6.96</w:t>
      </w:r>
      <w:r>
        <w:rPr>
          <w:rFonts w:hint="eastAsia" w:ascii="Times New Roman" w:hAnsi="Times New Roman" w:eastAsia="仿宋_GB2312" w:cs="仿宋_GB2312"/>
          <w:b w:val="0"/>
          <w:bCs w:val="0"/>
          <w:color w:val="auto"/>
          <w:kern w:val="2"/>
          <w:sz w:val="32"/>
          <w:szCs w:val="32"/>
          <w:highlight w:val="none"/>
          <w:lang w:val="en-US" w:eastAsia="zh-CN" w:bidi="ar-SA"/>
        </w:rPr>
        <w:t>%。主要变动原因是</w:t>
      </w:r>
      <w:r>
        <w:rPr>
          <w:rFonts w:hint="eastAsia" w:eastAsia="仿宋_GB2312" w:cs="仿宋_GB2312"/>
          <w:b w:val="0"/>
          <w:bCs w:val="0"/>
          <w:color w:val="auto"/>
          <w:kern w:val="2"/>
          <w:sz w:val="32"/>
          <w:szCs w:val="32"/>
          <w:highlight w:val="none"/>
          <w:lang w:val="en-US" w:eastAsia="zh-CN" w:bidi="ar-SA"/>
        </w:rPr>
        <w:t>人员减少，相应经费减少</w:t>
      </w:r>
      <w:r>
        <w:rPr>
          <w:rFonts w:hint="eastAsia" w:ascii="Times New Roman" w:hAnsi="Times New Roman" w:eastAsia="仿宋_GB2312" w:cs="仿宋_GB2312"/>
          <w:b w:val="0"/>
          <w:bCs w:val="0"/>
          <w:color w:val="auto"/>
          <w:kern w:val="2"/>
          <w:sz w:val="32"/>
          <w:szCs w:val="32"/>
          <w:highlight w:val="none"/>
          <w:lang w:val="en-US" w:eastAsia="zh-CN" w:bidi="ar-SA"/>
        </w:rPr>
        <w:t>。</w:t>
      </w:r>
      <w:bookmarkEnd w:id="34"/>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drawing>
          <wp:anchor distT="0" distB="0" distL="114300" distR="114300" simplePos="0" relativeHeight="251659264" behindDoc="1" locked="0" layoutInCell="1" allowOverlap="1">
            <wp:simplePos x="0" y="0"/>
            <wp:positionH relativeFrom="column">
              <wp:posOffset>715645</wp:posOffset>
            </wp:positionH>
            <wp:positionV relativeFrom="paragraph">
              <wp:posOffset>34290</wp:posOffset>
            </wp:positionV>
            <wp:extent cx="3372485" cy="2581910"/>
            <wp:effectExtent l="4445" t="4445" r="6350" b="19685"/>
            <wp:wrapNone/>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anchor>
        </w:drawing>
      </w:r>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Times New Roman" w:hAnsi="Times New Roman" w:eastAsia="仿宋_GB2312" w:cs="仿宋_GB2312"/>
          <w:color w:val="auto"/>
          <w:sz w:val="32"/>
          <w:szCs w:val="32"/>
          <w:highlight w:val="none"/>
        </w:rPr>
      </w:pP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Times New Roman" w:hAnsi="Times New Roman" w:eastAsia="仿宋_GB2312" w:cs="仿宋_GB2312"/>
          <w:color w:val="auto"/>
          <w:sz w:val="32"/>
          <w:szCs w:val="32"/>
          <w:highlight w:val="none"/>
        </w:rPr>
      </w:pP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Times New Roman" w:hAnsi="Times New Roman" w:eastAsia="仿宋_GB2312" w:cs="仿宋_GB2312"/>
          <w:color w:val="auto"/>
          <w:sz w:val="32"/>
          <w:szCs w:val="32"/>
          <w:highlight w:val="none"/>
        </w:rPr>
      </w:pP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（图1：</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决算总计变动情况图）</w:t>
      </w:r>
    </w:p>
    <w:p>
      <w:pPr>
        <w:pStyle w:val="7"/>
        <w:keepNext/>
        <w:keepLines/>
        <w:pageBreakBefore w:val="0"/>
        <w:widowControl w:val="0"/>
        <w:kinsoku/>
        <w:wordWrap/>
        <w:overflowPunct/>
        <w:topLinePunct w:val="0"/>
        <w:autoSpaceDE/>
        <w:autoSpaceDN/>
        <w:bidi w:val="0"/>
        <w:adjustRightInd/>
        <w:snapToGrid/>
        <w:spacing w:before="0" w:after="0" w:line="600" w:lineRule="exact"/>
        <w:ind w:firstLine="640" w:firstLineChars="200"/>
        <w:textAlignment w:val="auto"/>
        <w:rPr>
          <w:rFonts w:hint="eastAsia" w:ascii="黑体" w:hAnsi="黑体" w:eastAsia="黑体" w:cs="黑体"/>
          <w:b w:val="0"/>
          <w:bCs w:val="0"/>
          <w:lang w:eastAsia="zh-CN"/>
        </w:rPr>
      </w:pPr>
      <w:bookmarkStart w:id="35" w:name="_Toc15396604"/>
      <w:bookmarkStart w:id="36" w:name="_Toc9332"/>
      <w:bookmarkStart w:id="37" w:name="_Toc15377206"/>
      <w:r>
        <w:rPr>
          <w:rFonts w:hint="eastAsia" w:ascii="黑体" w:hAnsi="黑体" w:eastAsia="黑体" w:cs="黑体"/>
          <w:b w:val="0"/>
          <w:bCs w:val="0"/>
          <w:lang w:eastAsia="zh-CN"/>
        </w:rPr>
        <w:t>二、收入决算情况说明</w:t>
      </w:r>
      <w:bookmarkEnd w:id="35"/>
      <w:bookmarkEnd w:id="36"/>
      <w:bookmarkEnd w:id="37"/>
    </w:p>
    <w:p>
      <w:pPr>
        <w:pStyle w:val="29"/>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outlineLvl w:val="1"/>
        <w:rPr>
          <w:rFonts w:hint="eastAsia" w:ascii="仿宋_GB2312" w:hAnsi="仿宋_GB2312" w:eastAsia="仿宋_GB2312" w:cs="仿宋_GB2312"/>
          <w:color w:val="auto"/>
          <w:sz w:val="32"/>
          <w:szCs w:val="32"/>
          <w:highlight w:val="none"/>
          <w:lang w:eastAsia="zh-CN"/>
        </w:rPr>
      </w:pPr>
      <w:bookmarkStart w:id="38" w:name="_Toc889"/>
      <w:r>
        <w:rPr>
          <w:rFonts w:hint="eastAsia" w:ascii="仿宋_GB2312" w:hAnsi="仿宋_GB2312" w:eastAsia="仿宋_GB2312" w:cs="仿宋_GB2312"/>
          <w:color w:val="auto"/>
          <w:sz w:val="32"/>
          <w:szCs w:val="32"/>
          <w:highlight w:val="none"/>
          <w:lang w:eastAsia="zh-CN"/>
        </w:rPr>
        <w:t>202</w:t>
      </w:r>
      <w:r>
        <w:rPr>
          <w:rFonts w:hint="eastAsia" w:ascii="仿宋_GB2312" w:hAnsi="仿宋_GB2312" w:eastAsia="仿宋_GB2312" w:cs="仿宋_GB2312"/>
          <w:color w:val="auto"/>
          <w:sz w:val="32"/>
          <w:szCs w:val="32"/>
          <w:highlight w:val="none"/>
          <w:lang w:val="en-US" w:eastAsia="zh-CN"/>
        </w:rPr>
        <w:t>5</w:t>
      </w:r>
      <w:r>
        <w:rPr>
          <w:rFonts w:hint="eastAsia" w:ascii="仿宋_GB2312" w:hAnsi="仿宋_GB2312" w:eastAsia="仿宋_GB2312" w:cs="仿宋_GB2312"/>
          <w:color w:val="auto"/>
          <w:sz w:val="32"/>
          <w:szCs w:val="32"/>
          <w:highlight w:val="none"/>
          <w:lang w:eastAsia="zh-CN"/>
        </w:rPr>
        <w:t>年度本年收入合计</w:t>
      </w:r>
      <w:r>
        <w:rPr>
          <w:rFonts w:hint="eastAsia" w:ascii="Times New Roman" w:hAnsi="Times New Roman" w:eastAsia="仿宋_GB2312" w:cs="仿宋_GB2312"/>
          <w:b w:val="0"/>
          <w:bCs w:val="0"/>
          <w:color w:val="auto"/>
          <w:kern w:val="2"/>
          <w:sz w:val="32"/>
          <w:szCs w:val="32"/>
          <w:highlight w:val="none"/>
          <w:lang w:val="en-US" w:eastAsia="zh-CN" w:bidi="ar-SA"/>
        </w:rPr>
        <w:t>1</w:t>
      </w:r>
      <w:r>
        <w:rPr>
          <w:rFonts w:hint="default" w:ascii="Times New Roman" w:hAnsi="Times New Roman" w:eastAsia="仿宋_GB2312" w:cs="Times New Roman"/>
          <w:b w:val="0"/>
          <w:bCs w:val="0"/>
          <w:color w:val="auto"/>
          <w:kern w:val="2"/>
          <w:sz w:val="32"/>
          <w:szCs w:val="32"/>
          <w:highlight w:val="none"/>
          <w:lang w:val="en-US" w:eastAsia="zh-CN" w:bidi="ar-SA"/>
        </w:rPr>
        <w:t>69</w:t>
      </w:r>
      <w:r>
        <w:rPr>
          <w:rFonts w:hint="eastAsia" w:ascii="Times New Roman" w:hAnsi="Times New Roman" w:eastAsia="仿宋_GB2312" w:cs="仿宋_GB2312"/>
          <w:b w:val="0"/>
          <w:bCs w:val="0"/>
          <w:color w:val="auto"/>
          <w:kern w:val="2"/>
          <w:sz w:val="32"/>
          <w:szCs w:val="32"/>
          <w:highlight w:val="none"/>
          <w:lang w:val="en-US" w:eastAsia="zh-CN" w:bidi="ar-SA"/>
        </w:rPr>
        <w:t>8.23</w:t>
      </w:r>
      <w:r>
        <w:rPr>
          <w:rFonts w:hint="eastAsia" w:ascii="仿宋_GB2312" w:hAnsi="仿宋_GB2312" w:eastAsia="仿宋_GB2312" w:cs="仿宋_GB2312"/>
          <w:sz w:val="32"/>
          <w:szCs w:val="32"/>
        </w:rPr>
        <w:t>万元，其中：一般公共预算财政拨款收入</w:t>
      </w:r>
      <w:r>
        <w:rPr>
          <w:rFonts w:hint="default" w:ascii="Times New Roman" w:hAnsi="Times New Roman" w:eastAsia="仿宋_GB2312" w:cs="Times New Roman"/>
          <w:sz w:val="32"/>
          <w:szCs w:val="32"/>
          <w:lang w:val="en-US" w:eastAsia="zh-CN"/>
        </w:rPr>
        <w:t>1698.23</w:t>
      </w:r>
      <w:r>
        <w:rPr>
          <w:rFonts w:hint="eastAsia" w:ascii="仿宋_GB2312" w:hAnsi="仿宋_GB2312" w:eastAsia="仿宋_GB2312" w:cs="仿宋_GB2312"/>
          <w:color w:val="auto"/>
          <w:sz w:val="32"/>
          <w:szCs w:val="32"/>
          <w:highlight w:val="none"/>
          <w:lang w:eastAsia="zh-CN"/>
        </w:rPr>
        <w:t>万元，占</w:t>
      </w:r>
      <w:r>
        <w:rPr>
          <w:rFonts w:hint="default" w:ascii="Times New Roman" w:hAnsi="Times New Roman" w:eastAsia="仿宋_GB2312" w:cs="Times New Roman"/>
          <w:sz w:val="32"/>
          <w:szCs w:val="32"/>
          <w:lang w:val="en-US" w:eastAsia="zh-CN"/>
        </w:rPr>
        <w:t>100</w:t>
      </w:r>
      <w:r>
        <w:rPr>
          <w:rFonts w:hint="eastAsia" w:ascii="仿宋_GB2312" w:hAnsi="仿宋_GB2312" w:eastAsia="仿宋_GB2312" w:cs="仿宋_GB2312"/>
          <w:color w:val="auto"/>
          <w:sz w:val="32"/>
          <w:szCs w:val="32"/>
          <w:highlight w:val="none"/>
          <w:lang w:eastAsia="zh-CN"/>
        </w:rPr>
        <w:t>%。</w:t>
      </w:r>
      <w:bookmarkEnd w:id="38"/>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960" w:firstLineChars="300"/>
        <w:jc w:val="left"/>
        <w:textAlignment w:val="auto"/>
        <w:outlineLvl w:val="1"/>
        <w:rPr>
          <w:rFonts w:hint="eastAsia" w:ascii="Times New Roman" w:hAnsi="Times New Roman" w:eastAsia="仿宋_GB2312" w:cs="仿宋_GB2312"/>
          <w:color w:val="auto"/>
          <w:sz w:val="32"/>
          <w:szCs w:val="32"/>
          <w:highlight w:val="none"/>
          <w:lang w:eastAsia="zh-CN"/>
        </w:rPr>
      </w:pPr>
      <w:bookmarkStart w:id="39" w:name="_Toc13892"/>
      <w:r>
        <w:rPr>
          <w:rFonts w:hint="eastAsia" w:ascii="Times New Roman" w:hAnsi="Times New Roman" w:eastAsia="仿宋_GB2312" w:cs="仿宋_GB2312"/>
          <w:color w:val="auto"/>
          <w:sz w:val="32"/>
          <w:szCs w:val="32"/>
          <w:highlight w:val="none"/>
          <w:lang w:eastAsia="zh-CN"/>
        </w:rPr>
        <w:t>（图2：收入决算结构图）</w:t>
      </w:r>
      <w:bookmarkEnd w:id="39"/>
    </w:p>
    <w:p>
      <w:pPr>
        <w:pStyle w:val="29"/>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outlineLvl w:val="1"/>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drawing>
          <wp:anchor distT="0" distB="0" distL="114300" distR="114300" simplePos="0" relativeHeight="251660288" behindDoc="0" locked="0" layoutInCell="1" allowOverlap="1">
            <wp:simplePos x="0" y="0"/>
            <wp:positionH relativeFrom="column">
              <wp:posOffset>601980</wp:posOffset>
            </wp:positionH>
            <wp:positionV relativeFrom="paragraph">
              <wp:posOffset>376555</wp:posOffset>
            </wp:positionV>
            <wp:extent cx="3156585" cy="2190115"/>
            <wp:effectExtent l="4445" t="4445" r="8890" b="15240"/>
            <wp:wrapTopAndBottom/>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p>
    <w:p>
      <w:pPr>
        <w:pStyle w:val="7"/>
        <w:keepNext/>
        <w:keepLines/>
        <w:pageBreakBefore w:val="0"/>
        <w:widowControl w:val="0"/>
        <w:kinsoku/>
        <w:wordWrap/>
        <w:overflowPunct/>
        <w:topLinePunct w:val="0"/>
        <w:autoSpaceDE/>
        <w:autoSpaceDN/>
        <w:bidi w:val="0"/>
        <w:adjustRightInd/>
        <w:snapToGrid/>
        <w:spacing w:before="0" w:after="0" w:line="600" w:lineRule="exact"/>
        <w:ind w:firstLine="640" w:firstLineChars="200"/>
        <w:textAlignment w:val="auto"/>
        <w:rPr>
          <w:rFonts w:hint="eastAsia"/>
          <w:lang w:eastAsia="zh-CN"/>
        </w:rPr>
      </w:pPr>
      <w:bookmarkStart w:id="40" w:name="_Toc15377207"/>
      <w:bookmarkStart w:id="41" w:name="_Toc1882"/>
      <w:bookmarkStart w:id="42" w:name="_Toc15396605"/>
      <w:r>
        <w:rPr>
          <w:rFonts w:hint="eastAsia" w:ascii="黑体" w:hAnsi="黑体" w:eastAsia="黑体" w:cs="黑体"/>
          <w:b w:val="0"/>
          <w:bCs w:val="0"/>
          <w:lang w:eastAsia="zh-CN"/>
        </w:rPr>
        <w:t>三、支出决算情况说明</w:t>
      </w:r>
      <w:bookmarkEnd w:id="40"/>
      <w:bookmarkEnd w:id="41"/>
      <w:bookmarkEnd w:id="42"/>
    </w:p>
    <w:p>
      <w:pPr>
        <w:pStyle w:val="29"/>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outlineLvl w:val="1"/>
        <w:rPr>
          <w:rFonts w:hint="eastAsia" w:ascii="仿宋_GB2312" w:hAnsi="仿宋_GB2312" w:eastAsia="仿宋_GB2312" w:cs="仿宋_GB2312"/>
          <w:color w:val="auto"/>
          <w:sz w:val="32"/>
          <w:szCs w:val="32"/>
          <w:highlight w:val="none"/>
          <w:lang w:eastAsia="zh-CN"/>
        </w:rPr>
      </w:pPr>
      <w:bookmarkStart w:id="43" w:name="_Toc21198"/>
      <w:r>
        <w:rPr>
          <w:rFonts w:hint="default" w:ascii="Times New Roman" w:hAnsi="Times New Roman" w:eastAsia="仿宋_GB2312" w:cs="Times New Roman"/>
          <w:color w:val="auto"/>
          <w:sz w:val="32"/>
          <w:szCs w:val="32"/>
          <w:highlight w:val="none"/>
          <w:lang w:eastAsia="zh-CN"/>
        </w:rPr>
        <w:t>202</w:t>
      </w:r>
      <w:r>
        <w:rPr>
          <w:rFonts w:hint="default" w:ascii="Times New Roman" w:hAnsi="Times New Roman" w:eastAsia="仿宋_GB2312" w:cs="Times New Roman"/>
          <w:color w:val="auto"/>
          <w:sz w:val="32"/>
          <w:szCs w:val="32"/>
          <w:highlight w:val="none"/>
          <w:lang w:val="en-US" w:eastAsia="zh-CN"/>
        </w:rPr>
        <w:t>5</w:t>
      </w:r>
      <w:r>
        <w:rPr>
          <w:rFonts w:hint="eastAsia" w:ascii="仿宋_GB2312" w:hAnsi="仿宋_GB2312" w:eastAsia="仿宋_GB2312" w:cs="仿宋_GB2312"/>
          <w:color w:val="auto"/>
          <w:sz w:val="32"/>
          <w:szCs w:val="32"/>
          <w:highlight w:val="none"/>
          <w:lang w:eastAsia="zh-CN"/>
        </w:rPr>
        <w:t>年度本年支出合计</w:t>
      </w:r>
      <w:r>
        <w:rPr>
          <w:rFonts w:hint="default" w:ascii="Times New Roman" w:hAnsi="Times New Roman" w:eastAsia="仿宋_GB2312" w:cs="Times New Roman"/>
          <w:sz w:val="32"/>
          <w:szCs w:val="32"/>
          <w:lang w:val="en-US" w:eastAsia="zh-CN"/>
        </w:rPr>
        <w:t>1698.23</w:t>
      </w:r>
      <w:r>
        <w:rPr>
          <w:rFonts w:hint="eastAsia" w:ascii="仿宋_GB2312" w:hAnsi="仿宋_GB2312" w:eastAsia="仿宋_GB2312" w:cs="仿宋_GB2312"/>
          <w:color w:val="auto"/>
          <w:sz w:val="32"/>
          <w:szCs w:val="32"/>
          <w:highlight w:val="none"/>
          <w:lang w:eastAsia="zh-CN"/>
        </w:rPr>
        <w:t>万元，其中：基本支出</w:t>
      </w:r>
      <w:r>
        <w:rPr>
          <w:rFonts w:hint="default" w:ascii="Times New Roman" w:hAnsi="Times New Roman" w:eastAsia="仿宋_GB2312" w:cs="Times New Roman"/>
          <w:sz w:val="32"/>
          <w:szCs w:val="32"/>
          <w:lang w:val="en-US" w:eastAsia="zh-CN"/>
        </w:rPr>
        <w:t>1316.68</w:t>
      </w:r>
      <w:r>
        <w:rPr>
          <w:rFonts w:hint="eastAsia" w:ascii="仿宋_GB2312" w:hAnsi="仿宋_GB2312" w:eastAsia="仿宋_GB2312" w:cs="仿宋_GB2312"/>
          <w:color w:val="auto"/>
          <w:sz w:val="32"/>
          <w:szCs w:val="32"/>
          <w:highlight w:val="none"/>
          <w:lang w:eastAsia="zh-CN"/>
        </w:rPr>
        <w:t>万元，占</w:t>
      </w:r>
      <w:r>
        <w:rPr>
          <w:rFonts w:hint="default" w:ascii="Times New Roman" w:hAnsi="Times New Roman" w:eastAsia="仿宋_GB2312" w:cs="Times New Roman"/>
          <w:sz w:val="32"/>
          <w:szCs w:val="32"/>
          <w:lang w:val="en-US" w:eastAsia="zh-CN"/>
        </w:rPr>
        <w:t>77.53</w:t>
      </w:r>
      <w:r>
        <w:rPr>
          <w:rFonts w:hint="eastAsia" w:ascii="仿宋_GB2312" w:hAnsi="仿宋_GB2312" w:eastAsia="仿宋_GB2312" w:cs="仿宋_GB2312"/>
          <w:color w:val="auto"/>
          <w:sz w:val="32"/>
          <w:szCs w:val="32"/>
          <w:highlight w:val="none"/>
          <w:lang w:eastAsia="zh-CN"/>
        </w:rPr>
        <w:t>%；项目支出</w:t>
      </w:r>
      <w:r>
        <w:rPr>
          <w:rFonts w:hint="default" w:ascii="Times New Roman" w:hAnsi="Times New Roman" w:eastAsia="仿宋_GB2312" w:cs="Times New Roman"/>
          <w:sz w:val="32"/>
          <w:szCs w:val="32"/>
          <w:lang w:val="en-US" w:eastAsia="zh-CN"/>
        </w:rPr>
        <w:t>381.55</w:t>
      </w:r>
      <w:r>
        <w:rPr>
          <w:rFonts w:hint="eastAsia" w:ascii="仿宋_GB2312" w:hAnsi="仿宋_GB2312" w:eastAsia="仿宋_GB2312" w:cs="仿宋_GB2312"/>
          <w:color w:val="auto"/>
          <w:sz w:val="32"/>
          <w:szCs w:val="32"/>
          <w:highlight w:val="none"/>
          <w:lang w:eastAsia="zh-CN"/>
        </w:rPr>
        <w:t>万元，占</w:t>
      </w:r>
      <w:r>
        <w:rPr>
          <w:rFonts w:hint="default" w:ascii="Times New Roman" w:hAnsi="Times New Roman" w:eastAsia="仿宋_GB2312" w:cs="Times New Roman"/>
          <w:sz w:val="32"/>
          <w:szCs w:val="32"/>
          <w:lang w:val="en-US" w:eastAsia="zh-CN"/>
        </w:rPr>
        <w:t>22.47</w:t>
      </w:r>
      <w:r>
        <w:rPr>
          <w:rFonts w:hint="eastAsia" w:ascii="仿宋_GB2312" w:hAnsi="仿宋_GB2312" w:eastAsia="仿宋_GB2312" w:cs="仿宋_GB2312"/>
          <w:color w:val="auto"/>
          <w:sz w:val="32"/>
          <w:szCs w:val="32"/>
          <w:highlight w:val="none"/>
          <w:lang w:eastAsia="zh-CN"/>
        </w:rPr>
        <w:t>%。</w:t>
      </w:r>
      <w:bookmarkEnd w:id="43"/>
    </w:p>
    <w:p>
      <w:pPr>
        <w:ind w:left="2078" w:leftChars="456" w:hanging="1120" w:hangingChars="350"/>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drawing>
          <wp:inline distT="0" distB="0" distL="114300" distR="114300">
            <wp:extent cx="4769485" cy="2654935"/>
            <wp:effectExtent l="4445" t="5080" r="11430" b="6985"/>
            <wp:docPr id="6"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r>
        <w:rPr>
          <w:rFonts w:hint="eastAsia" w:ascii="Times New Roman" w:hAnsi="Times New Roman" w:eastAsia="仿宋_GB2312" w:cs="仿宋_GB2312"/>
          <w:color w:val="auto"/>
          <w:sz w:val="32"/>
          <w:szCs w:val="32"/>
          <w:highlight w:val="none"/>
          <w:lang w:eastAsia="zh-CN"/>
        </w:rPr>
        <w:t>（图3：支出决算结构图）</w:t>
      </w:r>
    </w:p>
    <w:p>
      <w:pPr>
        <w:pStyle w:val="7"/>
        <w:keepNext/>
        <w:keepLines/>
        <w:pageBreakBefore w:val="0"/>
        <w:widowControl w:val="0"/>
        <w:kinsoku/>
        <w:wordWrap/>
        <w:overflowPunct/>
        <w:topLinePunct w:val="0"/>
        <w:autoSpaceDE/>
        <w:autoSpaceDN/>
        <w:bidi w:val="0"/>
        <w:adjustRightInd/>
        <w:snapToGrid/>
        <w:spacing w:before="0" w:after="0" w:line="600" w:lineRule="exact"/>
        <w:textAlignment w:val="auto"/>
        <w:rPr>
          <w:rFonts w:hint="eastAsia" w:ascii="黑体" w:hAnsi="黑体" w:eastAsia="黑体" w:cs="黑体"/>
          <w:b w:val="0"/>
          <w:bCs w:val="0"/>
          <w:lang w:eastAsia="zh-CN"/>
        </w:rPr>
      </w:pPr>
      <w:bookmarkStart w:id="44" w:name="_Toc15396606"/>
      <w:bookmarkStart w:id="45" w:name="_Toc15377208"/>
      <w:r>
        <w:rPr>
          <w:rFonts w:hint="eastAsia" w:ascii="黑体" w:hAnsi="黑体" w:eastAsia="黑体" w:cs="黑体"/>
          <w:b w:val="0"/>
          <w:bCs w:val="0"/>
          <w:lang w:val="en-US" w:eastAsia="zh-CN"/>
        </w:rPr>
        <w:t xml:space="preserve"> </w:t>
      </w:r>
      <w:bookmarkStart w:id="46" w:name="_Toc24163"/>
      <w:r>
        <w:rPr>
          <w:rFonts w:hint="eastAsia" w:ascii="黑体" w:hAnsi="黑体" w:eastAsia="黑体" w:cs="黑体"/>
          <w:b w:val="0"/>
          <w:bCs w:val="0"/>
          <w:lang w:val="en-US" w:eastAsia="zh-CN"/>
        </w:rPr>
        <w:t xml:space="preserve">  四、</w:t>
      </w:r>
      <w:r>
        <w:rPr>
          <w:rFonts w:hint="eastAsia" w:ascii="黑体" w:hAnsi="黑体" w:eastAsia="黑体" w:cs="黑体"/>
          <w:b w:val="0"/>
          <w:bCs w:val="0"/>
          <w:lang w:eastAsia="zh-CN"/>
        </w:rPr>
        <w:t>财政拨款收入支出决算总体情况说明</w:t>
      </w:r>
      <w:bookmarkEnd w:id="44"/>
      <w:bookmarkEnd w:id="45"/>
      <w:bookmarkEnd w:id="46"/>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1"/>
        <w:rPr>
          <w:rFonts w:hint="eastAsia" w:ascii="仿宋_GB2312" w:hAnsi="仿宋_GB2312" w:eastAsia="仿宋_GB2312" w:cs="仿宋_GB2312"/>
          <w:color w:val="auto"/>
          <w:kern w:val="2"/>
          <w:sz w:val="32"/>
          <w:szCs w:val="32"/>
          <w:highlight w:val="none"/>
          <w:lang w:val="en-US" w:eastAsia="zh-CN" w:bidi="ar-SA"/>
        </w:rPr>
      </w:pPr>
      <w:bookmarkStart w:id="47" w:name="_Toc4741"/>
      <w:r>
        <w:rPr>
          <w:rFonts w:hint="default" w:ascii="Times New Roman" w:hAnsi="Times New Roman" w:eastAsia="仿宋_GB2312" w:cs="Times New Roman"/>
          <w:color w:val="auto"/>
          <w:kern w:val="2"/>
          <w:sz w:val="32"/>
          <w:szCs w:val="32"/>
          <w:highlight w:val="none"/>
          <w:lang w:val="en-US" w:eastAsia="zh-CN" w:bidi="ar-SA"/>
        </w:rPr>
        <w:t>2025</w:t>
      </w:r>
      <w:r>
        <w:rPr>
          <w:rFonts w:hint="eastAsia" w:ascii="仿宋_GB2312" w:hAnsi="仿宋_GB2312" w:eastAsia="仿宋_GB2312" w:cs="仿宋_GB2312"/>
          <w:color w:val="auto"/>
          <w:kern w:val="2"/>
          <w:sz w:val="32"/>
          <w:szCs w:val="32"/>
          <w:highlight w:val="none"/>
          <w:lang w:val="en-US" w:eastAsia="zh-CN" w:bidi="ar-SA"/>
        </w:rPr>
        <w:t>年度财政拨款收入、支出总计均为</w:t>
      </w:r>
      <w:r>
        <w:rPr>
          <w:rFonts w:hint="default" w:ascii="Times New Roman" w:hAnsi="Times New Roman" w:eastAsia="仿宋_GB2312" w:cs="Times New Roman"/>
          <w:color w:val="auto"/>
          <w:kern w:val="2"/>
          <w:sz w:val="32"/>
          <w:szCs w:val="32"/>
          <w:highlight w:val="none"/>
          <w:lang w:val="en-US" w:eastAsia="zh-CN" w:bidi="ar-SA"/>
        </w:rPr>
        <w:t>1698.23</w:t>
      </w:r>
      <w:r>
        <w:rPr>
          <w:rFonts w:hint="eastAsia" w:ascii="仿宋_GB2312" w:hAnsi="仿宋_GB2312" w:eastAsia="仿宋_GB2312" w:cs="仿宋_GB2312"/>
          <w:color w:val="auto"/>
          <w:kern w:val="2"/>
          <w:sz w:val="32"/>
          <w:szCs w:val="32"/>
          <w:highlight w:val="none"/>
          <w:lang w:val="en-US" w:eastAsia="zh-CN" w:bidi="ar-SA"/>
        </w:rPr>
        <w:t>万元。与</w:t>
      </w:r>
      <w:r>
        <w:rPr>
          <w:rFonts w:hint="default" w:ascii="Times New Roman" w:hAnsi="Times New Roman" w:eastAsia="仿宋_GB2312" w:cs="Times New Roman"/>
          <w:color w:val="auto"/>
          <w:kern w:val="2"/>
          <w:sz w:val="32"/>
          <w:szCs w:val="32"/>
          <w:highlight w:val="none"/>
          <w:lang w:val="en-US" w:eastAsia="zh-CN" w:bidi="ar-SA"/>
        </w:rPr>
        <w:t>2024</w:t>
      </w:r>
      <w:r>
        <w:rPr>
          <w:rFonts w:hint="eastAsia" w:ascii="仿宋_GB2312" w:hAnsi="仿宋_GB2312" w:eastAsia="仿宋_GB2312" w:cs="仿宋_GB2312"/>
          <w:color w:val="auto"/>
          <w:kern w:val="2"/>
          <w:sz w:val="32"/>
          <w:szCs w:val="32"/>
          <w:highlight w:val="none"/>
          <w:lang w:val="en-US" w:eastAsia="zh-CN" w:bidi="ar-SA"/>
        </w:rPr>
        <w:t>年度相比，财政拨款收入总计、支出总计各减少</w:t>
      </w:r>
      <w:r>
        <w:rPr>
          <w:rFonts w:hint="default" w:ascii="Times New Roman" w:hAnsi="Times New Roman" w:eastAsia="仿宋_GB2312" w:cs="Times New Roman"/>
          <w:color w:val="auto"/>
          <w:kern w:val="2"/>
          <w:sz w:val="32"/>
          <w:szCs w:val="32"/>
          <w:highlight w:val="none"/>
          <w:lang w:val="en-US" w:eastAsia="zh-CN" w:bidi="ar-SA"/>
        </w:rPr>
        <w:t>127.07</w:t>
      </w:r>
      <w:r>
        <w:rPr>
          <w:rFonts w:hint="eastAsia" w:ascii="仿宋_GB2312" w:hAnsi="仿宋_GB2312" w:eastAsia="仿宋_GB2312" w:cs="仿宋_GB2312"/>
          <w:color w:val="auto"/>
          <w:kern w:val="2"/>
          <w:sz w:val="32"/>
          <w:szCs w:val="32"/>
          <w:highlight w:val="none"/>
          <w:lang w:val="en-US" w:eastAsia="zh-CN" w:bidi="ar-SA"/>
        </w:rPr>
        <w:t>万元，减少</w:t>
      </w:r>
      <w:r>
        <w:rPr>
          <w:rFonts w:hint="default" w:ascii="Times New Roman" w:hAnsi="Times New Roman" w:eastAsia="仿宋_GB2312" w:cs="Times New Roman"/>
          <w:color w:val="auto"/>
          <w:kern w:val="2"/>
          <w:sz w:val="32"/>
          <w:szCs w:val="32"/>
          <w:highlight w:val="none"/>
          <w:lang w:val="en-US" w:eastAsia="zh-CN" w:bidi="ar-SA"/>
        </w:rPr>
        <w:t>6.96</w:t>
      </w:r>
      <w:r>
        <w:rPr>
          <w:rFonts w:hint="eastAsia" w:ascii="仿宋_GB2312" w:hAnsi="仿宋_GB2312" w:eastAsia="仿宋_GB2312" w:cs="仿宋_GB2312"/>
          <w:color w:val="auto"/>
          <w:kern w:val="2"/>
          <w:sz w:val="32"/>
          <w:szCs w:val="32"/>
          <w:highlight w:val="none"/>
          <w:lang w:val="en-US" w:eastAsia="zh-CN" w:bidi="ar-SA"/>
        </w:rPr>
        <w:t>%。主要变动原因是人员减少。</w:t>
      </w:r>
      <w:bookmarkEnd w:id="47"/>
    </w:p>
    <w:p>
      <w:pPr>
        <w:pStyle w:val="5"/>
        <w:ind w:firstLine="960" w:firstLineChars="300"/>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 w:eastAsia="仿宋_GB2312"/>
          <w:sz w:val="32"/>
          <w:szCs w:val="32"/>
          <w:lang w:val="en-US" w:eastAsia="zh-CN"/>
        </w:rPr>
        <w:drawing>
          <wp:anchor distT="0" distB="0" distL="114300" distR="114300" simplePos="0" relativeHeight="251661312" behindDoc="0" locked="0" layoutInCell="1" allowOverlap="1">
            <wp:simplePos x="0" y="0"/>
            <wp:positionH relativeFrom="column">
              <wp:posOffset>653415</wp:posOffset>
            </wp:positionH>
            <wp:positionV relativeFrom="paragraph">
              <wp:posOffset>94615</wp:posOffset>
            </wp:positionV>
            <wp:extent cx="3705225" cy="2000250"/>
            <wp:effectExtent l="5080" t="4445" r="8255" b="6985"/>
            <wp:wrapTopAndBottom/>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r>
        <w:rPr>
          <w:rFonts w:hint="eastAsia" w:ascii="Times New Roman" w:hAnsi="Times New Roman" w:eastAsia="仿宋_GB2312" w:cs="仿宋_GB2312"/>
          <w:color w:val="auto"/>
          <w:kern w:val="2"/>
          <w:sz w:val="32"/>
          <w:szCs w:val="32"/>
          <w:highlight w:val="none"/>
          <w:lang w:val="en-US" w:eastAsia="zh-CN" w:bidi="ar-SA"/>
        </w:rPr>
        <w:t>（图4：财政拨款收、支决算总计变动情况）</w:t>
      </w:r>
    </w:p>
    <w:p>
      <w:pPr>
        <w:pStyle w:val="7"/>
        <w:keepNext/>
        <w:keepLines/>
        <w:pageBreakBefore w:val="0"/>
        <w:widowControl w:val="0"/>
        <w:kinsoku/>
        <w:wordWrap/>
        <w:overflowPunct/>
        <w:topLinePunct w:val="0"/>
        <w:autoSpaceDE/>
        <w:autoSpaceDN/>
        <w:bidi w:val="0"/>
        <w:adjustRightInd/>
        <w:snapToGrid/>
        <w:spacing w:before="0" w:after="0" w:line="600" w:lineRule="exact"/>
        <w:ind w:firstLine="320" w:firstLineChars="100"/>
        <w:textAlignment w:val="auto"/>
        <w:rPr>
          <w:rFonts w:hint="eastAsia" w:ascii="黑体" w:hAnsi="黑体" w:eastAsia="黑体" w:cs="黑体"/>
          <w:b w:val="0"/>
          <w:bCs w:val="0"/>
          <w:lang w:val="en-US" w:eastAsia="zh-CN"/>
        </w:rPr>
      </w:pPr>
      <w:bookmarkStart w:id="48" w:name="_Toc15377209"/>
      <w:bookmarkStart w:id="49" w:name="_Toc20339"/>
      <w:bookmarkStart w:id="50" w:name="_Toc15396607"/>
      <w:r>
        <w:rPr>
          <w:rFonts w:hint="eastAsia" w:ascii="黑体" w:hAnsi="黑体" w:eastAsia="黑体" w:cs="黑体"/>
          <w:b w:val="0"/>
          <w:bCs w:val="0"/>
          <w:lang w:val="en-US" w:eastAsia="zh-CN"/>
        </w:rPr>
        <w:t>五、一般公共预算财政拨款支出决算情况说明</w:t>
      </w:r>
      <w:bookmarkEnd w:id="48"/>
      <w:bookmarkEnd w:id="49"/>
      <w:bookmarkEnd w:id="50"/>
    </w:p>
    <w:p>
      <w:pPr>
        <w:keepNext w:val="0"/>
        <w:keepLines w:val="0"/>
        <w:pageBreakBefore w:val="0"/>
        <w:widowControl w:val="0"/>
        <w:kinsoku/>
        <w:wordWrap/>
        <w:overflowPunct/>
        <w:topLinePunct w:val="0"/>
        <w:autoSpaceDE/>
        <w:autoSpaceDN/>
        <w:bidi w:val="0"/>
        <w:adjustRightInd/>
        <w:snapToGrid/>
        <w:spacing w:line="600" w:lineRule="exact"/>
        <w:ind w:firstLine="321" w:firstLineChars="100"/>
        <w:textAlignment w:val="auto"/>
        <w:outlineLvl w:val="2"/>
        <w:rPr>
          <w:rFonts w:hint="eastAsia" w:ascii="Times New Roman" w:hAnsi="Times New Roman" w:eastAsia="楷体_GB2312" w:cs="楷体_GB2312"/>
          <w:b/>
          <w:color w:val="auto"/>
          <w:sz w:val="32"/>
          <w:szCs w:val="32"/>
          <w:highlight w:val="none"/>
        </w:rPr>
      </w:pPr>
      <w:bookmarkStart w:id="51" w:name="_Toc15377210"/>
      <w:bookmarkStart w:id="52" w:name="_Toc13020"/>
      <w:r>
        <w:rPr>
          <w:rFonts w:hint="eastAsia" w:ascii="Times New Roman" w:hAnsi="Times New Roman" w:eastAsia="楷体_GB2312" w:cs="楷体_GB2312"/>
          <w:b/>
          <w:color w:val="auto"/>
          <w:sz w:val="32"/>
          <w:szCs w:val="32"/>
          <w:highlight w:val="none"/>
        </w:rPr>
        <w:t>（一）一般公共预算财政拨款支出决算总体情况</w:t>
      </w:r>
      <w:bookmarkEnd w:id="51"/>
      <w:bookmarkEnd w:id="52"/>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1"/>
        <w:rPr>
          <w:rFonts w:hint="eastAsia" w:ascii="Times New Roman" w:hAnsi="Times New Roman" w:eastAsia="仿宋_GB2312" w:cs="仿宋_GB2312"/>
          <w:color w:val="auto"/>
          <w:kern w:val="2"/>
          <w:sz w:val="32"/>
          <w:szCs w:val="32"/>
          <w:highlight w:val="none"/>
          <w:lang w:val="en-US" w:eastAsia="zh-CN" w:bidi="ar-SA"/>
        </w:rPr>
      </w:pPr>
      <w:bookmarkStart w:id="53" w:name="_Toc1906"/>
      <w:r>
        <w:rPr>
          <w:rFonts w:hint="default" w:ascii="Times New Roman" w:hAnsi="Times New Roman" w:eastAsia="仿宋_GB2312" w:cs="Times New Roman"/>
          <w:color w:val="auto"/>
          <w:kern w:val="2"/>
          <w:sz w:val="32"/>
          <w:szCs w:val="32"/>
          <w:highlight w:val="none"/>
          <w:lang w:val="en-US" w:eastAsia="zh-CN" w:bidi="ar-SA"/>
        </w:rPr>
        <w:t>2025</w:t>
      </w:r>
      <w:r>
        <w:rPr>
          <w:rFonts w:hint="eastAsia" w:ascii="仿宋_GB2312" w:hAnsi="仿宋_GB2312" w:eastAsia="仿宋_GB2312" w:cs="仿宋_GB2312"/>
          <w:color w:val="auto"/>
          <w:kern w:val="2"/>
          <w:sz w:val="32"/>
          <w:szCs w:val="32"/>
          <w:highlight w:val="none"/>
          <w:lang w:val="en-US" w:eastAsia="zh-CN" w:bidi="ar-SA"/>
        </w:rPr>
        <w:t>年度一般公共预算财政拨款支出</w:t>
      </w:r>
      <w:r>
        <w:rPr>
          <w:rFonts w:hint="default" w:ascii="Times New Roman" w:hAnsi="Times New Roman" w:eastAsia="仿宋_GB2312" w:cs="Times New Roman"/>
          <w:sz w:val="32"/>
          <w:szCs w:val="32"/>
          <w:lang w:val="en-US" w:eastAsia="zh-CN"/>
        </w:rPr>
        <w:t>1698.23</w:t>
      </w:r>
      <w:r>
        <w:rPr>
          <w:rFonts w:hint="eastAsia" w:ascii="仿宋_GB2312" w:hAnsi="仿宋_GB2312" w:eastAsia="仿宋_GB2312" w:cs="仿宋_GB2312"/>
          <w:color w:val="auto"/>
          <w:kern w:val="2"/>
          <w:sz w:val="32"/>
          <w:szCs w:val="32"/>
          <w:highlight w:val="none"/>
          <w:lang w:val="en-US" w:eastAsia="zh-CN" w:bidi="ar-SA"/>
        </w:rPr>
        <w:t>万元，占本年支出合计的</w:t>
      </w:r>
      <w:r>
        <w:rPr>
          <w:rFonts w:hint="default" w:ascii="Times New Roman" w:hAnsi="Times New Roman" w:eastAsia="仿宋_GB2312" w:cs="Times New Roman"/>
          <w:sz w:val="32"/>
          <w:szCs w:val="32"/>
          <w:lang w:val="en-US" w:eastAsia="zh-CN"/>
        </w:rPr>
        <w:t>100</w:t>
      </w:r>
      <w:r>
        <w:rPr>
          <w:rFonts w:hint="eastAsia" w:ascii="仿宋_GB2312" w:hAnsi="仿宋_GB2312" w:eastAsia="仿宋_GB2312" w:cs="仿宋_GB2312"/>
          <w:color w:val="auto"/>
          <w:kern w:val="2"/>
          <w:sz w:val="32"/>
          <w:szCs w:val="32"/>
          <w:highlight w:val="none"/>
          <w:lang w:val="en-US" w:eastAsia="zh-CN" w:bidi="ar-SA"/>
        </w:rPr>
        <w:t>%。与</w:t>
      </w:r>
      <w:r>
        <w:rPr>
          <w:rFonts w:hint="default" w:ascii="Times New Roman" w:hAnsi="Times New Roman" w:eastAsia="仿宋_GB2312" w:cs="Times New Roman"/>
          <w:color w:val="auto"/>
          <w:kern w:val="2"/>
          <w:sz w:val="32"/>
          <w:szCs w:val="32"/>
          <w:highlight w:val="none"/>
          <w:lang w:val="en-US" w:eastAsia="zh-CN" w:bidi="ar-SA"/>
        </w:rPr>
        <w:t>2024</w:t>
      </w:r>
      <w:r>
        <w:rPr>
          <w:rFonts w:hint="eastAsia" w:ascii="仿宋_GB2312" w:hAnsi="仿宋_GB2312" w:eastAsia="仿宋_GB2312" w:cs="仿宋_GB2312"/>
          <w:color w:val="auto"/>
          <w:kern w:val="2"/>
          <w:sz w:val="32"/>
          <w:szCs w:val="32"/>
          <w:highlight w:val="none"/>
          <w:lang w:val="en-US" w:eastAsia="zh-CN" w:bidi="ar-SA"/>
        </w:rPr>
        <w:t>年度相比，一般公共预算财政拨款支出减少</w:t>
      </w:r>
      <w:r>
        <w:rPr>
          <w:rFonts w:hint="default" w:ascii="Times New Roman" w:hAnsi="Times New Roman" w:eastAsia="仿宋_GB2312" w:cs="Times New Roman"/>
          <w:color w:val="auto"/>
          <w:kern w:val="2"/>
          <w:sz w:val="32"/>
          <w:szCs w:val="32"/>
          <w:highlight w:val="none"/>
          <w:lang w:val="en-US" w:eastAsia="zh-CN" w:bidi="ar-SA"/>
        </w:rPr>
        <w:t>127.07</w:t>
      </w:r>
      <w:r>
        <w:rPr>
          <w:rFonts w:hint="eastAsia" w:ascii="仿宋_GB2312" w:hAnsi="仿宋_GB2312" w:eastAsia="仿宋_GB2312" w:cs="仿宋_GB2312"/>
          <w:color w:val="auto"/>
          <w:kern w:val="2"/>
          <w:sz w:val="32"/>
          <w:szCs w:val="32"/>
          <w:highlight w:val="none"/>
          <w:lang w:val="en-US" w:eastAsia="zh-CN" w:bidi="ar-SA"/>
        </w:rPr>
        <w:t>万元，减少</w:t>
      </w:r>
      <w:r>
        <w:rPr>
          <w:rFonts w:hint="default" w:ascii="Times New Roman" w:hAnsi="Times New Roman" w:eastAsia="仿宋_GB2312" w:cs="Times New Roman"/>
          <w:color w:val="auto"/>
          <w:kern w:val="2"/>
          <w:sz w:val="32"/>
          <w:szCs w:val="32"/>
          <w:highlight w:val="none"/>
          <w:lang w:val="en-US" w:eastAsia="zh-CN" w:bidi="ar-SA"/>
        </w:rPr>
        <w:t>6.96</w:t>
      </w:r>
      <w:r>
        <w:rPr>
          <w:rFonts w:hint="eastAsia" w:ascii="仿宋_GB2312" w:hAnsi="仿宋_GB2312" w:eastAsia="仿宋_GB2312" w:cs="仿宋_GB2312"/>
          <w:color w:val="auto"/>
          <w:kern w:val="2"/>
          <w:sz w:val="32"/>
          <w:szCs w:val="32"/>
          <w:highlight w:val="none"/>
          <w:lang w:val="en-US" w:eastAsia="zh-CN" w:bidi="ar-SA"/>
        </w:rPr>
        <w:t>%。主要变动原因是</w:t>
      </w:r>
      <w:r>
        <w:rPr>
          <w:rFonts w:hint="eastAsia" w:ascii="仿宋_GB2312" w:hAnsi="仿宋" w:eastAsia="仿宋_GB2312"/>
          <w:sz w:val="32"/>
          <w:szCs w:val="32"/>
          <w:lang w:val="en-US" w:eastAsia="zh-CN"/>
        </w:rPr>
        <w:t>人员减少。</w:t>
      </w:r>
      <w:bookmarkEnd w:id="53"/>
    </w:p>
    <w:p>
      <w:pPr>
        <w:pStyle w:val="5"/>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drawing>
          <wp:anchor distT="0" distB="0" distL="114300" distR="114300" simplePos="0" relativeHeight="251663360" behindDoc="0" locked="0" layoutInCell="1" allowOverlap="1">
            <wp:simplePos x="0" y="0"/>
            <wp:positionH relativeFrom="column">
              <wp:posOffset>373380</wp:posOffset>
            </wp:positionH>
            <wp:positionV relativeFrom="paragraph">
              <wp:posOffset>106045</wp:posOffset>
            </wp:positionV>
            <wp:extent cx="3450590" cy="1709420"/>
            <wp:effectExtent l="4445" t="4445" r="19685" b="8255"/>
            <wp:wrapTopAndBottom/>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r>
        <w:rPr>
          <w:rFonts w:hint="eastAsia" w:ascii="Times New Roman" w:hAnsi="Times New Roman" w:eastAsia="仿宋_GB2312" w:cs="仿宋_GB2312"/>
          <w:color w:val="auto"/>
          <w:kern w:val="2"/>
          <w:sz w:val="32"/>
          <w:szCs w:val="32"/>
          <w:highlight w:val="none"/>
          <w:lang w:val="en-US" w:eastAsia="zh-CN" w:bidi="ar-SA"/>
        </w:rPr>
        <w:t>（图5：一般公共预算财政拨款支出决算变动情况）</w:t>
      </w:r>
    </w:p>
    <w:p>
      <w:pPr>
        <w:keepNext w:val="0"/>
        <w:keepLines w:val="0"/>
        <w:pageBreakBefore w:val="0"/>
        <w:widowControl w:val="0"/>
        <w:kinsoku/>
        <w:wordWrap/>
        <w:overflowPunct/>
        <w:topLinePunct w:val="0"/>
        <w:autoSpaceDE/>
        <w:autoSpaceDN/>
        <w:bidi w:val="0"/>
        <w:adjustRightInd/>
        <w:snapToGrid/>
        <w:spacing w:line="600" w:lineRule="exact"/>
        <w:ind w:firstLine="321" w:firstLineChars="100"/>
        <w:textAlignment w:val="auto"/>
        <w:outlineLvl w:val="2"/>
        <w:rPr>
          <w:rFonts w:hint="eastAsia" w:ascii="Times New Roman" w:hAnsi="Times New Roman" w:eastAsia="楷体_GB2312" w:cs="楷体_GB2312"/>
          <w:b/>
          <w:color w:val="auto"/>
          <w:sz w:val="32"/>
          <w:szCs w:val="32"/>
          <w:highlight w:val="none"/>
        </w:rPr>
      </w:pPr>
      <w:bookmarkStart w:id="54" w:name="_Toc15377211"/>
      <w:bookmarkStart w:id="55" w:name="_Toc25833"/>
      <w:r>
        <w:rPr>
          <w:rFonts w:hint="eastAsia" w:ascii="Times New Roman" w:hAnsi="Times New Roman" w:eastAsia="楷体_GB2312" w:cs="楷体_GB2312"/>
          <w:b/>
          <w:color w:val="auto"/>
          <w:sz w:val="32"/>
          <w:szCs w:val="32"/>
          <w:highlight w:val="none"/>
        </w:rPr>
        <w:t>（二）一般公共预算财政拨款支出决算结构情况</w:t>
      </w:r>
      <w:bookmarkEnd w:id="54"/>
      <w:bookmarkEnd w:id="55"/>
    </w:p>
    <w:p>
      <w:pPr>
        <w:spacing w:line="600" w:lineRule="exact"/>
        <w:ind w:firstLine="640"/>
        <w:rPr>
          <w:rFonts w:hint="eastAsia" w:eastAsia="仿宋_GB2312" w:cs="仿宋_GB2312"/>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年度一般公共预算财政拨款支出</w:t>
      </w:r>
      <w:r>
        <w:rPr>
          <w:rFonts w:hint="default" w:ascii="Times New Roman" w:hAnsi="Times New Roman" w:eastAsia="仿宋_GB2312" w:cs="Times New Roman"/>
          <w:color w:val="auto"/>
          <w:kern w:val="2"/>
          <w:sz w:val="32"/>
          <w:szCs w:val="32"/>
          <w:highlight w:val="none"/>
          <w:lang w:val="en-US" w:eastAsia="zh-CN" w:bidi="ar-SA"/>
        </w:rPr>
        <w:t>1698.23</w:t>
      </w:r>
      <w:r>
        <w:rPr>
          <w:rFonts w:hint="eastAsia" w:ascii="仿宋_GB2312" w:hAnsi="仿宋_GB2312" w:eastAsia="仿宋_GB2312" w:cs="仿宋_GB2312"/>
          <w:color w:val="auto"/>
          <w:kern w:val="2"/>
          <w:sz w:val="32"/>
          <w:szCs w:val="32"/>
          <w:highlight w:val="none"/>
          <w:lang w:val="en-US" w:eastAsia="zh-CN" w:bidi="ar-SA"/>
        </w:rPr>
        <w:t>万元</w:t>
      </w:r>
      <w:r>
        <w:rPr>
          <w:rFonts w:hint="eastAsia" w:ascii="Times New Roman" w:hAnsi="Times New Roman" w:eastAsia="仿宋_GB2312" w:cs="仿宋_GB2312"/>
          <w:color w:val="auto"/>
          <w:kern w:val="2"/>
          <w:sz w:val="32"/>
          <w:szCs w:val="32"/>
          <w:highlight w:val="none"/>
          <w:lang w:val="en-US" w:eastAsia="zh-CN" w:bidi="ar-SA"/>
        </w:rPr>
        <w:t>，主要用于以下方面</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一般公共</w:t>
      </w:r>
      <w:r>
        <w:rPr>
          <w:rFonts w:hint="eastAsia" w:eastAsia="仿宋_GB2312" w:cs="仿宋_GB2312"/>
          <w:color w:val="auto"/>
          <w:kern w:val="2"/>
          <w:sz w:val="32"/>
          <w:szCs w:val="32"/>
          <w:highlight w:val="none"/>
          <w:lang w:val="en-US" w:eastAsia="zh-CN" w:bidi="ar-SA"/>
        </w:rPr>
        <w:t>安全</w:t>
      </w:r>
      <w:r>
        <w:rPr>
          <w:rFonts w:hint="eastAsia" w:ascii="Times New Roman" w:hAnsi="Times New Roman" w:eastAsia="仿宋_GB2312" w:cs="仿宋_GB2312"/>
          <w:color w:val="auto"/>
          <w:kern w:val="2"/>
          <w:sz w:val="32"/>
          <w:szCs w:val="32"/>
          <w:highlight w:val="none"/>
          <w:lang w:val="en-US" w:eastAsia="zh-CN" w:bidi="ar-SA"/>
        </w:rPr>
        <w:t>支出</w:t>
      </w:r>
      <w:r>
        <w:rPr>
          <w:rFonts w:hint="default" w:ascii="Times New Roman" w:hAnsi="Times New Roman" w:eastAsia="仿宋_GB2312" w:cs="Times New Roman"/>
          <w:color w:val="auto"/>
          <w:kern w:val="2"/>
          <w:sz w:val="32"/>
          <w:szCs w:val="32"/>
          <w:highlight w:val="none"/>
          <w:lang w:val="en-US" w:eastAsia="zh-CN" w:bidi="ar-SA"/>
        </w:rPr>
        <w:t>1436.55</w:t>
      </w:r>
      <w:r>
        <w:rPr>
          <w:rFonts w:hint="eastAsia" w:ascii="Times New Roman" w:hAnsi="Times New Roman" w:eastAsia="仿宋_GB2312" w:cs="仿宋_GB2312"/>
          <w:color w:val="auto"/>
          <w:kern w:val="2"/>
          <w:sz w:val="32"/>
          <w:szCs w:val="32"/>
          <w:highlight w:val="none"/>
          <w:lang w:val="en-US" w:eastAsia="zh-CN" w:bidi="ar-SA"/>
        </w:rPr>
        <w:t>万元，占</w:t>
      </w:r>
      <w:r>
        <w:rPr>
          <w:rFonts w:hint="default" w:ascii="Times New Roman" w:hAnsi="Times New Roman" w:eastAsia="仿宋_GB2312" w:cs="Times New Roman"/>
          <w:color w:val="auto"/>
          <w:kern w:val="2"/>
          <w:sz w:val="32"/>
          <w:szCs w:val="32"/>
          <w:highlight w:val="none"/>
          <w:lang w:val="en-US" w:eastAsia="zh-CN" w:bidi="ar-SA"/>
        </w:rPr>
        <w:t>84.59</w:t>
      </w:r>
      <w:r>
        <w:rPr>
          <w:rFonts w:hint="eastAsia" w:ascii="Times New Roman" w:hAnsi="Times New Roman" w:eastAsia="仿宋_GB2312" w:cs="仿宋_GB2312"/>
          <w:color w:val="auto"/>
          <w:kern w:val="2"/>
          <w:sz w:val="32"/>
          <w:szCs w:val="32"/>
          <w:highlight w:val="none"/>
          <w:lang w:val="en-US" w:eastAsia="zh-CN" w:bidi="ar-SA"/>
        </w:rPr>
        <w:t>%；社会保障和就业支出</w:t>
      </w:r>
      <w:r>
        <w:rPr>
          <w:rFonts w:hint="default" w:ascii="Times New Roman" w:hAnsi="Times New Roman" w:eastAsia="仿宋_GB2312" w:cs="Times New Roman"/>
          <w:color w:val="auto"/>
          <w:kern w:val="2"/>
          <w:sz w:val="32"/>
          <w:szCs w:val="32"/>
          <w:highlight w:val="none"/>
          <w:lang w:val="en-US" w:eastAsia="zh-CN" w:bidi="ar-SA"/>
        </w:rPr>
        <w:t>127.51</w:t>
      </w:r>
      <w:r>
        <w:rPr>
          <w:rFonts w:hint="eastAsia" w:ascii="Times New Roman" w:hAnsi="Times New Roman" w:eastAsia="仿宋_GB2312" w:cs="仿宋_GB2312"/>
          <w:color w:val="auto"/>
          <w:kern w:val="2"/>
          <w:sz w:val="32"/>
          <w:szCs w:val="32"/>
          <w:highlight w:val="none"/>
          <w:lang w:val="en-US" w:eastAsia="zh-CN" w:bidi="ar-SA"/>
        </w:rPr>
        <w:t>万元，占</w:t>
      </w:r>
      <w:r>
        <w:rPr>
          <w:rFonts w:hint="default" w:ascii="Times New Roman" w:hAnsi="Times New Roman" w:eastAsia="仿宋_GB2312" w:cs="Times New Roman"/>
          <w:color w:val="auto"/>
          <w:kern w:val="2"/>
          <w:sz w:val="32"/>
          <w:szCs w:val="32"/>
          <w:highlight w:val="none"/>
          <w:lang w:val="en-US" w:eastAsia="zh-CN" w:bidi="ar-SA"/>
        </w:rPr>
        <w:t>7.5</w:t>
      </w:r>
      <w:r>
        <w:rPr>
          <w:rFonts w:hint="eastAsia" w:ascii="Times New Roman" w:hAnsi="Times New Roman" w:eastAsia="仿宋_GB2312" w:cs="仿宋_GB2312"/>
          <w:color w:val="auto"/>
          <w:kern w:val="2"/>
          <w:sz w:val="32"/>
          <w:szCs w:val="32"/>
          <w:highlight w:val="none"/>
          <w:lang w:val="en-US" w:eastAsia="zh-CN" w:bidi="ar-SA"/>
        </w:rPr>
        <w:t>%；卫生健康支出</w:t>
      </w:r>
      <w:r>
        <w:rPr>
          <w:rFonts w:hint="default" w:ascii="Times New Roman" w:hAnsi="Times New Roman" w:eastAsia="仿宋_GB2312" w:cs="Times New Roman"/>
          <w:color w:val="auto"/>
          <w:kern w:val="2"/>
          <w:sz w:val="32"/>
          <w:szCs w:val="32"/>
          <w:highlight w:val="none"/>
          <w:lang w:val="en-US" w:eastAsia="zh-CN" w:bidi="ar-SA"/>
        </w:rPr>
        <w:t>57.93</w:t>
      </w:r>
      <w:r>
        <w:rPr>
          <w:rFonts w:hint="eastAsia" w:ascii="Times New Roman" w:hAnsi="Times New Roman" w:eastAsia="仿宋_GB2312" w:cs="仿宋_GB2312"/>
          <w:color w:val="auto"/>
          <w:kern w:val="2"/>
          <w:sz w:val="32"/>
          <w:szCs w:val="32"/>
          <w:highlight w:val="none"/>
          <w:lang w:val="en-US" w:eastAsia="zh-CN" w:bidi="ar-SA"/>
        </w:rPr>
        <w:t>万元，占</w:t>
      </w:r>
      <w:r>
        <w:rPr>
          <w:rFonts w:hint="default" w:ascii="Times New Roman" w:hAnsi="Times New Roman" w:eastAsia="仿宋_GB2312" w:cs="Times New Roman"/>
          <w:color w:val="auto"/>
          <w:kern w:val="2"/>
          <w:sz w:val="32"/>
          <w:szCs w:val="32"/>
          <w:highlight w:val="none"/>
          <w:lang w:val="en-US" w:eastAsia="zh-CN" w:bidi="ar-SA"/>
        </w:rPr>
        <w:t>3.42</w:t>
      </w:r>
      <w:r>
        <w:rPr>
          <w:rFonts w:hint="eastAsia" w:ascii="Times New Roman" w:hAnsi="Times New Roman" w:eastAsia="仿宋_GB2312" w:cs="仿宋_GB2312"/>
          <w:color w:val="auto"/>
          <w:kern w:val="2"/>
          <w:sz w:val="32"/>
          <w:szCs w:val="32"/>
          <w:highlight w:val="none"/>
          <w:lang w:val="en-US" w:eastAsia="zh-CN" w:bidi="ar-SA"/>
        </w:rPr>
        <w:t>%；住房保障支出</w:t>
      </w:r>
      <w:r>
        <w:rPr>
          <w:rFonts w:hint="default" w:ascii="Times New Roman" w:hAnsi="Times New Roman" w:eastAsia="仿宋_GB2312" w:cs="Times New Roman"/>
          <w:color w:val="auto"/>
          <w:kern w:val="2"/>
          <w:sz w:val="32"/>
          <w:szCs w:val="32"/>
          <w:highlight w:val="none"/>
          <w:lang w:val="en-US" w:eastAsia="zh-CN" w:bidi="ar-SA"/>
        </w:rPr>
        <w:t>76.24</w:t>
      </w:r>
      <w:r>
        <w:rPr>
          <w:rFonts w:hint="eastAsia" w:ascii="Times New Roman" w:hAnsi="Times New Roman" w:eastAsia="仿宋_GB2312" w:cs="仿宋_GB2312"/>
          <w:color w:val="auto"/>
          <w:kern w:val="2"/>
          <w:sz w:val="32"/>
          <w:szCs w:val="32"/>
          <w:highlight w:val="none"/>
          <w:lang w:val="en-US" w:eastAsia="zh-CN" w:bidi="ar-SA"/>
        </w:rPr>
        <w:t>万元，占</w:t>
      </w:r>
      <w:r>
        <w:rPr>
          <w:rFonts w:hint="default" w:ascii="Times New Roman" w:hAnsi="Times New Roman" w:eastAsia="仿宋_GB2312" w:cs="Times New Roman"/>
          <w:color w:val="auto"/>
          <w:kern w:val="2"/>
          <w:sz w:val="32"/>
          <w:szCs w:val="32"/>
          <w:highlight w:val="none"/>
          <w:lang w:val="en-US" w:eastAsia="zh-CN" w:bidi="ar-SA"/>
        </w:rPr>
        <w:t>4.49</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pPr>
        <w:spacing w:line="600" w:lineRule="exact"/>
        <w:ind w:firstLine="640" w:firstLineChars="200"/>
        <w:rPr>
          <w:rFonts w:hint="eastAsia" w:ascii="Times New Roman" w:hAnsi="Times New Roman" w:eastAsia="楷体_GB2312" w:cs="楷体_GB2312"/>
          <w:b/>
          <w:color w:val="auto"/>
          <w:sz w:val="32"/>
          <w:szCs w:val="32"/>
          <w:highlight w:val="none"/>
        </w:rPr>
      </w:pPr>
      <w:r>
        <w:rPr>
          <w:rFonts w:hint="eastAsia" w:ascii="Times New Roman" w:hAnsi="Times New Roman" w:eastAsia="仿宋_GB2312" w:cs="仿宋_GB2312"/>
          <w:color w:val="auto"/>
          <w:kern w:val="2"/>
          <w:sz w:val="32"/>
          <w:szCs w:val="32"/>
          <w:highlight w:val="none"/>
          <w:lang w:val="en-US" w:eastAsia="zh-CN" w:bidi="ar-SA"/>
        </w:rPr>
        <w:drawing>
          <wp:anchor distT="0" distB="0" distL="114300" distR="114300" simplePos="0" relativeHeight="251664384" behindDoc="0" locked="0" layoutInCell="1" allowOverlap="1">
            <wp:simplePos x="0" y="0"/>
            <wp:positionH relativeFrom="column">
              <wp:posOffset>193040</wp:posOffset>
            </wp:positionH>
            <wp:positionV relativeFrom="paragraph">
              <wp:posOffset>158750</wp:posOffset>
            </wp:positionV>
            <wp:extent cx="4784725" cy="1592580"/>
            <wp:effectExtent l="4445" t="5080" r="11430" b="17780"/>
            <wp:wrapTopAndBottom/>
            <wp:docPr id="15" name="图表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r>
        <w:rPr>
          <w:rFonts w:hint="eastAsia" w:ascii="Times New Roman" w:hAnsi="Times New Roman" w:eastAsia="仿宋_GB2312" w:cs="仿宋_GB2312"/>
          <w:color w:val="auto"/>
          <w:kern w:val="2"/>
          <w:sz w:val="32"/>
          <w:szCs w:val="32"/>
          <w:highlight w:val="none"/>
          <w:lang w:val="en-US" w:eastAsia="zh-CN" w:bidi="ar-SA"/>
        </w:rPr>
        <w:t>（图6：一般公共预算财政拨款支出决算结构）</w:t>
      </w:r>
    </w:p>
    <w:p>
      <w:pPr>
        <w:spacing w:line="600" w:lineRule="exact"/>
        <w:ind w:firstLine="321" w:firstLineChars="100"/>
        <w:outlineLvl w:val="2"/>
        <w:rPr>
          <w:rFonts w:hint="eastAsia" w:ascii="Times New Roman" w:hAnsi="Times New Roman" w:eastAsia="楷体_GB2312" w:cs="楷体_GB2312"/>
          <w:b/>
          <w:color w:val="auto"/>
          <w:sz w:val="32"/>
          <w:szCs w:val="32"/>
          <w:highlight w:val="none"/>
        </w:rPr>
      </w:pPr>
      <w:bookmarkStart w:id="56" w:name="_Toc29640"/>
      <w:bookmarkStart w:id="57" w:name="_Toc15377213"/>
      <w:bookmarkStart w:id="58" w:name="_Toc15378460"/>
      <w:bookmarkStart w:id="59" w:name="_Toc15377444"/>
      <w:r>
        <w:rPr>
          <w:rFonts w:hint="eastAsia" w:ascii="Times New Roman" w:hAnsi="Times New Roman" w:eastAsia="楷体_GB2312" w:cs="楷体_GB2312"/>
          <w:b/>
          <w:color w:val="auto"/>
          <w:sz w:val="32"/>
          <w:szCs w:val="32"/>
          <w:highlight w:val="none"/>
        </w:rPr>
        <w:t>（三）一般公共预算财政拨款支出决算具体情况</w:t>
      </w:r>
      <w:bookmarkEnd w:id="56"/>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年度一般公共预算财政拨款支出决算数为</w:t>
      </w:r>
      <w:r>
        <w:rPr>
          <w:rFonts w:hint="eastAsia" w:ascii="仿宋_GB2312" w:hAnsi="仿宋_GB2312" w:eastAsia="仿宋_GB2312" w:cs="仿宋_GB2312"/>
          <w:sz w:val="32"/>
          <w:szCs w:val="32"/>
          <w:lang w:val="en-US" w:eastAsia="zh-CN"/>
        </w:rPr>
        <w:t>1698.23万元</w:t>
      </w:r>
      <w:r>
        <w:rPr>
          <w:rFonts w:hint="eastAsia" w:ascii="仿宋_GB2312" w:hAnsi="仿宋_GB2312"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w:t>
      </w:r>
      <w:bookmarkEnd w:id="57"/>
      <w:bookmarkEnd w:id="58"/>
      <w:bookmarkEnd w:id="59"/>
    </w:p>
    <w:p>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一般公共</w:t>
      </w:r>
      <w:r>
        <w:rPr>
          <w:rFonts w:hint="eastAsia" w:eastAsia="仿宋_GB2312" w:cs="仿宋_GB2312"/>
          <w:color w:val="auto"/>
          <w:kern w:val="2"/>
          <w:sz w:val="32"/>
          <w:szCs w:val="32"/>
          <w:highlight w:val="none"/>
          <w:lang w:val="en-US" w:eastAsia="zh-CN" w:bidi="ar-SA"/>
        </w:rPr>
        <w:t>安全</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检察院</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行政运行</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1436.55</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%，决算数等于预算数</w:t>
      </w:r>
      <w:r>
        <w:rPr>
          <w:rFonts w:hint="eastAsia" w:eastAsia="仿宋_GB2312" w:cs="仿宋_GB2312"/>
          <w:color w:val="auto"/>
          <w:kern w:val="2"/>
          <w:sz w:val="32"/>
          <w:szCs w:val="32"/>
          <w:highlight w:val="none"/>
          <w:lang w:val="en-US" w:eastAsia="zh-CN" w:bidi="ar-SA"/>
        </w:rPr>
        <w:t xml:space="preserve">。     </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2.社会保障和就业支出（类）行政事业单位养老支出（款）机关事业单位基本养老保险缴费支出（项）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81.67</w:t>
      </w:r>
      <w:r>
        <w:rPr>
          <w:rFonts w:hint="eastAsia" w:ascii="Times New Roman" w:hAnsi="Times New Roman" w:eastAsia="仿宋_GB2312" w:cs="仿宋_GB2312"/>
          <w:color w:val="auto"/>
          <w:kern w:val="2"/>
          <w:sz w:val="32"/>
          <w:szCs w:val="32"/>
          <w:highlight w:val="none"/>
          <w:lang w:val="en-US" w:eastAsia="zh-CN" w:bidi="ar-SA"/>
        </w:rPr>
        <w:t>万元；社会保障和就业支出（类）行政事业单位养老支出（款）机关事业单位职业年金缴费支出（项）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11.72</w:t>
      </w:r>
      <w:r>
        <w:rPr>
          <w:rFonts w:hint="eastAsia" w:ascii="Times New Roman" w:hAnsi="Times New Roman" w:eastAsia="仿宋_GB2312" w:cs="仿宋_GB2312"/>
          <w:color w:val="auto"/>
          <w:kern w:val="2"/>
          <w:sz w:val="32"/>
          <w:szCs w:val="32"/>
          <w:highlight w:val="none"/>
          <w:lang w:val="en-US" w:eastAsia="zh-CN" w:bidi="ar-SA"/>
        </w:rPr>
        <w:t>万元；社会保障和就业支出（类）其他社会保障和就业支出（款）其他社会保障和就业支出（项）：支出决算0.0</w:t>
      </w:r>
      <w:r>
        <w:rPr>
          <w:rFonts w:hint="eastAsia" w:eastAsia="仿宋_GB2312" w:cs="仿宋_GB2312"/>
          <w:color w:val="auto"/>
          <w:kern w:val="2"/>
          <w:sz w:val="32"/>
          <w:szCs w:val="32"/>
          <w:highlight w:val="none"/>
          <w:lang w:val="en-US" w:eastAsia="zh-CN" w:bidi="ar-SA"/>
        </w:rPr>
        <w:t>6</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社会保障和就业支出（类）</w:t>
      </w:r>
      <w:r>
        <w:rPr>
          <w:rFonts w:hint="eastAsia" w:eastAsia="仿宋_GB2312" w:cs="仿宋_GB2312"/>
          <w:color w:val="auto"/>
          <w:kern w:val="2"/>
          <w:sz w:val="32"/>
          <w:szCs w:val="32"/>
          <w:highlight w:val="none"/>
          <w:lang w:val="en-US" w:eastAsia="zh-CN" w:bidi="ar-SA"/>
        </w:rPr>
        <w:t>抚恤（款）死亡抚恤（项）：支出决算33.74万元；</w:t>
      </w:r>
      <w:r>
        <w:rPr>
          <w:rFonts w:hint="eastAsia" w:ascii="Times New Roman" w:hAnsi="Times New Roman" w:eastAsia="仿宋_GB2312" w:cs="仿宋_GB2312"/>
          <w:color w:val="auto"/>
          <w:kern w:val="2"/>
          <w:sz w:val="32"/>
          <w:szCs w:val="32"/>
          <w:highlight w:val="none"/>
          <w:lang w:val="en-US" w:eastAsia="zh-CN" w:bidi="ar-SA"/>
        </w:rPr>
        <w:t>社会保障和就业支出（类）</w:t>
      </w:r>
      <w:r>
        <w:rPr>
          <w:rFonts w:hint="eastAsia" w:eastAsia="仿宋_GB2312" w:cs="仿宋_GB2312"/>
          <w:color w:val="auto"/>
          <w:kern w:val="2"/>
          <w:sz w:val="32"/>
          <w:szCs w:val="32"/>
          <w:highlight w:val="none"/>
          <w:lang w:val="en-US" w:eastAsia="zh-CN" w:bidi="ar-SA"/>
        </w:rPr>
        <w:t>抚恤（款）其他优抚支出（项）：支出决算0.33万元</w:t>
      </w:r>
      <w:r>
        <w:rPr>
          <w:rFonts w:hint="eastAsia" w:ascii="Times New Roman" w:hAnsi="Times New Roman" w:eastAsia="仿宋_GB2312" w:cs="仿宋_GB2312"/>
          <w:color w:val="auto"/>
          <w:kern w:val="2"/>
          <w:sz w:val="32"/>
          <w:szCs w:val="32"/>
          <w:highlight w:val="none"/>
          <w:lang w:val="en-US" w:eastAsia="zh-CN" w:bidi="ar-SA"/>
        </w:rPr>
        <w:t>，完成预算100%</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决算数等于预算数。</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3.卫生健康支出（类）行政事业单位医疗（款）行政单位医疗（项）:支出决算为46.55万元；卫生健康支出（类）行政事业单位医疗（款）事业单位医疗（项）:支出决算为1.4</w:t>
      </w:r>
      <w:r>
        <w:rPr>
          <w:rFonts w:hint="eastAsia" w:eastAsia="仿宋_GB2312" w:cs="仿宋_GB2312"/>
          <w:color w:val="auto"/>
          <w:kern w:val="2"/>
          <w:sz w:val="32"/>
          <w:szCs w:val="32"/>
          <w:highlight w:val="none"/>
          <w:lang w:val="en-US" w:eastAsia="zh-CN" w:bidi="ar-SA"/>
        </w:rPr>
        <w:t>7</w:t>
      </w:r>
      <w:r>
        <w:rPr>
          <w:rFonts w:hint="eastAsia" w:ascii="Times New Roman" w:hAnsi="Times New Roman" w:eastAsia="仿宋_GB2312" w:cs="仿宋_GB2312"/>
          <w:color w:val="auto"/>
          <w:kern w:val="2"/>
          <w:sz w:val="32"/>
          <w:szCs w:val="32"/>
          <w:highlight w:val="none"/>
          <w:lang w:val="en-US" w:eastAsia="zh-CN" w:bidi="ar-SA"/>
        </w:rPr>
        <w:t>万元；卫生健康支出（类）行政事业单位医疗（款）公务员医疗补助（项）:支出决算为</w:t>
      </w:r>
      <w:r>
        <w:rPr>
          <w:rFonts w:hint="eastAsia" w:eastAsia="仿宋_GB2312" w:cs="仿宋_GB2312"/>
          <w:color w:val="auto"/>
          <w:kern w:val="2"/>
          <w:sz w:val="32"/>
          <w:szCs w:val="32"/>
          <w:highlight w:val="none"/>
          <w:lang w:val="en-US" w:eastAsia="zh-CN" w:bidi="ar-SA"/>
        </w:rPr>
        <w:t>9.91</w:t>
      </w:r>
      <w:r>
        <w:rPr>
          <w:rFonts w:hint="eastAsia" w:ascii="Times New Roman" w:hAnsi="Times New Roman" w:eastAsia="仿宋_GB2312" w:cs="仿宋_GB2312"/>
          <w:color w:val="auto"/>
          <w:kern w:val="2"/>
          <w:sz w:val="32"/>
          <w:szCs w:val="32"/>
          <w:highlight w:val="none"/>
          <w:lang w:val="en-US" w:eastAsia="zh-CN" w:bidi="ar-SA"/>
        </w:rPr>
        <w:t>万元，全部完成预算100%，决算数等于预算数。</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4.住房保障支出（类）住房改革支出（款）住房公积金（项）:支出决算为</w:t>
      </w:r>
      <w:r>
        <w:rPr>
          <w:rFonts w:hint="eastAsia" w:eastAsia="仿宋_GB2312" w:cs="仿宋_GB2312"/>
          <w:color w:val="auto"/>
          <w:kern w:val="2"/>
          <w:sz w:val="32"/>
          <w:szCs w:val="32"/>
          <w:highlight w:val="none"/>
          <w:lang w:val="en-US" w:eastAsia="zh-CN" w:bidi="ar-SA"/>
        </w:rPr>
        <w:t>76.24</w:t>
      </w:r>
      <w:r>
        <w:rPr>
          <w:rFonts w:hint="eastAsia" w:ascii="Times New Roman" w:hAnsi="Times New Roman" w:eastAsia="仿宋_GB2312" w:cs="仿宋_GB2312"/>
          <w:color w:val="auto"/>
          <w:kern w:val="2"/>
          <w:sz w:val="32"/>
          <w:szCs w:val="32"/>
          <w:highlight w:val="none"/>
          <w:lang w:val="en-US" w:eastAsia="zh-CN" w:bidi="ar-SA"/>
        </w:rPr>
        <w:t>万元，完成预算100%，决算数等于预算数。</w:t>
      </w:r>
    </w:p>
    <w:p>
      <w:pPr>
        <w:pStyle w:val="7"/>
        <w:keepNext/>
        <w:keepLines/>
        <w:pageBreakBefore w:val="0"/>
        <w:widowControl w:val="0"/>
        <w:kinsoku/>
        <w:wordWrap/>
        <w:overflowPunct/>
        <w:topLinePunct w:val="0"/>
        <w:autoSpaceDE/>
        <w:autoSpaceDN/>
        <w:bidi w:val="0"/>
        <w:adjustRightInd/>
        <w:snapToGrid/>
        <w:spacing w:before="0" w:after="0" w:line="600" w:lineRule="exact"/>
        <w:ind w:firstLine="640" w:firstLineChars="200"/>
        <w:textAlignment w:val="auto"/>
        <w:rPr>
          <w:rFonts w:hint="eastAsia" w:ascii="黑体" w:hAnsi="黑体" w:eastAsia="黑体" w:cs="黑体"/>
          <w:b w:val="0"/>
          <w:bCs w:val="0"/>
        </w:rPr>
      </w:pPr>
      <w:bookmarkStart w:id="60" w:name="_Toc15396608"/>
      <w:bookmarkStart w:id="61" w:name="_Toc15377214"/>
      <w:bookmarkStart w:id="62" w:name="_Toc26258"/>
      <w:r>
        <w:rPr>
          <w:rFonts w:hint="eastAsia" w:ascii="黑体" w:hAnsi="黑体" w:eastAsia="黑体" w:cs="黑体"/>
          <w:b w:val="0"/>
          <w:bCs w:val="0"/>
        </w:rPr>
        <w:t>六、一般公共预算财政拨款基本支出决算情况说明</w:t>
      </w:r>
      <w:bookmarkEnd w:id="60"/>
      <w:bookmarkEnd w:id="61"/>
      <w:bookmarkEnd w:id="62"/>
      <w:r>
        <w:rPr>
          <w:rFonts w:hint="eastAsia" w:ascii="黑体" w:hAnsi="黑体" w:eastAsia="黑体" w:cs="黑体"/>
          <w:b w:val="0"/>
          <w:bCs w:val="0"/>
        </w:rPr>
        <w:tab/>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年度一般公共预算财政拨款基本支出</w:t>
      </w:r>
      <w:r>
        <w:rPr>
          <w:rFonts w:hint="eastAsia" w:ascii="仿宋_GB2312" w:hAnsi="仿宋_GB2312" w:eastAsia="仿宋_GB2312" w:cs="仿宋_GB2312"/>
          <w:sz w:val="32"/>
          <w:szCs w:val="32"/>
          <w:lang w:val="en-US" w:eastAsia="zh-CN"/>
        </w:rPr>
        <w:t>1316.69</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元，其中：</w:t>
      </w:r>
    </w:p>
    <w:p>
      <w:pPr>
        <w:spacing w:line="600" w:lineRule="exact"/>
        <w:ind w:firstLine="645"/>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default" w:ascii="Times New Roman" w:hAnsi="Times New Roman" w:eastAsia="仿宋_GB2312" w:cs="Times New Roman"/>
          <w:sz w:val="32"/>
          <w:szCs w:val="32"/>
          <w:lang w:val="en-US" w:eastAsia="zh-CN"/>
        </w:rPr>
        <w:t>1115.49</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主要包括：基本工资、津贴补贴、奖金、机关事业单位基本养老保险缴费、职工基本医疗保险缴费、公务员医疗补助缴费、其他社会保障缴费、住房公积金、其他工资福利支出、生活补助、其他对个人和家庭的补助支出等。</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t>　　公用经费</w:t>
      </w:r>
      <w:r>
        <w:rPr>
          <w:rFonts w:hint="default" w:ascii="Times New Roman" w:hAnsi="Times New Roman" w:eastAsia="仿宋_GB2312" w:cs="Times New Roman"/>
          <w:sz w:val="32"/>
          <w:szCs w:val="32"/>
          <w:lang w:val="en-US" w:eastAsia="zh-CN"/>
        </w:rPr>
        <w:t>201.2</w:t>
      </w:r>
      <w:r>
        <w:rPr>
          <w:rFonts w:hint="eastAsia" w:ascii="Times New Roman" w:hAnsi="Times New Roman" w:eastAsia="仿宋_GB2312" w:cs="仿宋_GB2312"/>
          <w:color w:val="auto"/>
          <w:kern w:val="2"/>
          <w:sz w:val="32"/>
          <w:szCs w:val="32"/>
          <w:highlight w:val="none"/>
          <w:lang w:val="en-US" w:eastAsia="zh-CN" w:bidi="ar-SA"/>
        </w:rPr>
        <w:t>万元，主要包括：办公费、印刷费、水费、电费、邮电费、物业管理费、差旅费、维修（护）费、租赁费、会议费、培训费、公务接待费、劳务费、工会经费、福利费、公务用车运行维护费、其他交通费、税金及附加费用、其他商品和服务支出、办公设备购置等。</w:t>
      </w:r>
    </w:p>
    <w:p>
      <w:pPr>
        <w:pStyle w:val="7"/>
        <w:keepNext/>
        <w:keepLines/>
        <w:pageBreakBefore w:val="0"/>
        <w:widowControl w:val="0"/>
        <w:kinsoku/>
        <w:wordWrap/>
        <w:overflowPunct/>
        <w:topLinePunct w:val="0"/>
        <w:autoSpaceDE/>
        <w:autoSpaceDN/>
        <w:bidi w:val="0"/>
        <w:adjustRightInd/>
        <w:snapToGrid/>
        <w:spacing w:before="0" w:after="0" w:line="600" w:lineRule="exact"/>
        <w:ind w:firstLine="320" w:firstLineChars="100"/>
        <w:textAlignment w:val="auto"/>
        <w:rPr>
          <w:rFonts w:hint="eastAsia" w:ascii="黑体" w:hAnsi="黑体" w:eastAsia="黑体" w:cs="黑体"/>
          <w:b w:val="0"/>
          <w:bCs w:val="0"/>
        </w:rPr>
      </w:pPr>
      <w:bookmarkStart w:id="63" w:name="_Toc15377215"/>
      <w:bookmarkStart w:id="64" w:name="_Toc15396609"/>
      <w:bookmarkStart w:id="65" w:name="_Toc12404"/>
      <w:r>
        <w:rPr>
          <w:rFonts w:hint="eastAsia" w:ascii="黑体" w:hAnsi="黑体" w:eastAsia="黑体" w:cs="黑体"/>
          <w:b w:val="0"/>
          <w:bCs w:val="0"/>
        </w:rPr>
        <w:t>七、财政拨款“三公”经费支出决算情况说明</w:t>
      </w:r>
      <w:bookmarkEnd w:id="63"/>
      <w:bookmarkEnd w:id="64"/>
      <w:bookmarkEnd w:id="65"/>
    </w:p>
    <w:p>
      <w:pPr>
        <w:spacing w:line="600" w:lineRule="exact"/>
        <w:ind w:firstLine="321" w:firstLineChars="100"/>
        <w:outlineLvl w:val="2"/>
        <w:rPr>
          <w:rFonts w:hint="eastAsia" w:ascii="Times New Roman" w:hAnsi="Times New Roman" w:eastAsia="楷体_GB2312" w:cs="楷体_GB2312"/>
          <w:b/>
          <w:color w:val="auto"/>
          <w:sz w:val="32"/>
          <w:szCs w:val="32"/>
          <w:highlight w:val="none"/>
        </w:rPr>
      </w:pPr>
      <w:bookmarkStart w:id="66" w:name="_Toc15377216"/>
      <w:bookmarkStart w:id="67" w:name="_Toc10941"/>
      <w:r>
        <w:rPr>
          <w:rFonts w:hint="eastAsia" w:ascii="Times New Roman" w:hAnsi="Times New Roman" w:eastAsia="楷体_GB2312" w:cs="楷体_GB2312"/>
          <w:b/>
          <w:color w:val="auto"/>
          <w:sz w:val="32"/>
          <w:szCs w:val="32"/>
          <w:highlight w:val="none"/>
        </w:rPr>
        <w:t>（一）“三公”经费财政拨款支出决算总体情况说明</w:t>
      </w:r>
      <w:bookmarkEnd w:id="66"/>
      <w:bookmarkEnd w:id="67"/>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年度“三公”经费财政拨款支出决算为</w:t>
      </w:r>
      <w:r>
        <w:rPr>
          <w:rFonts w:hint="eastAsia" w:ascii="仿宋_GB2312" w:hAnsi="仿宋_GB2312" w:eastAsia="仿宋_GB2312" w:cs="仿宋_GB2312"/>
          <w:sz w:val="32"/>
          <w:szCs w:val="32"/>
          <w:lang w:val="en-US" w:eastAsia="zh-CN"/>
        </w:rPr>
        <w:t>16</w:t>
      </w:r>
      <w:r>
        <w:rPr>
          <w:rFonts w:hint="eastAsia" w:ascii="仿宋_GB2312" w:hAnsi="仿宋_GB2312" w:eastAsia="仿宋_GB2312" w:cs="仿宋_GB2312"/>
          <w:color w:val="auto"/>
          <w:kern w:val="2"/>
          <w:sz w:val="32"/>
          <w:szCs w:val="32"/>
          <w:highlight w:val="none"/>
          <w:lang w:val="en-US" w:eastAsia="zh-CN" w:bidi="ar-SA"/>
        </w:rPr>
        <w:t>万元，完成预算</w:t>
      </w:r>
      <w:r>
        <w:rPr>
          <w:rFonts w:hint="default" w:ascii="Times New Roman" w:hAnsi="Times New Roman" w:eastAsia="仿宋_GB2312" w:cs="Times New Roman"/>
          <w:color w:val="auto"/>
          <w:kern w:val="2"/>
          <w:sz w:val="32"/>
          <w:szCs w:val="32"/>
          <w:highlight w:val="none"/>
          <w:lang w:val="en-US" w:eastAsia="zh-CN" w:bidi="ar-SA"/>
        </w:rPr>
        <w:t>100</w:t>
      </w:r>
      <w:r>
        <w:rPr>
          <w:rFonts w:hint="eastAsia" w:ascii="仿宋_GB2312" w:hAnsi="仿宋_GB2312"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较上年度减少</w:t>
      </w:r>
      <w:r>
        <w:rPr>
          <w:rFonts w:hint="eastAsia" w:eastAsia="仿宋_GB2312" w:cs="仿宋_GB2312"/>
          <w:color w:val="auto"/>
          <w:kern w:val="2"/>
          <w:sz w:val="32"/>
          <w:szCs w:val="32"/>
          <w:highlight w:val="none"/>
          <w:lang w:val="en-US" w:eastAsia="zh-CN" w:bidi="ar-SA"/>
        </w:rPr>
        <w:t>0.1</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0.6</w:t>
      </w:r>
      <w:r>
        <w:rPr>
          <w:rFonts w:hint="eastAsia" w:ascii="Times New Roman" w:hAnsi="Times New Roman" w:eastAsia="仿宋_GB2312" w:cs="仿宋_GB2312"/>
          <w:color w:val="auto"/>
          <w:kern w:val="2"/>
          <w:sz w:val="32"/>
          <w:szCs w:val="32"/>
          <w:highlight w:val="none"/>
          <w:lang w:val="en-US" w:eastAsia="zh-CN" w:bidi="ar-SA"/>
        </w:rPr>
        <w:t>%。决算数与预算数持平</w:t>
      </w:r>
      <w:r>
        <w:rPr>
          <w:rFonts w:hint="eastAsia" w:eastAsia="仿宋_GB2312" w:cs="仿宋_GB2312"/>
          <w:color w:val="auto"/>
          <w:kern w:val="2"/>
          <w:sz w:val="32"/>
          <w:szCs w:val="32"/>
          <w:highlight w:val="none"/>
          <w:lang w:val="en-US" w:eastAsia="zh-CN" w:bidi="ar-SA"/>
        </w:rPr>
        <w:t>。</w:t>
      </w:r>
    </w:p>
    <w:p>
      <w:pPr>
        <w:spacing w:line="600" w:lineRule="exact"/>
        <w:ind w:firstLine="321" w:firstLineChars="100"/>
        <w:outlineLvl w:val="2"/>
        <w:rPr>
          <w:rFonts w:hint="eastAsia" w:ascii="Times New Roman" w:hAnsi="Times New Roman" w:eastAsia="楷体_GB2312" w:cs="楷体_GB2312"/>
          <w:b/>
          <w:color w:val="auto"/>
          <w:sz w:val="32"/>
          <w:szCs w:val="32"/>
          <w:highlight w:val="none"/>
        </w:rPr>
      </w:pPr>
      <w:bookmarkStart w:id="68" w:name="_Toc15377217"/>
      <w:bookmarkStart w:id="69" w:name="_Toc14337"/>
      <w:r>
        <w:rPr>
          <w:rFonts w:hint="eastAsia" w:ascii="Times New Roman" w:hAnsi="Times New Roman" w:eastAsia="楷体_GB2312" w:cs="楷体_GB2312"/>
          <w:b/>
          <w:color w:val="auto"/>
          <w:sz w:val="32"/>
          <w:szCs w:val="32"/>
          <w:highlight w:val="none"/>
        </w:rPr>
        <w:t>（二）“三公”经费财政拨款支出决算具体情况说明</w:t>
      </w:r>
      <w:bookmarkEnd w:id="68"/>
      <w:bookmarkEnd w:id="69"/>
    </w:p>
    <w:p>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2025年度“三公”经费财政拨款支出决算中，因公出国（境）费支出决算</w:t>
      </w:r>
      <w:r>
        <w:rPr>
          <w:rFonts w:hint="default" w:ascii="Times New Roman" w:hAnsi="Times New Roman" w:eastAsia="仿宋_GB2312" w:cs="Times New Roman"/>
          <w:sz w:val="32"/>
          <w:szCs w:val="32"/>
          <w:lang w:val="en-US" w:eastAsia="zh-CN"/>
        </w:rPr>
        <w:t>0</w:t>
      </w:r>
      <w:r>
        <w:rPr>
          <w:rFonts w:hint="eastAsia" w:ascii="仿宋_GB2312" w:hAnsi="仿宋_GB2312" w:eastAsia="仿宋_GB2312" w:cs="仿宋_GB2312"/>
          <w:color w:val="auto"/>
          <w:kern w:val="2"/>
          <w:sz w:val="32"/>
          <w:szCs w:val="32"/>
          <w:highlight w:val="none"/>
          <w:lang w:val="en-US" w:eastAsia="zh-CN" w:bidi="ar-SA"/>
        </w:rPr>
        <w:t>万元，占</w:t>
      </w:r>
      <w:r>
        <w:rPr>
          <w:rFonts w:hint="default" w:ascii="Times New Roman" w:hAnsi="Times New Roman" w:eastAsia="仿宋_GB2312" w:cs="Times New Roman"/>
          <w:color w:val="auto"/>
          <w:kern w:val="2"/>
          <w:sz w:val="32"/>
          <w:szCs w:val="32"/>
          <w:highlight w:val="none"/>
          <w:lang w:val="en-US" w:eastAsia="zh-CN" w:bidi="ar-SA"/>
        </w:rPr>
        <w:t>0.00</w:t>
      </w:r>
      <w:r>
        <w:rPr>
          <w:rFonts w:hint="eastAsia" w:ascii="仿宋_GB2312" w:hAnsi="仿宋_GB2312" w:eastAsia="仿宋_GB2312" w:cs="仿宋_GB2312"/>
          <w:color w:val="auto"/>
          <w:kern w:val="2"/>
          <w:sz w:val="32"/>
          <w:szCs w:val="32"/>
          <w:highlight w:val="none"/>
          <w:lang w:val="en-US" w:eastAsia="zh-CN" w:bidi="ar-SA"/>
        </w:rPr>
        <w:t>%；公务用车运行维护费支出决算</w:t>
      </w:r>
      <w:r>
        <w:rPr>
          <w:rFonts w:hint="default" w:ascii="Times New Roman" w:hAnsi="Times New Roman" w:eastAsia="仿宋_GB2312" w:cs="Times New Roman"/>
          <w:sz w:val="32"/>
          <w:szCs w:val="32"/>
          <w:lang w:val="en-US" w:eastAsia="zh-CN"/>
        </w:rPr>
        <w:t>15.4</w:t>
      </w:r>
      <w:r>
        <w:rPr>
          <w:rFonts w:hint="eastAsia" w:ascii="仿宋_GB2312" w:hAnsi="仿宋_GB2312" w:eastAsia="仿宋_GB2312" w:cs="仿宋_GB2312"/>
          <w:color w:val="auto"/>
          <w:kern w:val="2"/>
          <w:sz w:val="32"/>
          <w:szCs w:val="32"/>
          <w:highlight w:val="none"/>
          <w:lang w:val="en-US" w:eastAsia="zh-CN" w:bidi="ar-SA"/>
        </w:rPr>
        <w:t>万元，占</w:t>
      </w:r>
      <w:r>
        <w:rPr>
          <w:rFonts w:hint="default" w:ascii="Times New Roman" w:hAnsi="Times New Roman" w:eastAsia="仿宋_GB2312" w:cs="Times New Roman"/>
          <w:color w:val="auto"/>
          <w:kern w:val="2"/>
          <w:sz w:val="32"/>
          <w:szCs w:val="32"/>
          <w:highlight w:val="none"/>
          <w:lang w:val="en-US" w:eastAsia="zh-CN" w:bidi="ar-SA"/>
        </w:rPr>
        <w:t>96.25</w:t>
      </w:r>
      <w:r>
        <w:rPr>
          <w:rFonts w:hint="eastAsia" w:ascii="仿宋_GB2312" w:hAnsi="仿宋_GB2312" w:eastAsia="仿宋_GB2312" w:cs="仿宋_GB2312"/>
          <w:color w:val="auto"/>
          <w:kern w:val="2"/>
          <w:sz w:val="32"/>
          <w:szCs w:val="32"/>
          <w:highlight w:val="none"/>
          <w:lang w:val="en-US" w:eastAsia="zh-CN" w:bidi="ar-SA"/>
        </w:rPr>
        <w:t>%；公务接待费支出决算</w:t>
      </w:r>
      <w:r>
        <w:rPr>
          <w:rFonts w:hint="default" w:ascii="Times New Roman" w:hAnsi="Times New Roman" w:eastAsia="仿宋_GB2312" w:cs="Times New Roman"/>
          <w:sz w:val="32"/>
          <w:szCs w:val="32"/>
          <w:lang w:val="en-US" w:eastAsia="zh-CN"/>
        </w:rPr>
        <w:t>0.6</w:t>
      </w:r>
      <w:r>
        <w:rPr>
          <w:rFonts w:hint="eastAsia" w:ascii="仿宋_GB2312" w:hAnsi="仿宋_GB2312" w:eastAsia="仿宋_GB2312" w:cs="仿宋_GB2312"/>
          <w:color w:val="auto"/>
          <w:kern w:val="2"/>
          <w:sz w:val="32"/>
          <w:szCs w:val="32"/>
          <w:highlight w:val="none"/>
          <w:lang w:val="en-US" w:eastAsia="zh-CN" w:bidi="ar-SA"/>
        </w:rPr>
        <w:t>万元，占</w:t>
      </w:r>
      <w:r>
        <w:rPr>
          <w:rFonts w:hint="default" w:ascii="Times New Roman" w:hAnsi="Times New Roman" w:eastAsia="仿宋_GB2312" w:cs="Times New Roman"/>
          <w:color w:val="auto"/>
          <w:kern w:val="2"/>
          <w:sz w:val="32"/>
          <w:szCs w:val="32"/>
          <w:highlight w:val="none"/>
          <w:lang w:val="en-US" w:eastAsia="zh-CN" w:bidi="ar-SA"/>
        </w:rPr>
        <w:t>3.75</w:t>
      </w:r>
      <w:r>
        <w:rPr>
          <w:rFonts w:hint="eastAsia" w:ascii="仿宋_GB2312" w:hAnsi="仿宋_GB2312" w:eastAsia="仿宋_GB2312" w:cs="仿宋_GB2312"/>
          <w:color w:val="auto"/>
          <w:kern w:val="2"/>
          <w:sz w:val="32"/>
          <w:szCs w:val="32"/>
          <w:highlight w:val="none"/>
          <w:lang w:val="en-US" w:eastAsia="zh-CN" w:bidi="ar-SA"/>
        </w:rPr>
        <w:t>%。具体情况如下：</w:t>
      </w:r>
    </w:p>
    <w:p>
      <w:pPr>
        <w:pStyle w:val="5"/>
        <w:ind w:firstLine="320" w:firstLineChars="100"/>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drawing>
          <wp:anchor distT="0" distB="0" distL="114300" distR="114300" simplePos="0" relativeHeight="251662336" behindDoc="0" locked="0" layoutInCell="1" allowOverlap="1">
            <wp:simplePos x="0" y="0"/>
            <wp:positionH relativeFrom="column">
              <wp:posOffset>457835</wp:posOffset>
            </wp:positionH>
            <wp:positionV relativeFrom="page">
              <wp:posOffset>1332230</wp:posOffset>
            </wp:positionV>
            <wp:extent cx="3201035" cy="2221230"/>
            <wp:effectExtent l="4445" t="4445" r="10160" b="14605"/>
            <wp:wrapTopAndBottom/>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r>
        <w:rPr>
          <w:rFonts w:hint="eastAsia" w:ascii="Times New Roman" w:hAnsi="Times New Roman" w:eastAsia="仿宋_GB2312" w:cs="仿宋_GB2312"/>
          <w:color w:val="auto"/>
          <w:kern w:val="2"/>
          <w:sz w:val="32"/>
          <w:szCs w:val="32"/>
          <w:highlight w:val="none"/>
          <w:lang w:val="en-US" w:eastAsia="zh-CN" w:bidi="ar-SA"/>
        </w:rPr>
        <w:t>（图7：“三公”经费财政拨款支出结构）</w:t>
      </w:r>
    </w:p>
    <w:p>
      <w:pPr>
        <w:spacing w:line="600" w:lineRule="exact"/>
        <w:ind w:firstLine="643"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1.因公出国（境）经费支出</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全年安排因公出国（境）团</w:t>
      </w:r>
      <w:r>
        <w:rPr>
          <w:rFonts w:hint="eastAsia" w:ascii="仿宋_GB2312" w:hAnsi="仿宋_GB2312" w:eastAsia="仿宋_GB2312" w:cs="仿宋_GB2312"/>
          <w:color w:val="auto"/>
          <w:kern w:val="2"/>
          <w:sz w:val="32"/>
          <w:szCs w:val="32"/>
          <w:highlight w:val="none"/>
          <w:lang w:val="en-US" w:eastAsia="zh-CN" w:bidi="ar-SA"/>
        </w:rPr>
        <w:t>组</w:t>
      </w:r>
      <w:r>
        <w:rPr>
          <w:rFonts w:hint="eastAsia" w:ascii="仿宋_GB2312" w:hAnsi="仿宋_GB2312" w:eastAsia="仿宋_GB2312" w:cs="仿宋_GB2312"/>
          <w:sz w:val="32"/>
          <w:szCs w:val="32"/>
          <w:lang w:val="en-US" w:eastAsia="zh-CN"/>
        </w:rPr>
        <w:t>0</w:t>
      </w:r>
      <w:r>
        <w:rPr>
          <w:rFonts w:hint="eastAsia" w:ascii="Times New Roman" w:hAnsi="Times New Roman" w:eastAsia="仿宋_GB2312" w:cs="仿宋_GB2312"/>
          <w:color w:val="auto"/>
          <w:kern w:val="2"/>
          <w:sz w:val="32"/>
          <w:szCs w:val="32"/>
          <w:highlight w:val="none"/>
          <w:lang w:val="en-US" w:eastAsia="zh-CN" w:bidi="ar-SA"/>
        </w:rPr>
        <w:t>次，出国（境）</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color w:val="auto"/>
          <w:kern w:val="2"/>
          <w:sz w:val="32"/>
          <w:szCs w:val="32"/>
          <w:highlight w:val="none"/>
          <w:lang w:val="en-US" w:eastAsia="zh-CN" w:bidi="ar-SA"/>
        </w:rPr>
        <w:t>人</w:t>
      </w:r>
      <w:r>
        <w:rPr>
          <w:rFonts w:hint="eastAsia" w:ascii="Times New Roman" w:hAnsi="Times New Roman" w:eastAsia="仿宋_GB2312" w:cs="仿宋_GB2312"/>
          <w:color w:val="auto"/>
          <w:kern w:val="2"/>
          <w:sz w:val="32"/>
          <w:szCs w:val="32"/>
          <w:highlight w:val="none"/>
          <w:lang w:val="en-US" w:eastAsia="zh-CN" w:bidi="ar-SA"/>
        </w:rPr>
        <w:t>。因公出国（境）支出决算比202</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年增加/减少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万元，因公出国（境）支出决算与202</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年持平。</w:t>
      </w:r>
    </w:p>
    <w:p>
      <w:pPr>
        <w:spacing w:line="600" w:lineRule="exact"/>
        <w:ind w:firstLine="640"/>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2.公务用车运行维护费支出</w:t>
      </w:r>
      <w:r>
        <w:rPr>
          <w:rFonts w:hint="eastAsia" w:ascii="仿宋_GB2312" w:hAnsi="仿宋_GB2312" w:eastAsia="仿宋_GB2312" w:cs="仿宋_GB2312"/>
          <w:b/>
          <w:bCs/>
          <w:color w:val="auto"/>
          <w:kern w:val="2"/>
          <w:sz w:val="32"/>
          <w:szCs w:val="32"/>
          <w:highlight w:val="none"/>
          <w:lang w:val="en-US" w:eastAsia="zh-CN" w:bidi="ar-SA"/>
        </w:rPr>
        <w:t>15.4万</w:t>
      </w:r>
      <w:r>
        <w:rPr>
          <w:rFonts w:hint="eastAsia" w:ascii="Times New Roman" w:hAnsi="Times New Roman" w:eastAsia="仿宋_GB2312" w:cs="仿宋_GB2312"/>
          <w:b/>
          <w:bCs/>
          <w:color w:val="auto"/>
          <w:kern w:val="2"/>
          <w:sz w:val="32"/>
          <w:szCs w:val="32"/>
          <w:highlight w:val="none"/>
          <w:lang w:val="en-US" w:eastAsia="zh-CN" w:bidi="ar-SA"/>
        </w:rPr>
        <w:t>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w:t>
      </w:r>
      <w:r>
        <w:rPr>
          <w:rFonts w:hint="eastAsia" w:eastAsia="仿宋_GB2312" w:cs="仿宋_GB2312"/>
          <w:color w:val="auto"/>
          <w:kern w:val="2"/>
          <w:sz w:val="32"/>
          <w:szCs w:val="32"/>
          <w:highlight w:val="none"/>
          <w:lang w:val="en-US" w:eastAsia="zh-CN" w:bidi="ar-SA"/>
        </w:rPr>
        <w:t>与2024年持平。</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其中：公务用车购置支</w:t>
      </w:r>
      <w:r>
        <w:rPr>
          <w:rFonts w:hint="eastAsia" w:ascii="仿宋_GB2312" w:hAnsi="仿宋_GB2312" w:eastAsia="仿宋_GB2312" w:cs="仿宋_GB2312"/>
          <w:color w:val="auto"/>
          <w:kern w:val="2"/>
          <w:sz w:val="32"/>
          <w:szCs w:val="32"/>
          <w:highlight w:val="none"/>
          <w:lang w:val="en-US" w:eastAsia="zh-CN" w:bidi="ar-SA"/>
        </w:rPr>
        <w:t>出</w:t>
      </w:r>
      <w:r>
        <w:rPr>
          <w:rFonts w:hint="eastAsia" w:ascii="仿宋_GB2312" w:hAnsi="仿宋_GB2312" w:eastAsia="仿宋_GB2312" w:cs="仿宋_GB2312"/>
          <w:sz w:val="32"/>
          <w:szCs w:val="32"/>
          <w:lang w:val="en-US" w:eastAsia="zh-CN"/>
        </w:rPr>
        <w:t>0</w:t>
      </w:r>
      <w:r>
        <w:rPr>
          <w:rFonts w:hint="eastAsia" w:ascii="Times New Roman" w:hAnsi="Times New Roman" w:eastAsia="仿宋_GB2312" w:cs="仿宋_GB2312"/>
          <w:color w:val="auto"/>
          <w:kern w:val="2"/>
          <w:sz w:val="32"/>
          <w:szCs w:val="32"/>
          <w:highlight w:val="none"/>
          <w:lang w:val="en-US" w:eastAsia="zh-CN" w:bidi="ar-SA"/>
        </w:rPr>
        <w:t>万元。截至202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年12月31日，单位共有公务用车</w:t>
      </w:r>
      <w:r>
        <w:rPr>
          <w:rFonts w:hint="eastAsia" w:eastAsia="仿宋_GB2312" w:cs="仿宋_GB2312"/>
          <w:color w:val="auto"/>
          <w:kern w:val="2"/>
          <w:sz w:val="32"/>
          <w:szCs w:val="32"/>
          <w:highlight w:val="none"/>
          <w:lang w:val="en-US" w:eastAsia="zh-CN" w:bidi="ar-SA"/>
        </w:rPr>
        <w:t>6</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辆、越野车</w:t>
      </w: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辆。</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公务用车运行维护费支</w:t>
      </w:r>
      <w:r>
        <w:rPr>
          <w:rFonts w:hint="eastAsia" w:ascii="仿宋_GB2312" w:hAnsi="仿宋_GB2312" w:eastAsia="仿宋_GB2312" w:cs="仿宋_GB2312"/>
          <w:color w:val="auto"/>
          <w:kern w:val="2"/>
          <w:sz w:val="32"/>
          <w:szCs w:val="32"/>
          <w:highlight w:val="none"/>
          <w:lang w:val="en-US" w:eastAsia="zh-CN" w:bidi="ar-SA"/>
        </w:rPr>
        <w:t>出</w:t>
      </w:r>
      <w:r>
        <w:rPr>
          <w:rFonts w:hint="eastAsia" w:ascii="仿宋_GB2312" w:hAnsi="仿宋_GB2312" w:eastAsia="仿宋_GB2312" w:cs="仿宋_GB2312"/>
          <w:sz w:val="32"/>
          <w:szCs w:val="32"/>
          <w:lang w:val="en-US" w:eastAsia="zh-CN"/>
        </w:rPr>
        <w:t>15.4</w:t>
      </w:r>
      <w:r>
        <w:rPr>
          <w:rFonts w:hint="eastAsia" w:ascii="Times New Roman" w:hAnsi="Times New Roman" w:eastAsia="仿宋_GB2312" w:cs="仿宋_GB2312"/>
          <w:color w:val="auto"/>
          <w:kern w:val="2"/>
          <w:sz w:val="32"/>
          <w:szCs w:val="32"/>
          <w:highlight w:val="none"/>
          <w:lang w:val="en-US" w:eastAsia="zh-CN" w:bidi="ar-SA"/>
        </w:rPr>
        <w:t>万元。主要用于</w:t>
      </w:r>
      <w:r>
        <w:rPr>
          <w:rFonts w:hint="eastAsia" w:eastAsia="仿宋_GB2312" w:cs="仿宋_GB2312"/>
          <w:color w:val="auto"/>
          <w:kern w:val="2"/>
          <w:sz w:val="32"/>
          <w:szCs w:val="32"/>
          <w:highlight w:val="none"/>
          <w:lang w:val="en-US" w:eastAsia="zh-CN" w:bidi="ar-SA"/>
        </w:rPr>
        <w:t>办案办公</w:t>
      </w:r>
      <w:r>
        <w:rPr>
          <w:rFonts w:hint="eastAsia" w:ascii="Times New Roman" w:hAnsi="Times New Roman" w:eastAsia="仿宋_GB2312" w:cs="仿宋_GB2312"/>
          <w:color w:val="auto"/>
          <w:kern w:val="2"/>
          <w:sz w:val="32"/>
          <w:szCs w:val="32"/>
          <w:highlight w:val="none"/>
          <w:lang w:val="en-US" w:eastAsia="zh-CN" w:bidi="ar-SA"/>
        </w:rPr>
        <w:t>所需的公务用车燃料费、维修费、过路过桥费、保险费等支出。</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3.公务接待费支出</w:t>
      </w:r>
      <w:r>
        <w:rPr>
          <w:rFonts w:hint="eastAsia" w:ascii="仿宋_GB2312" w:hAnsi="仿宋_GB2312" w:eastAsia="仿宋_GB2312" w:cs="仿宋_GB2312"/>
          <w:b/>
          <w:bCs/>
          <w:color w:val="auto"/>
          <w:kern w:val="2"/>
          <w:sz w:val="32"/>
          <w:szCs w:val="32"/>
          <w:highlight w:val="none"/>
          <w:lang w:val="en-US" w:eastAsia="zh-CN" w:bidi="ar-SA"/>
        </w:rPr>
        <w:t>0.6万</w:t>
      </w:r>
      <w:r>
        <w:rPr>
          <w:rFonts w:hint="eastAsia" w:ascii="Times New Roman" w:hAnsi="Times New Roman" w:eastAsia="仿宋_GB2312" w:cs="仿宋_GB2312"/>
          <w:b/>
          <w:bCs/>
          <w:color w:val="auto"/>
          <w:kern w:val="2"/>
          <w:sz w:val="32"/>
          <w:szCs w:val="32"/>
          <w:highlight w:val="none"/>
          <w:lang w:val="en-US" w:eastAsia="zh-CN" w:bidi="ar-SA"/>
        </w:rPr>
        <w:t>元，完成预算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公务接待费支出决算比202</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年度减少</w:t>
      </w:r>
      <w:r>
        <w:rPr>
          <w:rFonts w:hint="eastAsia" w:eastAsia="仿宋_GB2312" w:cs="仿宋_GB2312"/>
          <w:color w:val="auto"/>
          <w:kern w:val="2"/>
          <w:sz w:val="32"/>
          <w:szCs w:val="32"/>
          <w:highlight w:val="none"/>
          <w:lang w:val="en-US" w:eastAsia="zh-CN" w:bidi="ar-SA"/>
        </w:rPr>
        <w:t>0.1</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14.28</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eastAsia="仿宋_GB2312" w:cs="仿宋_GB2312"/>
          <w:color w:val="auto"/>
          <w:kern w:val="2"/>
          <w:sz w:val="32"/>
          <w:szCs w:val="32"/>
          <w:highlight w:val="none"/>
          <w:lang w:val="en-US" w:eastAsia="zh-CN" w:bidi="ar-SA"/>
        </w:rPr>
        <w:t>节省三公支出</w:t>
      </w:r>
      <w:r>
        <w:rPr>
          <w:rFonts w:hint="eastAsia" w:ascii="Times New Roman" w:hAnsi="Times New Roman" w:eastAsia="仿宋_GB2312" w:cs="仿宋_GB2312"/>
          <w:color w:val="auto"/>
          <w:kern w:val="2"/>
          <w:sz w:val="32"/>
          <w:szCs w:val="32"/>
          <w:highlight w:val="none"/>
          <w:lang w:val="en-US" w:eastAsia="zh-CN" w:bidi="ar-SA"/>
        </w:rPr>
        <w:t>。其中：</w:t>
      </w:r>
    </w:p>
    <w:p>
      <w:pPr>
        <w:spacing w:line="600" w:lineRule="exact"/>
        <w:ind w:firstLine="640"/>
        <w:rPr>
          <w:rFonts w:hint="eastAsia" w:ascii="方正仿宋_GBK" w:eastAsia="方正仿宋_GBK"/>
          <w:sz w:val="32"/>
          <w:szCs w:val="32"/>
        </w:rPr>
      </w:pPr>
      <w:r>
        <w:rPr>
          <w:rFonts w:hint="eastAsia" w:ascii="Times New Roman" w:hAnsi="Times New Roman" w:eastAsia="仿宋_GB2312" w:cs="仿宋_GB2312"/>
          <w:color w:val="auto"/>
          <w:kern w:val="2"/>
          <w:sz w:val="32"/>
          <w:szCs w:val="32"/>
          <w:highlight w:val="none"/>
          <w:lang w:val="en-US" w:eastAsia="zh-CN" w:bidi="ar-SA"/>
        </w:rPr>
        <w:t>国内公务接待支</w:t>
      </w:r>
      <w:r>
        <w:rPr>
          <w:rFonts w:hint="eastAsia" w:ascii="仿宋_GB2312" w:hAnsi="仿宋_GB2312" w:eastAsia="仿宋_GB2312" w:cs="仿宋_GB2312"/>
          <w:color w:val="auto"/>
          <w:kern w:val="2"/>
          <w:sz w:val="32"/>
          <w:szCs w:val="32"/>
          <w:highlight w:val="none"/>
          <w:lang w:val="en-US" w:eastAsia="zh-CN" w:bidi="ar-SA"/>
        </w:rPr>
        <w:t>出</w:t>
      </w:r>
      <w:r>
        <w:rPr>
          <w:rFonts w:hint="default" w:ascii="Times New Roman" w:hAnsi="Times New Roman" w:eastAsia="仿宋_GB2312" w:cs="Times New Roman"/>
          <w:sz w:val="32"/>
          <w:szCs w:val="32"/>
          <w:lang w:val="en-US" w:eastAsia="zh-CN"/>
        </w:rPr>
        <w:t>0.6</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元，主要用于执行公务</w:t>
      </w:r>
      <w:r>
        <w:rPr>
          <w:rFonts w:hint="eastAsia" w:eastAsia="仿宋_GB2312" w:cs="仿宋_GB2312"/>
          <w:color w:val="auto"/>
          <w:kern w:val="2"/>
          <w:sz w:val="32"/>
          <w:szCs w:val="32"/>
          <w:highlight w:val="none"/>
          <w:lang w:val="en-US" w:eastAsia="zh-CN" w:bidi="ar-SA"/>
        </w:rPr>
        <w:t>的</w:t>
      </w:r>
      <w:r>
        <w:rPr>
          <w:rFonts w:hint="eastAsia" w:ascii="Times New Roman" w:hAnsi="Times New Roman" w:eastAsia="仿宋_GB2312" w:cs="仿宋_GB2312"/>
          <w:color w:val="auto"/>
          <w:kern w:val="2"/>
          <w:sz w:val="32"/>
          <w:szCs w:val="32"/>
          <w:highlight w:val="none"/>
          <w:lang w:val="en-US" w:eastAsia="zh-CN" w:bidi="ar-SA"/>
        </w:rPr>
        <w:t>用餐费。国内公务接</w:t>
      </w:r>
      <w:r>
        <w:rPr>
          <w:rFonts w:hint="eastAsia" w:ascii="仿宋_GB2312" w:hAnsi="仿宋_GB2312" w:eastAsia="仿宋_GB2312" w:cs="仿宋_GB2312"/>
          <w:color w:val="auto"/>
          <w:kern w:val="2"/>
          <w:sz w:val="32"/>
          <w:szCs w:val="32"/>
          <w:highlight w:val="none"/>
          <w:lang w:val="en-US" w:eastAsia="zh-CN" w:bidi="ar-SA"/>
        </w:rPr>
        <w:t>待</w:t>
      </w:r>
      <w:r>
        <w:rPr>
          <w:rFonts w:hint="default" w:ascii="Times New Roman" w:hAnsi="Times New Roman" w:eastAsia="仿宋_GB2312" w:cs="Times New Roman"/>
          <w:sz w:val="32"/>
          <w:szCs w:val="32"/>
          <w:lang w:val="en-US" w:eastAsia="zh-CN"/>
        </w:rPr>
        <w:t>7</w:t>
      </w:r>
      <w:r>
        <w:rPr>
          <w:rFonts w:hint="eastAsia" w:ascii="仿宋_GB2312" w:hAnsi="仿宋_GB2312" w:eastAsia="仿宋_GB2312" w:cs="仿宋_GB2312"/>
          <w:color w:val="auto"/>
          <w:kern w:val="2"/>
          <w:sz w:val="32"/>
          <w:szCs w:val="32"/>
          <w:highlight w:val="none"/>
          <w:lang w:val="en-US" w:eastAsia="zh-CN" w:bidi="ar-SA"/>
        </w:rPr>
        <w:t>批次，</w:t>
      </w:r>
      <w:r>
        <w:rPr>
          <w:rFonts w:hint="default" w:ascii="Times New Roman" w:hAnsi="Times New Roman" w:eastAsia="仿宋_GB2312" w:cs="Times New Roman"/>
          <w:sz w:val="32"/>
          <w:szCs w:val="32"/>
          <w:lang w:val="en-US" w:eastAsia="zh-CN"/>
        </w:rPr>
        <w:t>50</w:t>
      </w:r>
      <w:r>
        <w:rPr>
          <w:rFonts w:hint="eastAsia" w:ascii="Times New Roman" w:hAnsi="Times New Roman" w:eastAsia="仿宋_GB2312" w:cs="仿宋_GB2312"/>
          <w:color w:val="auto"/>
          <w:kern w:val="2"/>
          <w:sz w:val="32"/>
          <w:szCs w:val="32"/>
          <w:highlight w:val="none"/>
          <w:lang w:val="en-US" w:eastAsia="zh-CN" w:bidi="ar-SA"/>
        </w:rPr>
        <w:t>人次（不包括陪同人员），共计支出</w:t>
      </w:r>
      <w:r>
        <w:rPr>
          <w:rFonts w:hint="default" w:ascii="Times New Roman" w:hAnsi="Times New Roman" w:eastAsia="仿宋_GB2312" w:cs="Times New Roman"/>
          <w:color w:val="auto"/>
          <w:kern w:val="2"/>
          <w:sz w:val="32"/>
          <w:szCs w:val="32"/>
          <w:highlight w:val="none"/>
          <w:lang w:val="en-US" w:eastAsia="zh-CN" w:bidi="ar-SA"/>
        </w:rPr>
        <w:t>0.6</w:t>
      </w:r>
      <w:r>
        <w:rPr>
          <w:rFonts w:hint="eastAsia" w:ascii="Times New Roman" w:hAnsi="Times New Roman" w:eastAsia="仿宋_GB2312" w:cs="仿宋_GB2312"/>
          <w:color w:val="auto"/>
          <w:kern w:val="2"/>
          <w:sz w:val="32"/>
          <w:szCs w:val="32"/>
          <w:highlight w:val="none"/>
          <w:lang w:val="en-US" w:eastAsia="zh-CN" w:bidi="ar-SA"/>
        </w:rPr>
        <w:t>万元，具体内容包括：接待上级</w:t>
      </w:r>
      <w:r>
        <w:rPr>
          <w:rFonts w:hint="eastAsia" w:eastAsia="仿宋_GB2312" w:cs="仿宋_GB2312"/>
          <w:color w:val="auto"/>
          <w:kern w:val="2"/>
          <w:sz w:val="32"/>
          <w:szCs w:val="32"/>
          <w:highlight w:val="none"/>
          <w:lang w:val="en-US" w:eastAsia="zh-CN" w:bidi="ar-SA"/>
        </w:rPr>
        <w:t>检察院</w:t>
      </w:r>
      <w:r>
        <w:rPr>
          <w:rFonts w:hint="eastAsia" w:ascii="Times New Roman" w:hAnsi="Times New Roman" w:eastAsia="仿宋_GB2312" w:cs="仿宋_GB2312"/>
          <w:color w:val="auto"/>
          <w:kern w:val="2"/>
          <w:sz w:val="32"/>
          <w:szCs w:val="32"/>
          <w:highlight w:val="none"/>
          <w:lang w:val="en-US" w:eastAsia="zh-CN" w:bidi="ar-SA"/>
        </w:rPr>
        <w:t>工作前来调研人员，接待其他</w:t>
      </w:r>
      <w:r>
        <w:rPr>
          <w:rFonts w:hint="eastAsia" w:eastAsia="仿宋_GB2312" w:cs="仿宋_GB2312"/>
          <w:color w:val="auto"/>
          <w:kern w:val="2"/>
          <w:sz w:val="32"/>
          <w:szCs w:val="32"/>
          <w:highlight w:val="none"/>
          <w:lang w:val="en-US" w:eastAsia="zh-CN" w:bidi="ar-SA"/>
        </w:rPr>
        <w:t>检察院</w:t>
      </w:r>
      <w:r>
        <w:rPr>
          <w:rFonts w:hint="eastAsia" w:ascii="Times New Roman" w:hAnsi="Times New Roman" w:eastAsia="仿宋_GB2312" w:cs="仿宋_GB2312"/>
          <w:color w:val="auto"/>
          <w:kern w:val="2"/>
          <w:sz w:val="32"/>
          <w:szCs w:val="32"/>
          <w:highlight w:val="none"/>
          <w:lang w:val="en-US" w:eastAsia="zh-CN" w:bidi="ar-SA"/>
        </w:rPr>
        <w:t>工作交流组人员等费用支出。</w:t>
      </w:r>
    </w:p>
    <w:p>
      <w:pPr>
        <w:pStyle w:val="7"/>
        <w:keepNext/>
        <w:keepLines/>
        <w:pageBreakBefore w:val="0"/>
        <w:widowControl w:val="0"/>
        <w:kinsoku/>
        <w:wordWrap/>
        <w:overflowPunct/>
        <w:topLinePunct w:val="0"/>
        <w:autoSpaceDE/>
        <w:autoSpaceDN/>
        <w:bidi w:val="0"/>
        <w:adjustRightInd/>
        <w:snapToGrid/>
        <w:spacing w:before="0" w:after="0" w:line="600" w:lineRule="exact"/>
        <w:ind w:firstLine="640" w:firstLineChars="200"/>
        <w:textAlignment w:val="auto"/>
        <w:rPr>
          <w:rFonts w:hint="eastAsia" w:ascii="黑体" w:hAnsi="黑体" w:eastAsia="黑体" w:cs="黑体"/>
          <w:b w:val="0"/>
          <w:bCs w:val="0"/>
        </w:rPr>
      </w:pPr>
      <w:bookmarkStart w:id="70" w:name="_Toc15377218"/>
      <w:bookmarkStart w:id="71" w:name="_Toc15396610"/>
      <w:bookmarkStart w:id="72" w:name="_Toc20487"/>
      <w:r>
        <w:rPr>
          <w:rFonts w:hint="eastAsia" w:ascii="黑体" w:hAnsi="黑体" w:eastAsia="黑体" w:cs="黑体"/>
          <w:b w:val="0"/>
          <w:bCs w:val="0"/>
        </w:rPr>
        <w:t>八、政府性基金预算支出决算情况说明</w:t>
      </w:r>
      <w:bookmarkEnd w:id="70"/>
      <w:bookmarkEnd w:id="71"/>
      <w:bookmarkEnd w:id="72"/>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2025</w:t>
      </w:r>
      <w:r>
        <w:rPr>
          <w:rFonts w:hint="eastAsia" w:ascii="仿宋_GB2312" w:hAnsi="仿宋_GB2312" w:eastAsia="仿宋_GB2312" w:cs="仿宋_GB2312"/>
          <w:color w:val="auto"/>
          <w:kern w:val="2"/>
          <w:sz w:val="32"/>
          <w:szCs w:val="32"/>
          <w:highlight w:val="none"/>
          <w:lang w:val="en-US" w:eastAsia="zh-CN" w:bidi="ar-SA"/>
        </w:rPr>
        <w:t>年度政府性基金预算财政拨款支出</w:t>
      </w:r>
      <w:r>
        <w:rPr>
          <w:rFonts w:hint="default" w:ascii="Times New Roman" w:hAnsi="Times New Roman" w:eastAsia="仿宋_GB2312" w:cs="Times New Roman"/>
          <w:sz w:val="32"/>
          <w:szCs w:val="32"/>
          <w:lang w:val="en-US" w:eastAsia="zh-CN"/>
        </w:rPr>
        <w:t>0</w:t>
      </w:r>
      <w:r>
        <w:rPr>
          <w:rFonts w:hint="eastAsia" w:ascii="仿宋_GB2312" w:hAnsi="仿宋_GB2312" w:eastAsia="仿宋_GB2312" w:cs="仿宋_GB2312"/>
          <w:color w:val="auto"/>
          <w:kern w:val="2"/>
          <w:sz w:val="32"/>
          <w:szCs w:val="32"/>
          <w:highlight w:val="none"/>
          <w:lang w:val="en-US" w:eastAsia="zh-CN" w:bidi="ar-SA"/>
        </w:rPr>
        <w:t>万元。</w:t>
      </w:r>
    </w:p>
    <w:p>
      <w:pPr>
        <w:pStyle w:val="7"/>
        <w:keepNext/>
        <w:keepLines/>
        <w:pageBreakBefore w:val="0"/>
        <w:widowControl w:val="0"/>
        <w:kinsoku/>
        <w:wordWrap/>
        <w:overflowPunct/>
        <w:topLinePunct w:val="0"/>
        <w:autoSpaceDE/>
        <w:autoSpaceDN/>
        <w:bidi w:val="0"/>
        <w:adjustRightInd/>
        <w:snapToGrid/>
        <w:spacing w:before="0" w:after="0" w:line="600" w:lineRule="exact"/>
        <w:ind w:firstLine="640" w:firstLineChars="200"/>
        <w:textAlignment w:val="auto"/>
        <w:rPr>
          <w:rFonts w:hint="eastAsia" w:ascii="黑体" w:hAnsi="黑体" w:eastAsia="黑体" w:cs="黑体"/>
          <w:b w:val="0"/>
          <w:bCs w:val="0"/>
        </w:rPr>
      </w:pPr>
      <w:bookmarkStart w:id="73" w:name="_Toc15396611"/>
      <w:bookmarkStart w:id="74" w:name="_Toc15377219"/>
      <w:bookmarkStart w:id="75" w:name="_Toc27632"/>
      <w:r>
        <w:rPr>
          <w:rFonts w:hint="eastAsia" w:ascii="黑体" w:hAnsi="黑体" w:eastAsia="黑体" w:cs="黑体"/>
          <w:b w:val="0"/>
          <w:bCs w:val="0"/>
          <w:lang w:eastAsia="zh-CN"/>
        </w:rPr>
        <w:t>九、</w:t>
      </w:r>
      <w:r>
        <w:rPr>
          <w:rFonts w:hint="eastAsia" w:ascii="黑体" w:hAnsi="黑体" w:eastAsia="黑体" w:cs="黑体"/>
          <w:b w:val="0"/>
          <w:bCs w:val="0"/>
        </w:rPr>
        <w:t>国有资本经营预算支出决算情况说明</w:t>
      </w:r>
      <w:bookmarkEnd w:id="73"/>
      <w:bookmarkEnd w:id="74"/>
      <w:bookmarkEnd w:id="75"/>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年度国有资本经营预算财政拨款支出</w:t>
      </w:r>
      <w:r>
        <w:rPr>
          <w:rFonts w:hint="default" w:ascii="Times New Roman" w:hAnsi="Times New Roman" w:eastAsia="仿宋_GB2312" w:cs="Times New Roman"/>
          <w:sz w:val="32"/>
          <w:szCs w:val="32"/>
          <w:lang w:val="en-US" w:eastAsia="zh-CN"/>
        </w:rPr>
        <w:t>0</w:t>
      </w:r>
      <w:r>
        <w:rPr>
          <w:rFonts w:hint="eastAsia" w:ascii="仿宋_GB2312" w:hAnsi="仿宋_GB2312" w:eastAsia="仿宋_GB2312" w:cs="仿宋_GB2312"/>
          <w:color w:val="auto"/>
          <w:kern w:val="2"/>
          <w:sz w:val="32"/>
          <w:szCs w:val="32"/>
          <w:highlight w:val="none"/>
          <w:lang w:val="en-US" w:eastAsia="zh-CN" w:bidi="ar-SA"/>
        </w:rPr>
        <w:t>万元.</w:t>
      </w:r>
    </w:p>
    <w:p>
      <w:pPr>
        <w:pStyle w:val="7"/>
        <w:keepNext/>
        <w:keepLines/>
        <w:pageBreakBefore w:val="0"/>
        <w:widowControl w:val="0"/>
        <w:kinsoku/>
        <w:wordWrap/>
        <w:overflowPunct/>
        <w:topLinePunct w:val="0"/>
        <w:autoSpaceDE/>
        <w:autoSpaceDN/>
        <w:bidi w:val="0"/>
        <w:adjustRightInd/>
        <w:snapToGrid/>
        <w:spacing w:before="0" w:after="0" w:line="600" w:lineRule="exact"/>
        <w:ind w:firstLine="640" w:firstLineChars="200"/>
        <w:textAlignment w:val="auto"/>
        <w:rPr>
          <w:rFonts w:hint="eastAsia"/>
        </w:rPr>
      </w:pPr>
      <w:bookmarkStart w:id="76" w:name="_Toc15396612"/>
      <w:bookmarkStart w:id="77" w:name="_Toc15377221"/>
      <w:bookmarkStart w:id="78" w:name="_Toc16887"/>
      <w:r>
        <w:rPr>
          <w:rFonts w:hint="eastAsia" w:ascii="黑体" w:hAnsi="黑体" w:eastAsia="黑体" w:cs="黑体"/>
          <w:b w:val="0"/>
          <w:bCs w:val="0"/>
          <w:lang w:eastAsia="zh-CN"/>
        </w:rPr>
        <w:t>十、</w:t>
      </w:r>
      <w:r>
        <w:rPr>
          <w:rFonts w:hint="eastAsia" w:ascii="黑体" w:hAnsi="黑体" w:eastAsia="黑体" w:cs="黑体"/>
          <w:b w:val="0"/>
          <w:bCs w:val="0"/>
        </w:rPr>
        <w:t>其他重要事项的情况说明</w:t>
      </w:r>
      <w:bookmarkEnd w:id="76"/>
      <w:bookmarkEnd w:id="77"/>
      <w:bookmarkEnd w:id="78"/>
    </w:p>
    <w:p>
      <w:pPr>
        <w:spacing w:line="600" w:lineRule="exact"/>
        <w:ind w:firstLine="321" w:firstLineChars="100"/>
        <w:outlineLvl w:val="2"/>
        <w:rPr>
          <w:rFonts w:hint="eastAsia" w:ascii="Times New Roman" w:hAnsi="Times New Roman" w:eastAsia="楷体_GB2312" w:cs="楷体_GB2312"/>
          <w:b/>
          <w:color w:val="auto"/>
          <w:sz w:val="32"/>
          <w:szCs w:val="32"/>
          <w:highlight w:val="none"/>
        </w:rPr>
      </w:pPr>
      <w:bookmarkStart w:id="79" w:name="_Toc15377222"/>
      <w:bookmarkStart w:id="80" w:name="_Toc393"/>
      <w:r>
        <w:rPr>
          <w:rFonts w:hint="eastAsia" w:ascii="Times New Roman" w:hAnsi="Times New Roman" w:eastAsia="楷体_GB2312" w:cs="楷体_GB2312"/>
          <w:b/>
          <w:color w:val="auto"/>
          <w:sz w:val="32"/>
          <w:szCs w:val="32"/>
          <w:highlight w:val="none"/>
        </w:rPr>
        <w:t>（一）机关运行经费支出情况</w:t>
      </w:r>
      <w:bookmarkEnd w:id="79"/>
      <w:bookmarkEnd w:id="80"/>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w:t>
      </w:r>
      <w:r>
        <w:rPr>
          <w:rFonts w:hint="eastAsia" w:ascii="仿宋_GB2312" w:hAnsi="仿宋_GB2312"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lang w:eastAsia="zh-CN"/>
        </w:rPr>
        <w:t>平昌县人民检察院</w:t>
      </w:r>
      <w:r>
        <w:rPr>
          <w:rFonts w:hint="eastAsia" w:ascii="仿宋_GB2312" w:hAnsi="仿宋_GB2312" w:eastAsia="仿宋_GB2312" w:cs="仿宋_GB2312"/>
          <w:color w:val="auto"/>
          <w:kern w:val="2"/>
          <w:sz w:val="32"/>
          <w:szCs w:val="32"/>
          <w:highlight w:val="none"/>
          <w:lang w:val="en-US" w:eastAsia="zh-CN" w:bidi="ar-SA"/>
        </w:rPr>
        <w:t>机关运行经费支出381.55万</w:t>
      </w:r>
      <w:r>
        <w:rPr>
          <w:rFonts w:hint="eastAsia" w:ascii="Times New Roman" w:hAnsi="Times New Roman" w:eastAsia="仿宋_GB2312" w:cs="仿宋_GB2312"/>
          <w:color w:val="auto"/>
          <w:kern w:val="2"/>
          <w:sz w:val="32"/>
          <w:szCs w:val="32"/>
          <w:highlight w:val="none"/>
          <w:lang w:val="en-US" w:eastAsia="zh-CN" w:bidi="ar-SA"/>
        </w:rPr>
        <w:t>元，比202</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年度</w:t>
      </w:r>
      <w:r>
        <w:rPr>
          <w:rFonts w:hint="eastAsia" w:eastAsia="仿宋_GB2312" w:cs="仿宋_GB2312"/>
          <w:color w:val="auto"/>
          <w:kern w:val="2"/>
          <w:sz w:val="32"/>
          <w:szCs w:val="32"/>
          <w:highlight w:val="none"/>
          <w:lang w:val="en-US" w:eastAsia="zh-CN" w:bidi="ar-SA"/>
        </w:rPr>
        <w:t>减少9.65万</w:t>
      </w:r>
      <w:r>
        <w:rPr>
          <w:rFonts w:hint="eastAsia" w:ascii="Times New Roman" w:hAnsi="Times New Roman" w:eastAsia="仿宋_GB2312" w:cs="仿宋_GB2312"/>
          <w:color w:val="auto"/>
          <w:kern w:val="2"/>
          <w:sz w:val="32"/>
          <w:szCs w:val="32"/>
          <w:highlight w:val="none"/>
          <w:lang w:val="en-US" w:eastAsia="zh-CN" w:bidi="ar-SA"/>
        </w:rPr>
        <w:t>元，</w:t>
      </w:r>
      <w:r>
        <w:rPr>
          <w:rFonts w:hint="eastAsia" w:eastAsia="仿宋_GB2312" w:cs="仿宋_GB2312"/>
          <w:color w:val="auto"/>
          <w:kern w:val="2"/>
          <w:sz w:val="32"/>
          <w:szCs w:val="32"/>
          <w:highlight w:val="none"/>
          <w:lang w:val="en-US" w:eastAsia="zh-CN" w:bidi="ar-SA"/>
        </w:rPr>
        <w:t>减少2.47</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eastAsia="仿宋_GB2312" w:cs="仿宋_GB2312"/>
          <w:color w:val="auto"/>
          <w:kern w:val="2"/>
          <w:sz w:val="32"/>
          <w:szCs w:val="32"/>
          <w:highlight w:val="none"/>
          <w:lang w:val="en-US" w:eastAsia="zh-CN" w:bidi="ar-SA"/>
        </w:rPr>
        <w:t>项目减少。</w:t>
      </w:r>
    </w:p>
    <w:p>
      <w:pPr>
        <w:spacing w:line="600" w:lineRule="exact"/>
        <w:ind w:firstLine="321" w:firstLineChars="100"/>
        <w:outlineLvl w:val="2"/>
        <w:rPr>
          <w:rFonts w:hint="eastAsia" w:ascii="Times New Roman" w:hAnsi="Times New Roman" w:eastAsia="楷体_GB2312" w:cs="楷体_GB2312"/>
          <w:b/>
          <w:color w:val="auto"/>
          <w:sz w:val="32"/>
          <w:szCs w:val="32"/>
          <w:highlight w:val="none"/>
        </w:rPr>
      </w:pPr>
      <w:bookmarkStart w:id="81" w:name="_Toc15377223"/>
      <w:bookmarkStart w:id="82" w:name="_Toc272"/>
      <w:r>
        <w:rPr>
          <w:rFonts w:hint="eastAsia" w:ascii="Times New Roman" w:hAnsi="Times New Roman" w:eastAsia="楷体_GB2312" w:cs="楷体_GB2312"/>
          <w:b/>
          <w:color w:val="auto"/>
          <w:sz w:val="32"/>
          <w:szCs w:val="32"/>
          <w:highlight w:val="none"/>
        </w:rPr>
        <w:t>（二）政府采购支出情况</w:t>
      </w:r>
      <w:bookmarkEnd w:id="81"/>
      <w:bookmarkEnd w:id="82"/>
    </w:p>
    <w:p>
      <w:pPr>
        <w:spacing w:line="600" w:lineRule="exact"/>
        <w:ind w:firstLine="640" w:firstLineChars="200"/>
        <w:outlineLvl w:val="2"/>
        <w:rPr>
          <w:rFonts w:hint="eastAsia" w:ascii="仿宋_GB2312" w:hAnsi="仿宋_GB2312" w:eastAsia="仿宋_GB2312" w:cs="仿宋_GB2312"/>
          <w:color w:val="auto"/>
          <w:kern w:val="2"/>
          <w:sz w:val="32"/>
          <w:szCs w:val="32"/>
          <w:highlight w:val="none"/>
          <w:lang w:val="en-US" w:eastAsia="zh-CN" w:bidi="ar-SA"/>
        </w:rPr>
      </w:pPr>
      <w:bookmarkStart w:id="83" w:name="_Toc32314"/>
      <w:r>
        <w:rPr>
          <w:rFonts w:hint="default" w:ascii="Times New Roman" w:hAnsi="Times New Roman" w:eastAsia="仿宋_GB2312" w:cs="Times New Roman"/>
          <w:color w:val="auto"/>
          <w:kern w:val="2"/>
          <w:sz w:val="32"/>
          <w:szCs w:val="32"/>
          <w:highlight w:val="none"/>
          <w:lang w:val="en-US" w:eastAsia="zh-CN" w:bidi="ar-SA"/>
        </w:rPr>
        <w:t>2025</w:t>
      </w:r>
      <w:r>
        <w:rPr>
          <w:rFonts w:hint="eastAsia" w:ascii="仿宋_GB2312" w:hAnsi="仿宋_GB2312" w:eastAsia="仿宋_GB2312" w:cs="仿宋_GB2312"/>
          <w:color w:val="auto"/>
          <w:kern w:val="2"/>
          <w:sz w:val="32"/>
          <w:szCs w:val="32"/>
          <w:highlight w:val="none"/>
          <w:lang w:val="en-US" w:eastAsia="zh-CN" w:bidi="ar-SA"/>
        </w:rPr>
        <w:t>年度，</w:t>
      </w:r>
      <w:r>
        <w:rPr>
          <w:rFonts w:hint="eastAsia" w:ascii="仿宋_GB2312" w:hAnsi="仿宋_GB2312" w:eastAsia="仿宋_GB2312" w:cs="仿宋_GB2312"/>
          <w:sz w:val="32"/>
          <w:szCs w:val="32"/>
          <w:lang w:eastAsia="zh-CN"/>
        </w:rPr>
        <w:t>平昌县人民检察院</w:t>
      </w:r>
      <w:r>
        <w:rPr>
          <w:rFonts w:hint="eastAsia" w:ascii="仿宋_GB2312" w:hAnsi="仿宋_GB2312" w:eastAsia="仿宋_GB2312" w:cs="仿宋_GB2312"/>
          <w:color w:val="auto"/>
          <w:kern w:val="2"/>
          <w:sz w:val="32"/>
          <w:szCs w:val="32"/>
          <w:highlight w:val="none"/>
          <w:lang w:val="en-US" w:eastAsia="zh-CN" w:bidi="ar-SA"/>
        </w:rPr>
        <w:t>政府采购支出总额</w:t>
      </w:r>
      <w:r>
        <w:rPr>
          <w:rFonts w:hint="default" w:ascii="Times New Roman" w:hAnsi="Times New Roman" w:eastAsia="仿宋_GB2312" w:cs="Times New Roman"/>
          <w:sz w:val="32"/>
          <w:szCs w:val="32"/>
          <w:lang w:val="en-US" w:eastAsia="zh-CN"/>
        </w:rPr>
        <w:t>3.6</w:t>
      </w:r>
      <w:r>
        <w:rPr>
          <w:rFonts w:hint="eastAsia" w:ascii="仿宋_GB2312" w:hAnsi="仿宋_GB2312" w:eastAsia="仿宋_GB2312" w:cs="仿宋_GB2312"/>
          <w:color w:val="auto"/>
          <w:kern w:val="2"/>
          <w:sz w:val="32"/>
          <w:szCs w:val="32"/>
          <w:highlight w:val="none"/>
          <w:lang w:val="en-US" w:eastAsia="zh-CN" w:bidi="ar-SA"/>
        </w:rPr>
        <w:t>万元，其中：政府采购货物支出</w:t>
      </w:r>
      <w:r>
        <w:rPr>
          <w:rFonts w:hint="default" w:ascii="Times New Roman" w:hAnsi="Times New Roman" w:eastAsia="仿宋_GB2312" w:cs="Times New Roman"/>
          <w:sz w:val="32"/>
          <w:szCs w:val="32"/>
          <w:lang w:val="en-US" w:eastAsia="zh-CN"/>
        </w:rPr>
        <w:t>3.6</w:t>
      </w:r>
      <w:r>
        <w:rPr>
          <w:rFonts w:hint="eastAsia" w:ascii="仿宋_GB2312" w:hAnsi="仿宋_GB2312" w:eastAsia="仿宋_GB2312" w:cs="仿宋_GB2312"/>
          <w:color w:val="auto"/>
          <w:kern w:val="2"/>
          <w:sz w:val="32"/>
          <w:szCs w:val="32"/>
          <w:highlight w:val="none"/>
          <w:lang w:val="en-US" w:eastAsia="zh-CN" w:bidi="ar-SA"/>
        </w:rPr>
        <w:t>万元。主要用于采购打印一体机。授予中小企业合同金额</w:t>
      </w:r>
      <w:r>
        <w:rPr>
          <w:rFonts w:hint="default" w:ascii="Times New Roman" w:hAnsi="Times New Roman" w:eastAsia="仿宋_GB2312" w:cs="Times New Roman"/>
          <w:sz w:val="32"/>
          <w:szCs w:val="32"/>
          <w:lang w:val="en-US" w:eastAsia="zh-CN"/>
        </w:rPr>
        <w:t>3.6</w:t>
      </w:r>
      <w:r>
        <w:rPr>
          <w:rFonts w:hint="eastAsia" w:ascii="仿宋_GB2312" w:hAnsi="仿宋_GB2312" w:eastAsia="仿宋_GB2312" w:cs="仿宋_GB2312"/>
          <w:color w:val="auto"/>
          <w:kern w:val="2"/>
          <w:sz w:val="32"/>
          <w:szCs w:val="32"/>
          <w:highlight w:val="none"/>
          <w:lang w:val="en-US" w:eastAsia="zh-CN" w:bidi="ar-SA"/>
        </w:rPr>
        <w:t>万元，占政府采购支出总额的</w:t>
      </w:r>
      <w:r>
        <w:rPr>
          <w:rFonts w:hint="default" w:ascii="Times New Roman" w:hAnsi="Times New Roman" w:eastAsia="仿宋_GB2312" w:cs="Times New Roman"/>
          <w:sz w:val="32"/>
          <w:szCs w:val="32"/>
          <w:lang w:val="en-US" w:eastAsia="zh-CN"/>
        </w:rPr>
        <w:t>100</w:t>
      </w:r>
      <w:r>
        <w:rPr>
          <w:rFonts w:hint="eastAsia" w:ascii="仿宋_GB2312" w:hAnsi="仿宋_GB2312" w:eastAsia="仿宋_GB2312" w:cs="仿宋_GB2312"/>
          <w:color w:val="auto"/>
          <w:kern w:val="2"/>
          <w:sz w:val="32"/>
          <w:szCs w:val="32"/>
          <w:highlight w:val="none"/>
          <w:lang w:val="en-US" w:eastAsia="zh-CN" w:bidi="ar-SA"/>
        </w:rPr>
        <w:t>%。</w:t>
      </w:r>
      <w:bookmarkEnd w:id="83"/>
      <w:bookmarkStart w:id="84" w:name="_Toc15377224"/>
    </w:p>
    <w:p>
      <w:pPr>
        <w:spacing w:line="600" w:lineRule="exact"/>
        <w:ind w:firstLine="321" w:firstLineChars="100"/>
        <w:outlineLvl w:val="2"/>
        <w:rPr>
          <w:rFonts w:hint="eastAsia" w:ascii="Times New Roman" w:hAnsi="Times New Roman" w:eastAsia="楷体_GB2312" w:cs="楷体_GB2312"/>
          <w:b/>
          <w:color w:val="auto"/>
          <w:sz w:val="32"/>
          <w:szCs w:val="32"/>
          <w:highlight w:val="none"/>
        </w:rPr>
      </w:pPr>
      <w:bookmarkStart w:id="85" w:name="_Toc12334"/>
      <w:r>
        <w:rPr>
          <w:rFonts w:hint="eastAsia" w:ascii="Times New Roman" w:hAnsi="Times New Roman" w:eastAsia="楷体_GB2312" w:cs="楷体_GB2312"/>
          <w:b/>
          <w:color w:val="auto"/>
          <w:sz w:val="32"/>
          <w:szCs w:val="32"/>
          <w:highlight w:val="none"/>
        </w:rPr>
        <w:t>（三）国有资产占有使用情况</w:t>
      </w:r>
      <w:bookmarkEnd w:id="84"/>
      <w:bookmarkEnd w:id="85"/>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截至</w:t>
      </w:r>
      <w:r>
        <w:rPr>
          <w:rFonts w:hint="default" w:ascii="Times New Roman" w:hAnsi="Times New Roman" w:eastAsia="仿宋_GB2312" w:cs="Times New Roman"/>
          <w:color w:val="auto"/>
          <w:kern w:val="2"/>
          <w:sz w:val="32"/>
          <w:szCs w:val="32"/>
          <w:highlight w:val="none"/>
          <w:lang w:val="en-US" w:eastAsia="zh-CN" w:bidi="ar-SA"/>
        </w:rPr>
        <w:t>2025</w:t>
      </w:r>
      <w:r>
        <w:rPr>
          <w:rFonts w:hint="eastAsia" w:ascii="仿宋_GB2312" w:hAnsi="仿宋_GB2312" w:eastAsia="仿宋_GB2312" w:cs="仿宋_GB2312"/>
          <w:color w:val="auto"/>
          <w:kern w:val="2"/>
          <w:sz w:val="32"/>
          <w:szCs w:val="32"/>
          <w:highlight w:val="none"/>
          <w:lang w:val="en-US" w:eastAsia="zh-CN" w:bidi="ar-SA"/>
        </w:rPr>
        <w:t>年</w:t>
      </w:r>
      <w:r>
        <w:rPr>
          <w:rFonts w:hint="default" w:ascii="Times New Roman" w:hAnsi="Times New Roman" w:eastAsia="仿宋_GB2312" w:cs="Times New Roman"/>
          <w:color w:val="auto"/>
          <w:kern w:val="2"/>
          <w:sz w:val="32"/>
          <w:szCs w:val="32"/>
          <w:highlight w:val="none"/>
          <w:lang w:val="en-US" w:eastAsia="zh-CN" w:bidi="ar-SA"/>
        </w:rPr>
        <w:t>12</w:t>
      </w:r>
      <w:r>
        <w:rPr>
          <w:rFonts w:hint="eastAsia" w:ascii="仿宋_GB2312" w:hAnsi="仿宋_GB2312" w:eastAsia="仿宋_GB2312" w:cs="仿宋_GB2312"/>
          <w:color w:val="auto"/>
          <w:kern w:val="2"/>
          <w:sz w:val="32"/>
          <w:szCs w:val="32"/>
          <w:highlight w:val="none"/>
          <w:lang w:val="en-US" w:eastAsia="zh-CN" w:bidi="ar-SA"/>
        </w:rPr>
        <w:t>月</w:t>
      </w:r>
      <w:r>
        <w:rPr>
          <w:rFonts w:hint="default" w:ascii="Times New Roman" w:hAnsi="Times New Roman" w:eastAsia="仿宋_GB2312" w:cs="Times New Roman"/>
          <w:color w:val="auto"/>
          <w:kern w:val="2"/>
          <w:sz w:val="32"/>
          <w:szCs w:val="32"/>
          <w:highlight w:val="none"/>
          <w:lang w:val="en-US" w:eastAsia="zh-CN" w:bidi="ar-SA"/>
        </w:rPr>
        <w:t>31</w:t>
      </w:r>
      <w:r>
        <w:rPr>
          <w:rFonts w:hint="eastAsia" w:ascii="仿宋_GB2312" w:hAnsi="仿宋_GB2312" w:eastAsia="仿宋_GB2312" w:cs="仿宋_GB2312"/>
          <w:color w:val="auto"/>
          <w:kern w:val="2"/>
          <w:sz w:val="32"/>
          <w:szCs w:val="32"/>
          <w:highlight w:val="none"/>
          <w:lang w:val="en-US" w:eastAsia="zh-CN" w:bidi="ar-SA"/>
        </w:rPr>
        <w:t>日，</w:t>
      </w:r>
      <w:r>
        <w:rPr>
          <w:rFonts w:hint="eastAsia" w:ascii="仿宋_GB2312" w:hAnsi="仿宋_GB2312" w:eastAsia="仿宋_GB2312" w:cs="仿宋_GB2312"/>
          <w:sz w:val="32"/>
          <w:szCs w:val="32"/>
          <w:lang w:val="en-US" w:eastAsia="zh-CN"/>
        </w:rPr>
        <w:t>平昌县人民检察院</w:t>
      </w:r>
      <w:r>
        <w:rPr>
          <w:rFonts w:hint="eastAsia" w:ascii="仿宋_GB2312" w:hAnsi="仿宋_GB2312" w:eastAsia="仿宋_GB2312" w:cs="仿宋_GB2312"/>
          <w:color w:val="auto"/>
          <w:kern w:val="2"/>
          <w:sz w:val="32"/>
          <w:szCs w:val="32"/>
          <w:highlight w:val="none"/>
          <w:lang w:val="en-US" w:eastAsia="zh-CN" w:bidi="ar-SA"/>
        </w:rPr>
        <w:t>共有车辆</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color w:val="auto"/>
          <w:kern w:val="2"/>
          <w:sz w:val="32"/>
          <w:szCs w:val="32"/>
          <w:highlight w:val="none"/>
          <w:lang w:val="en-US" w:eastAsia="zh-CN" w:bidi="ar-SA"/>
        </w:rPr>
        <w:t>辆，其中：主要负责人用车</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color w:val="auto"/>
          <w:kern w:val="2"/>
          <w:sz w:val="32"/>
          <w:szCs w:val="32"/>
          <w:highlight w:val="none"/>
          <w:lang w:val="en-US" w:eastAsia="zh-CN" w:bidi="ar-SA"/>
        </w:rPr>
        <w:t>辆、机要通信用车</w:t>
      </w:r>
      <w:r>
        <w:rPr>
          <w:rFonts w:hint="default" w:ascii="Times New Roman" w:hAnsi="Times New Roman" w:eastAsia="仿宋_GB2312" w:cs="Times New Roman"/>
          <w:sz w:val="32"/>
          <w:szCs w:val="32"/>
          <w:lang w:val="en-US" w:eastAsia="zh-CN"/>
        </w:rPr>
        <w:t>0</w:t>
      </w:r>
      <w:r>
        <w:rPr>
          <w:rFonts w:hint="eastAsia" w:ascii="仿宋_GB2312" w:hAnsi="仿宋_GB2312" w:eastAsia="仿宋_GB2312" w:cs="仿宋_GB2312"/>
          <w:color w:val="auto"/>
          <w:kern w:val="2"/>
          <w:sz w:val="32"/>
          <w:szCs w:val="32"/>
          <w:highlight w:val="none"/>
          <w:lang w:val="en-US" w:eastAsia="zh-CN" w:bidi="ar-SA"/>
        </w:rPr>
        <w:t>辆、应急保障用车</w:t>
      </w:r>
      <w:r>
        <w:rPr>
          <w:rFonts w:hint="default" w:ascii="Times New Roman" w:hAnsi="Times New Roman" w:eastAsia="仿宋_GB2312" w:cs="Times New Roman"/>
          <w:sz w:val="32"/>
          <w:szCs w:val="32"/>
          <w:lang w:val="en-US" w:eastAsia="zh-CN"/>
        </w:rPr>
        <w:t>0</w:t>
      </w:r>
      <w:r>
        <w:rPr>
          <w:rFonts w:hint="eastAsia" w:ascii="仿宋_GB2312" w:hAnsi="仿宋_GB2312" w:eastAsia="仿宋_GB2312" w:cs="仿宋_GB2312"/>
          <w:color w:val="auto"/>
          <w:kern w:val="2"/>
          <w:sz w:val="32"/>
          <w:szCs w:val="32"/>
          <w:highlight w:val="none"/>
          <w:lang w:val="en-US" w:eastAsia="zh-CN" w:bidi="ar-SA"/>
        </w:rPr>
        <w:t>辆、其他用车</w:t>
      </w:r>
      <w:r>
        <w:rPr>
          <w:rFonts w:hint="default" w:ascii="Times New Roman" w:hAnsi="Times New Roman" w:eastAsia="仿宋_GB2312" w:cs="Times New Roman"/>
          <w:sz w:val="32"/>
          <w:szCs w:val="32"/>
          <w:lang w:val="en-US" w:eastAsia="zh-CN"/>
        </w:rPr>
        <w:t>6</w:t>
      </w:r>
      <w:r>
        <w:rPr>
          <w:rFonts w:hint="eastAsia" w:ascii="仿宋_GB2312" w:hAnsi="仿宋_GB2312" w:eastAsia="仿宋_GB2312" w:cs="仿宋_GB2312"/>
          <w:color w:val="auto"/>
          <w:kern w:val="2"/>
          <w:sz w:val="32"/>
          <w:szCs w:val="32"/>
          <w:highlight w:val="none"/>
          <w:lang w:val="en-US" w:eastAsia="zh-CN" w:bidi="ar-SA"/>
        </w:rPr>
        <w:t>辆，其他用车主要是用于办案出差。单价</w:t>
      </w:r>
      <w:r>
        <w:rPr>
          <w:rFonts w:hint="default" w:ascii="Times New Roman" w:hAnsi="Times New Roman" w:eastAsia="仿宋_GB2312" w:cs="Times New Roman"/>
          <w:color w:val="auto"/>
          <w:kern w:val="2"/>
          <w:sz w:val="32"/>
          <w:szCs w:val="32"/>
          <w:highlight w:val="none"/>
          <w:lang w:val="en-US" w:eastAsia="zh-CN" w:bidi="ar-SA"/>
        </w:rPr>
        <w:t>100</w:t>
      </w:r>
      <w:r>
        <w:rPr>
          <w:rFonts w:hint="eastAsia" w:ascii="仿宋_GB2312" w:hAnsi="仿宋_GB2312" w:eastAsia="仿宋_GB2312" w:cs="仿宋_GB2312"/>
          <w:color w:val="auto"/>
          <w:kern w:val="2"/>
          <w:sz w:val="32"/>
          <w:szCs w:val="32"/>
          <w:highlight w:val="none"/>
          <w:lang w:val="en-US" w:eastAsia="zh-CN" w:bidi="ar-SA"/>
        </w:rPr>
        <w:t>万元（含）以上设备（不含车辆）</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color w:val="auto"/>
          <w:kern w:val="2"/>
          <w:sz w:val="32"/>
          <w:szCs w:val="32"/>
          <w:highlight w:val="none"/>
          <w:lang w:val="en-US" w:eastAsia="zh-CN" w:bidi="ar-SA"/>
        </w:rPr>
        <w:t>台（套）</w:t>
      </w:r>
      <w:r>
        <w:rPr>
          <w:rFonts w:hint="eastAsia" w:ascii="Times New Roman" w:hAnsi="Times New Roman" w:eastAsia="仿宋_GB2312" w:cs="仿宋_GB2312"/>
          <w:color w:val="auto"/>
          <w:kern w:val="2"/>
          <w:sz w:val="32"/>
          <w:szCs w:val="32"/>
          <w:highlight w:val="none"/>
          <w:lang w:val="en-US" w:eastAsia="zh-CN" w:bidi="ar-SA"/>
        </w:rPr>
        <w:t>。</w:t>
      </w:r>
    </w:p>
    <w:p>
      <w:pPr>
        <w:spacing w:line="600" w:lineRule="exact"/>
        <w:ind w:firstLine="321" w:firstLineChars="100"/>
        <w:outlineLvl w:val="2"/>
        <w:rPr>
          <w:rFonts w:hint="eastAsia" w:ascii="Times New Roman" w:hAnsi="Times New Roman" w:eastAsia="楷体_GB2312" w:cs="楷体_GB2312"/>
          <w:b/>
          <w:color w:val="auto"/>
          <w:sz w:val="32"/>
          <w:szCs w:val="32"/>
          <w:highlight w:val="none"/>
        </w:rPr>
      </w:pPr>
      <w:bookmarkStart w:id="86" w:name="_Toc2028"/>
      <w:r>
        <w:rPr>
          <w:rFonts w:hint="eastAsia" w:ascii="Times New Roman" w:hAnsi="Times New Roman" w:eastAsia="楷体_GB2312" w:cs="楷体_GB2312"/>
          <w:b/>
          <w:color w:val="auto"/>
          <w:sz w:val="32"/>
          <w:szCs w:val="32"/>
          <w:highlight w:val="none"/>
        </w:rPr>
        <w:t>（四）预算绩效管理情况</w:t>
      </w:r>
      <w:bookmarkEnd w:id="86"/>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根据预算绩效管理要求，</w:t>
      </w:r>
      <w:r>
        <w:rPr>
          <w:rFonts w:hint="eastAsia" w:eastAsia="仿宋_GB2312" w:cs="仿宋_GB2312"/>
          <w:color w:val="auto"/>
          <w:kern w:val="2"/>
          <w:sz w:val="32"/>
          <w:szCs w:val="32"/>
          <w:highlight w:val="none"/>
          <w:lang w:val="en-US" w:eastAsia="zh-CN" w:bidi="ar-SA"/>
        </w:rPr>
        <w:t>平昌县人民检察院</w:t>
      </w:r>
      <w:r>
        <w:rPr>
          <w:rFonts w:hint="eastAsia" w:ascii="Times New Roman" w:hAnsi="Times New Roman" w:eastAsia="仿宋_GB2312" w:cs="仿宋_GB2312"/>
          <w:color w:val="auto"/>
          <w:kern w:val="2"/>
          <w:sz w:val="32"/>
          <w:szCs w:val="32"/>
          <w:highlight w:val="none"/>
          <w:lang w:val="en-US" w:eastAsia="zh-CN" w:bidi="ar-SA"/>
        </w:rPr>
        <w:t>在202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年度预算编制阶段，组织对</w:t>
      </w:r>
      <w:r>
        <w:rPr>
          <w:rFonts w:hint="eastAsia" w:ascii="仿宋" w:hAnsi="仿宋" w:eastAsia="仿宋" w:cs="仿宋"/>
          <w:color w:val="000000"/>
          <w:sz w:val="30"/>
          <w:szCs w:val="30"/>
          <w:u w:val="none"/>
          <w:lang w:eastAsia="zh-CN"/>
        </w:rPr>
        <w:t>检察业务办案经费、</w:t>
      </w:r>
      <w:r>
        <w:rPr>
          <w:rFonts w:hint="eastAsia" w:ascii="仿宋" w:hAnsi="仿宋" w:eastAsia="仿宋" w:cs="仿宋"/>
          <w:color w:val="000000"/>
          <w:sz w:val="30"/>
          <w:szCs w:val="30"/>
          <w:u w:val="none"/>
        </w:rPr>
        <w:t>检务保障系统建设</w:t>
      </w:r>
      <w:r>
        <w:rPr>
          <w:rFonts w:hint="eastAsia" w:ascii="Times New Roman" w:hAnsi="Times New Roman" w:eastAsia="仿宋_GB2312" w:cs="仿宋_GB2312"/>
          <w:color w:val="auto"/>
          <w:kern w:val="2"/>
          <w:sz w:val="32"/>
          <w:szCs w:val="32"/>
          <w:highlight w:val="none"/>
          <w:lang w:val="en-US" w:eastAsia="zh-CN" w:bidi="ar-SA"/>
        </w:rPr>
        <w:t>等</w:t>
      </w: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个项目开展了预算事前绩效评估，对</w:t>
      </w:r>
      <w:r>
        <w:rPr>
          <w:rFonts w:hint="eastAsia"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en-US" w:eastAsia="zh-CN" w:bidi="ar-SA"/>
        </w:rPr>
        <w:t>个项目编制了绩效目标，预算执行过程中，选取</w:t>
      </w:r>
      <w:r>
        <w:rPr>
          <w:rFonts w:hint="eastAsia" w:eastAsia="仿宋_GB2312" w:cs="仿宋_GB2312"/>
          <w:color w:val="auto"/>
          <w:kern w:val="2"/>
          <w:sz w:val="32"/>
          <w:szCs w:val="32"/>
          <w:highlight w:val="none"/>
          <w:lang w:val="en-US" w:eastAsia="zh-CN" w:bidi="ar-SA"/>
        </w:rPr>
        <w:t>26</w:t>
      </w:r>
      <w:r>
        <w:rPr>
          <w:rFonts w:hint="eastAsia" w:ascii="Times New Roman" w:hAnsi="Times New Roman" w:eastAsia="仿宋_GB2312" w:cs="仿宋_GB2312"/>
          <w:color w:val="auto"/>
          <w:kern w:val="2"/>
          <w:sz w:val="32"/>
          <w:szCs w:val="32"/>
          <w:highlight w:val="none"/>
          <w:lang w:val="en-US" w:eastAsia="zh-CN" w:bidi="ar-SA"/>
        </w:rPr>
        <w:t>个项目开展绩效监控。</w:t>
      </w:r>
    </w:p>
    <w:p>
      <w:pPr>
        <w:numPr>
          <w:ilvl w:val="0"/>
          <w:numId w:val="0"/>
        </w:numPr>
        <w:snapToGrid w:val="0"/>
        <w:spacing w:line="520" w:lineRule="exac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组织对202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年度一般公共预算、政府性基金预算、国有资本经营预算、社会保险基金预算以及资本资产、债券资金等全面开展绩效自评，形成</w:t>
      </w:r>
      <w:r>
        <w:rPr>
          <w:rFonts w:hint="eastAsia" w:eastAsia="仿宋_GB2312" w:cs="仿宋_GB2312"/>
          <w:color w:val="auto"/>
          <w:kern w:val="2"/>
          <w:sz w:val="32"/>
          <w:szCs w:val="32"/>
          <w:highlight w:val="none"/>
          <w:lang w:val="en-US" w:eastAsia="zh-CN" w:bidi="ar-SA"/>
        </w:rPr>
        <w:t>平昌县人民检察院</w:t>
      </w:r>
      <w:r>
        <w:rPr>
          <w:rFonts w:hint="eastAsia" w:ascii="Times New Roman" w:hAnsi="Times New Roman" w:eastAsia="仿宋_GB2312" w:cs="仿宋_GB2312"/>
          <w:color w:val="auto"/>
          <w:kern w:val="2"/>
          <w:sz w:val="32"/>
          <w:szCs w:val="32"/>
          <w:highlight w:val="none"/>
          <w:lang w:val="en-US" w:eastAsia="zh-CN" w:bidi="ar-SA"/>
        </w:rPr>
        <w:t>部门整体（含部门预算项目）绩效自评报告其中，</w:t>
      </w:r>
      <w:r>
        <w:rPr>
          <w:rFonts w:hint="eastAsia" w:eastAsia="仿宋_GB2312" w:cs="仿宋_GB2312"/>
          <w:color w:val="auto"/>
          <w:kern w:val="2"/>
          <w:sz w:val="32"/>
          <w:szCs w:val="32"/>
          <w:highlight w:val="none"/>
          <w:lang w:val="en-US" w:eastAsia="zh-CN" w:bidi="ar-SA"/>
        </w:rPr>
        <w:t>平昌县人民检察院</w:t>
      </w:r>
      <w:r>
        <w:rPr>
          <w:rFonts w:hint="eastAsia" w:ascii="Times New Roman" w:hAnsi="Times New Roman" w:eastAsia="仿宋_GB2312" w:cs="仿宋_GB2312"/>
          <w:color w:val="auto"/>
          <w:kern w:val="2"/>
          <w:sz w:val="32"/>
          <w:szCs w:val="32"/>
          <w:highlight w:val="none"/>
          <w:lang w:val="en-US" w:eastAsia="zh-CN" w:bidi="ar-SA"/>
        </w:rPr>
        <w:t>部门整体（含部门预算项目）绩效自评得分为</w:t>
      </w:r>
      <w:r>
        <w:rPr>
          <w:rFonts w:hint="eastAsia" w:eastAsia="仿宋_GB2312" w:cs="仿宋_GB2312"/>
          <w:color w:val="auto"/>
          <w:kern w:val="2"/>
          <w:sz w:val="32"/>
          <w:szCs w:val="32"/>
          <w:highlight w:val="none"/>
          <w:lang w:val="en-US" w:eastAsia="zh-CN" w:bidi="ar-SA"/>
        </w:rPr>
        <w:t>85</w:t>
      </w:r>
      <w:r>
        <w:rPr>
          <w:rFonts w:hint="eastAsia" w:ascii="Times New Roman" w:hAnsi="Times New Roman" w:eastAsia="仿宋_GB2312" w:cs="仿宋_GB2312"/>
          <w:color w:val="auto"/>
          <w:kern w:val="2"/>
          <w:sz w:val="32"/>
          <w:szCs w:val="32"/>
          <w:highlight w:val="none"/>
          <w:lang w:val="en-US" w:eastAsia="zh-CN" w:bidi="ar-SA"/>
        </w:rPr>
        <w:t>分，绩效自评综述</w:t>
      </w:r>
      <w:r>
        <w:rPr>
          <w:rFonts w:hint="eastAsia" w:eastAsia="仿宋_GB2312" w:cs="仿宋_GB2312"/>
          <w:color w:val="auto"/>
          <w:kern w:val="2"/>
          <w:sz w:val="32"/>
          <w:szCs w:val="32"/>
          <w:highlight w:val="none"/>
          <w:lang w:val="en-US" w:eastAsia="zh-CN" w:bidi="ar-SA"/>
        </w:rPr>
        <w:t>：</w:t>
      </w:r>
      <w:r>
        <w:rPr>
          <w:rFonts w:hint="eastAsia" w:ascii="仿宋_GB2312" w:hAnsi="仿宋" w:eastAsia="仿宋_GB2312"/>
          <w:sz w:val="32"/>
          <w:szCs w:val="32"/>
        </w:rPr>
        <w:t>本单位紧紧围绕把平昌建成全省丘区经济强县的决策部署，充分发挥检察职能，深入推进检察改革</w:t>
      </w:r>
      <w:r>
        <w:rPr>
          <w:rFonts w:hint="default" w:ascii="Times New Roman" w:hAnsi="Times New Roman" w:eastAsia="仿宋_GB2312" w:cs="Times New Roman"/>
          <w:sz w:val="32"/>
          <w:szCs w:val="32"/>
        </w:rPr>
        <w:t>，持续提升履职能力，</w:t>
      </w:r>
      <w:r>
        <w:rPr>
          <w:rFonts w:hint="eastAsia" w:eastAsia="仿宋_GB2312" w:cs="Times New Roman"/>
          <w:sz w:val="32"/>
          <w:szCs w:val="32"/>
          <w:lang w:val="en-US" w:eastAsia="zh-CN"/>
        </w:rPr>
        <w:t>建设法治平昌</w:t>
      </w:r>
      <w:r>
        <w:rPr>
          <w:rFonts w:hint="default" w:ascii="Times New Roman" w:hAnsi="Times New Roman" w:eastAsia="仿宋_GB2312" w:cs="Times New Roman"/>
          <w:sz w:val="32"/>
          <w:szCs w:val="32"/>
        </w:rPr>
        <w:t>。</w:t>
      </w:r>
      <w:r>
        <w:rPr>
          <w:rFonts w:hint="eastAsia" w:ascii="Times New Roman" w:hAnsi="Times New Roman" w:eastAsia="仿宋_GB2312" w:cs="仿宋_GB2312"/>
          <w:color w:val="auto"/>
          <w:kern w:val="2"/>
          <w:sz w:val="32"/>
          <w:szCs w:val="32"/>
          <w:highlight w:val="none"/>
          <w:lang w:val="en-US" w:eastAsia="zh-CN" w:bidi="ar-SA"/>
        </w:rPr>
        <w:t>绩效自评报告详见附件。</w:t>
      </w:r>
    </w:p>
    <w:p>
      <w:pPr>
        <w:pStyle w:val="5"/>
        <w:rPr>
          <w:rFonts w:hint="eastAsia" w:ascii="Times New Roman" w:hAnsi="Times New Roman" w:eastAsia="仿宋_GB2312" w:cs="仿宋_GB2312"/>
          <w:color w:val="auto"/>
          <w:kern w:val="2"/>
          <w:sz w:val="32"/>
          <w:szCs w:val="32"/>
          <w:highlight w:val="none"/>
          <w:lang w:val="en-US" w:eastAsia="zh-CN" w:bidi="ar-SA"/>
        </w:rPr>
      </w:pPr>
    </w:p>
    <w:p>
      <w:pPr>
        <w:rPr>
          <w:rFonts w:hint="eastAsia" w:ascii="Times New Roman" w:hAnsi="Times New Roman" w:eastAsia="仿宋_GB2312" w:cs="仿宋_GB2312"/>
          <w:color w:val="auto"/>
          <w:kern w:val="2"/>
          <w:sz w:val="32"/>
          <w:szCs w:val="32"/>
          <w:highlight w:val="none"/>
          <w:lang w:val="en-US" w:eastAsia="zh-CN" w:bidi="ar-SA"/>
        </w:rPr>
      </w:pPr>
    </w:p>
    <w:p>
      <w:pPr>
        <w:pStyle w:val="5"/>
        <w:rPr>
          <w:rFonts w:hint="eastAsia" w:ascii="Times New Roman" w:hAnsi="Times New Roman" w:eastAsia="仿宋_GB2312" w:cs="仿宋_GB2312"/>
          <w:color w:val="auto"/>
          <w:kern w:val="2"/>
          <w:sz w:val="32"/>
          <w:szCs w:val="32"/>
          <w:highlight w:val="none"/>
          <w:lang w:val="en-US" w:eastAsia="zh-CN" w:bidi="ar-SA"/>
        </w:rPr>
      </w:pPr>
    </w:p>
    <w:p>
      <w:pPr>
        <w:rPr>
          <w:rFonts w:hint="eastAsia" w:ascii="Times New Roman" w:hAnsi="Times New Roman" w:eastAsia="仿宋_GB2312" w:cs="仿宋_GB2312"/>
          <w:color w:val="auto"/>
          <w:kern w:val="2"/>
          <w:sz w:val="32"/>
          <w:szCs w:val="32"/>
          <w:highlight w:val="none"/>
          <w:lang w:val="en-US" w:eastAsia="zh-CN" w:bidi="ar-SA"/>
        </w:rPr>
      </w:pPr>
    </w:p>
    <w:p>
      <w:pPr>
        <w:pStyle w:val="5"/>
        <w:rPr>
          <w:rFonts w:hint="eastAsia" w:ascii="Times New Roman" w:hAnsi="Times New Roman" w:eastAsia="仿宋_GB2312" w:cs="仿宋_GB2312"/>
          <w:color w:val="auto"/>
          <w:kern w:val="2"/>
          <w:sz w:val="32"/>
          <w:szCs w:val="32"/>
          <w:highlight w:val="none"/>
          <w:lang w:val="en-US" w:eastAsia="zh-CN" w:bidi="ar-SA"/>
        </w:rPr>
      </w:pPr>
    </w:p>
    <w:p>
      <w:pPr>
        <w:rPr>
          <w:rFonts w:hint="eastAsia" w:ascii="Times New Roman" w:hAnsi="Times New Roman" w:eastAsia="仿宋_GB2312" w:cs="仿宋_GB2312"/>
          <w:color w:val="auto"/>
          <w:kern w:val="2"/>
          <w:sz w:val="32"/>
          <w:szCs w:val="32"/>
          <w:highlight w:val="none"/>
          <w:lang w:val="en-US" w:eastAsia="zh-CN" w:bidi="ar-SA"/>
        </w:rPr>
      </w:pPr>
    </w:p>
    <w:p>
      <w:pPr>
        <w:pStyle w:val="5"/>
        <w:rPr>
          <w:rFonts w:hint="eastAsia" w:ascii="Times New Roman" w:hAnsi="Times New Roman" w:eastAsia="仿宋_GB2312" w:cs="仿宋_GB2312"/>
          <w:color w:val="auto"/>
          <w:kern w:val="2"/>
          <w:sz w:val="32"/>
          <w:szCs w:val="32"/>
          <w:highlight w:val="none"/>
          <w:lang w:val="en-US" w:eastAsia="zh-CN" w:bidi="ar-SA"/>
        </w:rPr>
      </w:pPr>
    </w:p>
    <w:p>
      <w:pPr>
        <w:rPr>
          <w:rFonts w:hint="eastAsia" w:ascii="Times New Roman" w:hAnsi="Times New Roman" w:eastAsia="仿宋_GB2312" w:cs="仿宋_GB2312"/>
          <w:color w:val="auto"/>
          <w:kern w:val="2"/>
          <w:sz w:val="32"/>
          <w:szCs w:val="32"/>
          <w:highlight w:val="none"/>
          <w:lang w:val="en-US" w:eastAsia="zh-CN" w:bidi="ar-SA"/>
        </w:rPr>
      </w:pPr>
    </w:p>
    <w:p>
      <w:pPr>
        <w:pStyle w:val="5"/>
        <w:rPr>
          <w:rFonts w:hint="eastAsia"/>
          <w:lang w:val="en-US" w:eastAsia="zh-CN"/>
        </w:rPr>
      </w:pPr>
    </w:p>
    <w:p>
      <w:pPr>
        <w:pStyle w:val="6"/>
        <w:keepNext/>
        <w:keepLines/>
        <w:pageBreakBefore w:val="0"/>
        <w:widowControl w:val="0"/>
        <w:kinsoku/>
        <w:wordWrap/>
        <w:overflowPunct/>
        <w:topLinePunct w:val="0"/>
        <w:autoSpaceDE/>
        <w:autoSpaceDN/>
        <w:bidi w:val="0"/>
        <w:adjustRightInd/>
        <w:snapToGrid/>
        <w:spacing w:before="20" w:after="20" w:line="600" w:lineRule="exact"/>
        <w:jc w:val="center"/>
        <w:textAlignment w:val="auto"/>
        <w:rPr>
          <w:rFonts w:hint="eastAsia"/>
        </w:rPr>
      </w:pPr>
      <w:bookmarkStart w:id="87" w:name="_Toc15377225"/>
      <w:bookmarkStart w:id="88" w:name="_Toc15396613"/>
      <w:bookmarkStart w:id="89" w:name="_Toc14865"/>
    </w:p>
    <w:p>
      <w:pPr>
        <w:pStyle w:val="6"/>
        <w:keepNext/>
        <w:keepLines/>
        <w:pageBreakBefore w:val="0"/>
        <w:widowControl w:val="0"/>
        <w:kinsoku/>
        <w:wordWrap/>
        <w:overflowPunct/>
        <w:topLinePunct w:val="0"/>
        <w:autoSpaceDE/>
        <w:autoSpaceDN/>
        <w:bidi w:val="0"/>
        <w:adjustRightInd/>
        <w:snapToGrid/>
        <w:spacing w:before="20" w:after="20" w:line="600" w:lineRule="exact"/>
        <w:jc w:val="center"/>
        <w:textAlignment w:val="auto"/>
      </w:pPr>
      <w:r>
        <w:rPr>
          <w:rFonts w:hint="eastAsia"/>
        </w:rPr>
        <w:t>第</w:t>
      </w:r>
      <w:r>
        <w:rPr>
          <w:rFonts w:hint="eastAsia"/>
          <w:lang w:eastAsia="zh-CN"/>
        </w:rPr>
        <w:t>三</w:t>
      </w:r>
      <w:r>
        <w:rPr>
          <w:rFonts w:hint="eastAsia"/>
        </w:rPr>
        <w:t>部分</w:t>
      </w:r>
      <w:r>
        <w:rPr>
          <w:rFonts w:hint="eastAsia"/>
          <w:lang w:val="en-US" w:eastAsia="zh-CN"/>
        </w:rPr>
        <w:t xml:space="preserve">  </w:t>
      </w:r>
      <w:r>
        <w:rPr>
          <w:rFonts w:hint="eastAsia"/>
        </w:rPr>
        <w:t>名词解释</w:t>
      </w:r>
      <w:bookmarkEnd w:id="87"/>
      <w:bookmarkEnd w:id="88"/>
      <w:bookmarkEnd w:id="89"/>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1.财政拨款收入：指单位从同级财政部门取得的财政预算资金。</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2.事业收入：指事业单位开展专业业务活动及辅助活动取得的收入。</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3.经营收入：指事业单位在专业业务活动及其辅助活动之外开展非独立核算经营活动取得的收入。</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4.其他收入：指单位取得的除上述收入以外的各项收入。</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5.使用非财政拨款结余（含专用结余）：指事业单位使用以前年度积累的非财政拨款结余弥补当年收支差额的金额。 </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6.年初结转和结余：指以前年度尚未完成、结转到本年按有关规定继续使用的资金。 </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7.结余分配：指事业单位按照会计制度规定缴纳的所得税、提取的专用结余以及转入非财政拨款结余的金额等。</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8.年末结转和结余：指单位按有关规定结转到下年或以后年度继续使用的资金。</w:t>
      </w:r>
    </w:p>
    <w:p>
      <w:pPr>
        <w:pStyle w:val="28"/>
        <w:spacing w:line="56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9.公共安全支出（类）检察院（款）行政运行（项）：指检察院的基本支出。</w:t>
      </w:r>
    </w:p>
    <w:p>
      <w:pPr>
        <w:pStyle w:val="28"/>
        <w:spacing w:line="56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公共安全支出（类）检察院（款）一般行政管理事务（项）：指检察院未单独设置项级科目的其他项目支出。</w:t>
      </w:r>
    </w:p>
    <w:p>
      <w:pPr>
        <w:pStyle w:val="28"/>
        <w:spacing w:line="56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10.社会保障和就业支出（类）行政事业单位养老支出（款）机关事业单位基本养老保险缴费支出（项）：指机关事业单位实施养老保险制度由单位缴纳的基本养老保险费支出。</w:t>
      </w:r>
    </w:p>
    <w:p>
      <w:pPr>
        <w:pStyle w:val="28"/>
        <w:spacing w:line="56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社会保障和就业支出（类）行政事业单位养老支出（款）其他行政事业单位养老支出（项）：指除所述项目以外其他用于行政事业单位养老方面的支出。</w:t>
      </w:r>
    </w:p>
    <w:p>
      <w:pPr>
        <w:pStyle w:val="28"/>
        <w:spacing w:line="56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社会保障和就业支出（类）抚恤（款）死亡抚恤（项）：反映按规定用于烈士和牺牲、病故人员家属的一次性和定期抚恤金以及丧葬补助费。</w:t>
      </w:r>
    </w:p>
    <w:p>
      <w:pPr>
        <w:pStyle w:val="28"/>
        <w:spacing w:line="56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社会保障和就业支出（类）其他社会保障和就业支出（款）其他社会保障和就业支出（项）：指除所述项目以外其他用于社火保障和就业方面的支出。</w:t>
      </w:r>
    </w:p>
    <w:p>
      <w:pPr>
        <w:pStyle w:val="28"/>
        <w:spacing w:line="56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11.卫生健康支出（类）行政事业单位医疗（款）行政单位医疗（项）：指财政部门安排的行政单位（包括实行公务员管理的事业单位，下同）基本医疗保险缴费经费，未参加医疗保险的行政单位的公费医疗经费，按照国家规定享受离休人员、红军老战士待遇人员的医疗经费。</w:t>
      </w:r>
    </w:p>
    <w:p>
      <w:pPr>
        <w:pStyle w:val="28"/>
        <w:spacing w:line="56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卫生健康支出（类）行政事业单位医疗（款）公务员医疗补助（项）：指财政部门安排的公务员医疗补助经费。</w:t>
      </w:r>
    </w:p>
    <w:p>
      <w:pPr>
        <w:pStyle w:val="28"/>
        <w:numPr>
          <w:ilvl w:val="0"/>
          <w:numId w:val="1"/>
        </w:numPr>
        <w:spacing w:line="56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住房保障支出（类）住房改革支出（款）住房公积金（项）：指行政事业单位按人力资源和社会保障部、财政部规定的基本工资和津贴补贴以及规定比例为职工缴纳的住房公积金。</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13.</w:t>
      </w:r>
      <w:r>
        <w:rPr>
          <w:rFonts w:hint="eastAsia" w:ascii="Times New Roman" w:hAnsi="Times New Roman" w:eastAsia="仿宋_GB2312" w:cs="仿宋_GB2312"/>
          <w:color w:val="auto"/>
          <w:kern w:val="2"/>
          <w:sz w:val="32"/>
          <w:szCs w:val="32"/>
          <w:highlight w:val="none"/>
          <w:lang w:val="en-US" w:eastAsia="zh-CN" w:bidi="ar-SA"/>
        </w:rPr>
        <w:t>基本支出：指为保障机构正常运转、完成日常工作任务而发生的人员支出和公用支出。</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14</w:t>
      </w:r>
      <w:r>
        <w:rPr>
          <w:rFonts w:hint="eastAsia" w:ascii="Times New Roman" w:hAnsi="Times New Roman" w:eastAsia="仿宋_GB2312" w:cs="仿宋_GB2312"/>
          <w:color w:val="auto"/>
          <w:kern w:val="2"/>
          <w:sz w:val="32"/>
          <w:szCs w:val="32"/>
          <w:highlight w:val="none"/>
          <w:lang w:val="en-US" w:eastAsia="zh-CN" w:bidi="ar-SA"/>
        </w:rPr>
        <w:t xml:space="preserve">.项目支出：指在基本支出之外为完成特定行政任务和事业发展目标所发生的支出。 </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15</w:t>
      </w:r>
      <w:r>
        <w:rPr>
          <w:rFonts w:hint="eastAsia" w:ascii="Times New Roman" w:hAnsi="Times New Roman" w:eastAsia="仿宋_GB2312" w:cs="仿宋_GB2312"/>
          <w:color w:val="auto"/>
          <w:kern w:val="2"/>
          <w:sz w:val="32"/>
          <w:szCs w:val="32"/>
          <w:highlight w:val="none"/>
          <w:lang w:val="en-US" w:eastAsia="zh-CN" w:bidi="ar-SA"/>
        </w:rPr>
        <w:t>.经营支出：指事业单位在专业业务活动及其辅助活动之外开展非独立核算经营活动发生的支出。</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16</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三公</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17</w:t>
      </w:r>
      <w:r>
        <w:rPr>
          <w:rFonts w:hint="eastAsia" w:ascii="Times New Roman" w:hAnsi="Times New Roman" w:eastAsia="仿宋_GB2312" w:cs="仿宋_GB2312"/>
          <w:color w:val="auto"/>
          <w:kern w:val="2"/>
          <w:sz w:val="32"/>
          <w:szCs w:val="32"/>
          <w:highlight w:val="none"/>
          <w:lang w:val="en-US" w:eastAsia="zh-CN" w:bidi="ar-SA"/>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p>
    <w:p>
      <w:pPr>
        <w:keepNext w:val="0"/>
        <w:keepLines w:val="0"/>
        <w:pageBreakBefore w:val="0"/>
        <w:widowControl w:val="0"/>
        <w:kinsoku/>
        <w:wordWrap/>
        <w:overflowPunct/>
        <w:topLinePunct w:val="0"/>
        <w:autoSpaceDE/>
        <w:autoSpaceDN/>
        <w:bidi w:val="0"/>
        <w:adjustRightInd/>
        <w:snapToGrid/>
        <w:spacing w:before="313" w:beforeLines="100" w:after="313" w:afterLines="100" w:line="600" w:lineRule="exact"/>
        <w:jc w:val="center"/>
        <w:textAlignment w:val="auto"/>
        <w:rPr>
          <w:rFonts w:hint="eastAsia" w:ascii="Times New Roman" w:hAnsi="Times New Roman" w:eastAsia="黑体" w:cs="黑体"/>
          <w:color w:val="FF0000"/>
          <w:sz w:val="32"/>
          <w:szCs w:val="32"/>
          <w:highlight w:val="none"/>
        </w:rPr>
      </w:pPr>
      <w:bookmarkStart w:id="90" w:name="_Toc15377226"/>
      <w:r>
        <w:rPr>
          <w:rFonts w:hint="eastAsia" w:ascii="Times New Roman" w:hAnsi="Times New Roman" w:eastAsia="仿宋_GB2312" w:cs="仿宋_GB2312"/>
          <w:color w:val="auto"/>
          <w:kern w:val="2"/>
          <w:sz w:val="32"/>
          <w:szCs w:val="32"/>
          <w:highlight w:val="none"/>
          <w:lang w:val="en-US" w:eastAsia="zh-CN" w:bidi="ar-SA"/>
        </w:rPr>
        <w:br w:type="page"/>
      </w:r>
      <w:bookmarkStart w:id="91" w:name="_Toc15396614"/>
      <w:bookmarkStart w:id="92" w:name="_Toc12531"/>
      <w:r>
        <w:rPr>
          <w:rStyle w:val="30"/>
          <w:rFonts w:hint="eastAsia"/>
        </w:rPr>
        <w:t>第四部分</w:t>
      </w:r>
      <w:r>
        <w:rPr>
          <w:rStyle w:val="30"/>
          <w:rFonts w:hint="eastAsia"/>
          <w:lang w:val="en-US" w:eastAsia="zh-CN"/>
        </w:rPr>
        <w:t xml:space="preserve"> </w:t>
      </w:r>
      <w:r>
        <w:rPr>
          <w:rStyle w:val="30"/>
          <w:rFonts w:hint="eastAsia"/>
        </w:rPr>
        <w:t xml:space="preserve"> 附件</w:t>
      </w:r>
      <w:bookmarkEnd w:id="91"/>
      <w:bookmarkEnd w:id="92"/>
    </w:p>
    <w:p>
      <w:pPr>
        <w:keepNext w:val="0"/>
        <w:keepLines w:val="0"/>
        <w:pageBreakBefore w:val="0"/>
        <w:kinsoku/>
        <w:wordWrap/>
        <w:overflowPunct/>
        <w:topLinePunct w:val="0"/>
        <w:autoSpaceDE/>
        <w:autoSpaceDN/>
        <w:bidi w:val="0"/>
        <w:spacing w:line="572" w:lineRule="exact"/>
        <w:jc w:val="left"/>
        <w:textAlignment w:val="auto"/>
        <w:outlineLvl w:val="0"/>
        <w:rPr>
          <w:rFonts w:hint="default" w:ascii="Times New Roman" w:hAnsi="Times New Roman" w:eastAsia="方正小标宋简体" w:cs="Times New Roman"/>
          <w:b w:val="0"/>
          <w:bCs/>
          <w:sz w:val="44"/>
          <w:szCs w:val="44"/>
          <w:highlight w:val="none"/>
          <w:shd w:val="clear" w:color="auto" w:fill="FFFFFF"/>
        </w:rPr>
      </w:pPr>
      <w:bookmarkStart w:id="93" w:name="_Toc14345"/>
      <w:r>
        <w:rPr>
          <w:rFonts w:hint="eastAsia" w:ascii="Times New Roman" w:hAnsi="Times New Roman" w:eastAsia="黑体" w:cs="黑体"/>
          <w:color w:val="auto"/>
          <w:sz w:val="32"/>
          <w:szCs w:val="32"/>
          <w:highlight w:val="none"/>
        </w:rPr>
        <w:t>附件</w:t>
      </w:r>
      <w:r>
        <w:rPr>
          <w:rFonts w:hint="eastAsia" w:ascii="Times New Roman" w:hAnsi="Times New Roman" w:eastAsia="黑体" w:cs="黑体"/>
          <w:color w:val="auto"/>
          <w:sz w:val="32"/>
          <w:szCs w:val="32"/>
          <w:highlight w:val="none"/>
          <w:lang w:val="en-US" w:eastAsia="zh-CN"/>
        </w:rPr>
        <w:t>1</w:t>
      </w:r>
      <w:bookmarkEnd w:id="93"/>
    </w:p>
    <w:p>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黑体" w:cs="Times New Roman"/>
          <w:color w:val="000000"/>
          <w:kern w:val="0"/>
          <w:sz w:val="24"/>
          <w:szCs w:val="32"/>
          <w:highlight w:val="none"/>
          <w:shd w:val="clear" w:color="auto" w:fill="FFFFFF"/>
        </w:rPr>
      </w:pPr>
      <w:r>
        <w:rPr>
          <w:rFonts w:hint="default" w:ascii="Times New Roman" w:hAnsi="Times New Roman" w:eastAsia="方正小标宋简体" w:cs="Times New Roman"/>
          <w:b w:val="0"/>
          <w:bCs/>
          <w:sz w:val="44"/>
          <w:szCs w:val="44"/>
          <w:highlight w:val="none"/>
          <w:shd w:val="clear" w:color="auto" w:fill="FFFFFF"/>
        </w:rPr>
        <w:t>部门</w:t>
      </w:r>
      <w:r>
        <w:rPr>
          <w:rFonts w:hint="default" w:ascii="Times New Roman" w:hAnsi="Times New Roman" w:eastAsia="方正小标宋简体" w:cs="Times New Roman"/>
          <w:b w:val="0"/>
          <w:bCs/>
          <w:sz w:val="44"/>
          <w:szCs w:val="44"/>
          <w:highlight w:val="none"/>
          <w:shd w:val="clear" w:color="auto" w:fill="FFFFFF"/>
          <w:lang w:eastAsia="zh-CN"/>
        </w:rPr>
        <w:t>预算</w:t>
      </w:r>
      <w:r>
        <w:rPr>
          <w:rFonts w:hint="default" w:ascii="Times New Roman" w:hAnsi="Times New Roman" w:eastAsia="方正小标宋简体" w:cs="Times New Roman"/>
          <w:b w:val="0"/>
          <w:bCs/>
          <w:sz w:val="44"/>
          <w:szCs w:val="44"/>
          <w:highlight w:val="none"/>
          <w:shd w:val="clear" w:color="auto" w:fill="FFFFFF"/>
        </w:rPr>
        <w:t>绩效</w:t>
      </w:r>
      <w:r>
        <w:rPr>
          <w:rFonts w:hint="eastAsia" w:ascii="Times New Roman" w:hAnsi="Times New Roman" w:eastAsia="方正小标宋简体" w:cs="Times New Roman"/>
          <w:b w:val="0"/>
          <w:bCs/>
          <w:sz w:val="44"/>
          <w:szCs w:val="44"/>
          <w:highlight w:val="none"/>
          <w:shd w:val="clear" w:color="auto" w:fill="FFFFFF"/>
          <w:lang w:eastAsia="zh-CN"/>
        </w:rPr>
        <w:t>评价</w:t>
      </w:r>
      <w:r>
        <w:rPr>
          <w:rFonts w:hint="default" w:ascii="Times New Roman" w:hAnsi="Times New Roman" w:eastAsia="方正小标宋简体" w:cs="Times New Roman"/>
          <w:b w:val="0"/>
          <w:bCs/>
          <w:sz w:val="44"/>
          <w:szCs w:val="44"/>
          <w:highlight w:val="none"/>
          <w:shd w:val="clear" w:color="auto" w:fill="FFFFFF"/>
        </w:rPr>
        <w:t>报告</w:t>
      </w:r>
    </w:p>
    <w:p>
      <w:pPr>
        <w:keepNext w:val="0"/>
        <w:keepLines w:val="0"/>
        <w:pageBreakBefore w:val="0"/>
        <w:widowControl/>
        <w:kinsoku/>
        <w:wordWrap/>
        <w:overflowPunct/>
        <w:topLinePunct w:val="0"/>
        <w:autoSpaceDE/>
        <w:autoSpaceDN/>
        <w:bidi w:val="0"/>
        <w:adjustRightInd w:val="0"/>
        <w:snapToGrid w:val="0"/>
        <w:spacing w:line="560" w:lineRule="exact"/>
        <w:contextualSpacing/>
        <w:jc w:val="left"/>
        <w:textAlignment w:val="auto"/>
        <w:outlineLvl w:val="9"/>
        <w:rPr>
          <w:rFonts w:hint="eastAsia" w:ascii="方正黑体_GBK" w:eastAsia="方正黑体_GBK"/>
          <w:sz w:val="32"/>
          <w:szCs w:val="32"/>
        </w:rPr>
      </w:pPr>
      <w:r>
        <w:rPr>
          <w:rFonts w:hint="eastAsia" w:ascii="方正黑体_GBK" w:eastAsia="方正黑体_GBK"/>
          <w:color w:val="000000"/>
          <w:kern w:val="0"/>
          <w:sz w:val="32"/>
          <w:szCs w:val="32"/>
          <w:highlight w:val="none"/>
          <w:shd w:val="clear" w:color="auto" w:fill="FFFFFF"/>
          <w:lang w:val="zh-CN" w:eastAsia="zh-CN"/>
        </w:rPr>
        <w:t>一、部门（单位）基本情况</w:t>
      </w:r>
    </w:p>
    <w:p>
      <w:pPr>
        <w:pStyle w:val="38"/>
        <w:keepNext w:val="0"/>
        <w:keepLines w:val="0"/>
        <w:pageBreakBefore w:val="0"/>
        <w:widowControl w:val="0"/>
        <w:shd w:val="clear" w:color="auto" w:fill="FFFFFF"/>
        <w:kinsoku/>
        <w:wordWrap/>
        <w:overflowPunct/>
        <w:topLinePunct w:val="0"/>
        <w:autoSpaceDE/>
        <w:autoSpaceDN/>
        <w:bidi w:val="0"/>
        <w:spacing w:before="0" w:beforeAutospacing="0" w:after="0" w:afterAutospacing="0" w:line="560" w:lineRule="exact"/>
        <w:ind w:left="0" w:leftChars="0" w:firstLine="640" w:firstLineChars="200"/>
        <w:jc w:val="both"/>
        <w:textAlignment w:val="baseline"/>
        <w:outlineLvl w:val="9"/>
        <w:rPr>
          <w:rFonts w:hint="eastAsia" w:ascii="方正楷体_GBK" w:eastAsia="方正楷体_GBK"/>
          <w:color w:val="000000"/>
          <w:kern w:val="0"/>
          <w:sz w:val="32"/>
          <w:szCs w:val="32"/>
          <w:highlight w:val="none"/>
          <w:shd w:val="clear" w:color="auto" w:fill="FFFFFF"/>
          <w:lang w:val="zh-CN" w:eastAsia="zh-CN"/>
        </w:rPr>
      </w:pPr>
      <w:r>
        <w:rPr>
          <w:rFonts w:hint="eastAsia" w:ascii="方正楷体_GBK" w:eastAsia="方正楷体_GBK"/>
          <w:color w:val="000000"/>
          <w:kern w:val="0"/>
          <w:sz w:val="32"/>
          <w:szCs w:val="32"/>
          <w:highlight w:val="none"/>
          <w:shd w:val="clear" w:color="auto" w:fill="FFFFFF"/>
          <w:lang w:val="zh-CN" w:eastAsia="zh-CN"/>
        </w:rPr>
        <w:t>（一）机构组成。</w:t>
      </w:r>
    </w:p>
    <w:p>
      <w:pPr>
        <w:pStyle w:val="38"/>
        <w:keepNext w:val="0"/>
        <w:keepLines w:val="0"/>
        <w:pageBreakBefore w:val="0"/>
        <w:widowControl w:val="0"/>
        <w:shd w:val="clear" w:color="auto" w:fill="FFFFFF"/>
        <w:kinsoku/>
        <w:wordWrap/>
        <w:overflowPunct/>
        <w:topLinePunct w:val="0"/>
        <w:autoSpaceDE/>
        <w:autoSpaceDN/>
        <w:bidi w:val="0"/>
        <w:spacing w:before="0" w:beforeAutospacing="0" w:after="0" w:afterAutospacing="0" w:line="560" w:lineRule="exact"/>
        <w:ind w:left="0" w:leftChars="0" w:firstLine="640" w:firstLineChars="200"/>
        <w:jc w:val="both"/>
        <w:textAlignment w:val="baseline"/>
        <w:outlineLvl w:val="9"/>
        <w:rPr>
          <w:rFonts w:hint="eastAsia" w:ascii="Times New Roman" w:hAnsi="Times New Roman" w:eastAsia="仿宋_GB2312" w:cs="Times New Roman"/>
          <w:kern w:val="2"/>
          <w:sz w:val="32"/>
          <w:szCs w:val="32"/>
          <w:shd w:val="clear" w:color="auto" w:fill="FFFFFF"/>
          <w:lang w:val="en-US" w:eastAsia="zh-CN"/>
        </w:rPr>
      </w:pPr>
      <w:r>
        <w:rPr>
          <w:rFonts w:hint="eastAsia" w:ascii="Times New Roman" w:hAnsi="Times New Roman" w:eastAsia="仿宋_GB2312" w:cs="Times New Roman"/>
          <w:kern w:val="2"/>
          <w:sz w:val="32"/>
          <w:szCs w:val="32"/>
          <w:shd w:val="clear" w:color="auto" w:fill="FFFFFF"/>
          <w:lang w:val="en-US" w:eastAsia="zh-CN"/>
        </w:rPr>
        <w:t>平昌县人民检察院</w:t>
      </w:r>
      <w:r>
        <w:rPr>
          <w:rFonts w:hint="default" w:ascii="Times New Roman" w:hAnsi="Times New Roman" w:eastAsia="仿宋_GB2312" w:cs="Times New Roman"/>
          <w:kern w:val="2"/>
          <w:sz w:val="32"/>
          <w:szCs w:val="32"/>
          <w:shd w:val="clear" w:color="auto" w:fill="FFFFFF"/>
          <w:lang w:eastAsia="zh-CN"/>
        </w:rPr>
        <w:t>内设</w:t>
      </w:r>
      <w:r>
        <w:rPr>
          <w:rFonts w:hint="eastAsia" w:ascii="Times New Roman" w:hAnsi="Times New Roman" w:eastAsia="仿宋_GB2312" w:cs="Times New Roman"/>
          <w:kern w:val="2"/>
          <w:sz w:val="32"/>
          <w:szCs w:val="32"/>
          <w:shd w:val="clear" w:color="auto" w:fill="FFFFFF"/>
          <w:lang w:eastAsia="zh-CN"/>
        </w:rPr>
        <w:t>机构</w:t>
      </w:r>
      <w:r>
        <w:rPr>
          <w:rFonts w:hint="eastAsia" w:ascii="Times New Roman" w:hAnsi="Times New Roman" w:eastAsia="仿宋_GB2312" w:cs="Times New Roman"/>
          <w:kern w:val="2"/>
          <w:sz w:val="32"/>
          <w:szCs w:val="32"/>
          <w:shd w:val="clear" w:color="auto" w:fill="FFFFFF"/>
          <w:lang w:val="en-US" w:eastAsia="zh-CN"/>
        </w:rPr>
        <w:t>11个。</w:t>
      </w:r>
    </w:p>
    <w:p>
      <w:pPr>
        <w:pStyle w:val="38"/>
        <w:keepNext w:val="0"/>
        <w:keepLines w:val="0"/>
        <w:pageBreakBefore w:val="0"/>
        <w:widowControl w:val="0"/>
        <w:shd w:val="clear" w:color="auto" w:fill="FFFFFF"/>
        <w:kinsoku/>
        <w:wordWrap/>
        <w:overflowPunct/>
        <w:topLinePunct w:val="0"/>
        <w:autoSpaceDE/>
        <w:autoSpaceDN/>
        <w:bidi w:val="0"/>
        <w:spacing w:before="0" w:beforeAutospacing="0" w:after="0" w:afterAutospacing="0" w:line="560" w:lineRule="exact"/>
        <w:ind w:left="0" w:leftChars="0" w:firstLine="640" w:firstLineChars="200"/>
        <w:jc w:val="both"/>
        <w:textAlignment w:val="baseline"/>
        <w:outlineLvl w:val="9"/>
        <w:rPr>
          <w:rFonts w:hint="default" w:ascii="Times New Roman" w:hAnsi="Times New Roman" w:eastAsia="仿宋_GB2312" w:cs="Times New Roman"/>
          <w:kern w:val="2"/>
          <w:sz w:val="32"/>
          <w:szCs w:val="32"/>
          <w:shd w:val="clear" w:color="auto" w:fill="FFFFFF"/>
        </w:rPr>
      </w:pPr>
      <w:r>
        <w:rPr>
          <w:rFonts w:hint="eastAsia" w:ascii="Times New Roman" w:hAnsi="Times New Roman" w:eastAsia="仿宋_GB2312" w:cs="Times New Roman"/>
          <w:kern w:val="2"/>
          <w:sz w:val="32"/>
          <w:szCs w:val="32"/>
          <w:shd w:val="clear" w:color="auto" w:fill="FFFFFF"/>
          <w:lang w:eastAsia="zh-CN"/>
        </w:rPr>
        <w:t>办公室</w:t>
      </w:r>
      <w:r>
        <w:rPr>
          <w:rFonts w:hint="default" w:ascii="Times New Roman" w:hAnsi="Times New Roman" w:eastAsia="仿宋_GB2312" w:cs="Times New Roman"/>
          <w:kern w:val="2"/>
          <w:sz w:val="32"/>
          <w:szCs w:val="32"/>
          <w:shd w:val="clear" w:color="auto" w:fill="FFFFFF"/>
        </w:rPr>
        <w:t>：主要承担决策参谋、督查督办、代表联络等综合行政事务和后勤保障工作。</w:t>
      </w:r>
    </w:p>
    <w:p>
      <w:pPr>
        <w:pStyle w:val="38"/>
        <w:keepNext w:val="0"/>
        <w:keepLines w:val="0"/>
        <w:pageBreakBefore w:val="0"/>
        <w:widowControl w:val="0"/>
        <w:shd w:val="clear" w:color="auto" w:fill="FFFFFF"/>
        <w:kinsoku/>
        <w:wordWrap/>
        <w:overflowPunct/>
        <w:topLinePunct w:val="0"/>
        <w:autoSpaceDE/>
        <w:autoSpaceDN/>
        <w:bidi w:val="0"/>
        <w:spacing w:before="0" w:beforeAutospacing="0" w:after="0" w:afterAutospacing="0" w:line="560" w:lineRule="exact"/>
        <w:ind w:firstLine="640" w:firstLineChars="200"/>
        <w:jc w:val="both"/>
        <w:textAlignment w:val="baseline"/>
        <w:outlineLvl w:val="9"/>
        <w:rPr>
          <w:rFonts w:hint="default" w:ascii="Times New Roman" w:hAnsi="Times New Roman" w:eastAsia="仿宋_GB2312" w:cs="Times New Roman"/>
          <w:kern w:val="2"/>
          <w:sz w:val="32"/>
          <w:szCs w:val="32"/>
          <w:shd w:val="clear" w:color="auto" w:fill="FFFFFF"/>
        </w:rPr>
      </w:pPr>
      <w:r>
        <w:rPr>
          <w:rFonts w:hint="eastAsia" w:ascii="Times New Roman" w:hAnsi="Times New Roman" w:eastAsia="仿宋_GB2312" w:cs="Times New Roman"/>
          <w:kern w:val="2"/>
          <w:sz w:val="32"/>
          <w:szCs w:val="32"/>
          <w:shd w:val="clear" w:color="auto" w:fill="FFFFFF"/>
          <w:lang w:eastAsia="zh-CN"/>
        </w:rPr>
        <w:t>第一检察</w:t>
      </w:r>
      <w:r>
        <w:rPr>
          <w:rFonts w:hint="default" w:ascii="Times New Roman" w:hAnsi="Times New Roman" w:eastAsia="仿宋_GB2312" w:cs="Times New Roman"/>
          <w:kern w:val="2"/>
          <w:sz w:val="32"/>
          <w:szCs w:val="32"/>
          <w:shd w:val="clear" w:color="auto" w:fill="FFFFFF"/>
        </w:rPr>
        <w:t>部：</w:t>
      </w:r>
      <w:r>
        <w:rPr>
          <w:rFonts w:hint="eastAsia" w:ascii="Times New Roman" w:hAnsi="Times New Roman" w:eastAsia="仿宋_GB2312" w:cs="Times New Roman"/>
          <w:kern w:val="2"/>
          <w:sz w:val="32"/>
          <w:szCs w:val="32"/>
          <w:shd w:val="clear" w:color="auto" w:fill="FFFFFF"/>
          <w:lang w:eastAsia="zh-CN"/>
        </w:rPr>
        <w:t>主要</w:t>
      </w:r>
      <w:r>
        <w:rPr>
          <w:rFonts w:hint="default" w:ascii="Times New Roman" w:hAnsi="Times New Roman" w:eastAsia="仿宋_GB2312" w:cs="Times New Roman"/>
          <w:kern w:val="2"/>
          <w:sz w:val="32"/>
          <w:szCs w:val="32"/>
          <w:shd w:val="clear" w:color="auto" w:fill="FFFFFF"/>
        </w:rPr>
        <w:t>负责对法律规定由基层人民检察院办理的除第二检察部承办案件以外的刑事案件的审查逮捕、审查起诉、出庭支持公诉、抗诉，开展相关立案监督、侦查监督、审判监督。</w:t>
      </w:r>
    </w:p>
    <w:p>
      <w:pPr>
        <w:pStyle w:val="38"/>
        <w:keepNext w:val="0"/>
        <w:keepLines w:val="0"/>
        <w:pageBreakBefore w:val="0"/>
        <w:widowControl w:val="0"/>
        <w:shd w:val="clear" w:color="auto" w:fill="FFFFFF"/>
        <w:kinsoku/>
        <w:wordWrap/>
        <w:overflowPunct/>
        <w:topLinePunct w:val="0"/>
        <w:autoSpaceDE/>
        <w:autoSpaceDN/>
        <w:bidi w:val="0"/>
        <w:spacing w:before="0" w:beforeAutospacing="0" w:after="0" w:afterAutospacing="0" w:line="560" w:lineRule="exact"/>
        <w:ind w:firstLine="640" w:firstLineChars="200"/>
        <w:jc w:val="both"/>
        <w:textAlignment w:val="baseline"/>
        <w:outlineLvl w:val="9"/>
        <w:rPr>
          <w:rFonts w:hint="default" w:ascii="Times New Roman" w:hAnsi="Times New Roman" w:eastAsia="仿宋_GB2312" w:cs="Times New Roman"/>
          <w:kern w:val="2"/>
          <w:sz w:val="32"/>
          <w:szCs w:val="32"/>
          <w:shd w:val="clear" w:color="auto" w:fill="FFFFFF"/>
        </w:rPr>
      </w:pPr>
      <w:r>
        <w:rPr>
          <w:rFonts w:hint="eastAsia" w:ascii="Times New Roman" w:hAnsi="Times New Roman" w:eastAsia="仿宋_GB2312" w:cs="Times New Roman"/>
          <w:kern w:val="2"/>
          <w:sz w:val="32"/>
          <w:szCs w:val="32"/>
          <w:shd w:val="clear" w:color="auto" w:fill="FFFFFF"/>
          <w:lang w:eastAsia="zh-CN"/>
        </w:rPr>
        <w:t>第二检察部：主要</w:t>
      </w:r>
      <w:r>
        <w:rPr>
          <w:rFonts w:hint="default" w:ascii="Times New Roman" w:hAnsi="Times New Roman" w:eastAsia="仿宋_GB2312" w:cs="Times New Roman"/>
          <w:kern w:val="2"/>
          <w:sz w:val="32"/>
          <w:szCs w:val="32"/>
          <w:shd w:val="clear" w:color="auto" w:fill="FFFFFF"/>
        </w:rPr>
        <w:t>负责对法律规定由基层人民检察院办理的职务犯罪、经济犯罪案件的审查逮捕、审查起诉、出庭支持公诉、抗诉，开展相关立案监督、侦查监督、审判监督。</w:t>
      </w:r>
    </w:p>
    <w:p>
      <w:pPr>
        <w:pStyle w:val="37"/>
        <w:keepNext w:val="0"/>
        <w:keepLines w:val="0"/>
        <w:pageBreakBefore w:val="0"/>
        <w:widowControl w:val="0"/>
        <w:shd w:val="clear" w:color="auto" w:fill="FFFFFF"/>
        <w:kinsoku/>
        <w:wordWrap/>
        <w:overflowPunct/>
        <w:topLinePunct w:val="0"/>
        <w:autoSpaceDE/>
        <w:autoSpaceDN/>
        <w:bidi w:val="0"/>
        <w:spacing w:before="0" w:beforeAutospacing="0" w:after="0" w:afterAutospacing="0" w:line="560" w:lineRule="exact"/>
        <w:ind w:firstLine="640" w:firstLineChars="200"/>
        <w:jc w:val="both"/>
        <w:textAlignment w:val="baseline"/>
        <w:outlineLvl w:val="9"/>
        <w:rPr>
          <w:rFonts w:hint="eastAsia" w:ascii="Times New Roman" w:hAnsi="Times New Roman" w:eastAsia="仿宋_GB2312" w:cs="Times New Roman"/>
          <w:kern w:val="2"/>
          <w:sz w:val="32"/>
          <w:szCs w:val="32"/>
          <w:shd w:val="clear" w:color="auto" w:fill="FFFFFF"/>
          <w:lang w:eastAsia="zh-CN"/>
        </w:rPr>
      </w:pPr>
      <w:r>
        <w:rPr>
          <w:rFonts w:hint="eastAsia" w:ascii="Times New Roman" w:hAnsi="Times New Roman" w:eastAsia="仿宋_GB2312" w:cs="Times New Roman"/>
          <w:kern w:val="2"/>
          <w:sz w:val="32"/>
          <w:szCs w:val="32"/>
          <w:shd w:val="clear" w:color="auto" w:fill="FFFFFF"/>
          <w:lang w:eastAsia="zh-CN"/>
        </w:rPr>
        <w:t>第三检察部：</w:t>
      </w:r>
      <w:r>
        <w:rPr>
          <w:rFonts w:hint="default" w:ascii="Times New Roman" w:hAnsi="Times New Roman" w:eastAsia="仿宋_GB2312" w:cs="Times New Roman"/>
          <w:kern w:val="2"/>
          <w:sz w:val="32"/>
          <w:szCs w:val="32"/>
          <w:shd w:val="clear" w:color="auto" w:fill="FFFFFF"/>
        </w:rPr>
        <w:t>主要履行刑罚执行、刑事申诉监督职能</w:t>
      </w:r>
      <w:r>
        <w:rPr>
          <w:rFonts w:hint="eastAsia" w:ascii="Times New Roman" w:hAnsi="Times New Roman" w:eastAsia="仿宋_GB2312" w:cs="Times New Roman"/>
          <w:kern w:val="2"/>
          <w:sz w:val="32"/>
          <w:szCs w:val="32"/>
          <w:shd w:val="clear" w:color="auto" w:fill="FFFFFF"/>
          <w:lang w:eastAsia="zh-CN"/>
        </w:rPr>
        <w:t>，负责对社区矫正机构等执法活动监督。</w:t>
      </w:r>
    </w:p>
    <w:p>
      <w:pPr>
        <w:pStyle w:val="37"/>
        <w:keepNext w:val="0"/>
        <w:keepLines w:val="0"/>
        <w:pageBreakBefore w:val="0"/>
        <w:widowControl w:val="0"/>
        <w:shd w:val="clear" w:color="auto" w:fill="FFFFFF"/>
        <w:kinsoku/>
        <w:wordWrap/>
        <w:overflowPunct/>
        <w:topLinePunct w:val="0"/>
        <w:autoSpaceDE/>
        <w:autoSpaceDN/>
        <w:bidi w:val="0"/>
        <w:spacing w:before="0" w:beforeAutospacing="0" w:after="0" w:afterAutospacing="0" w:line="560" w:lineRule="exact"/>
        <w:ind w:firstLine="640" w:firstLineChars="200"/>
        <w:jc w:val="both"/>
        <w:textAlignment w:val="baseline"/>
        <w:outlineLvl w:val="9"/>
        <w:rPr>
          <w:rFonts w:hint="default" w:ascii="Times New Roman" w:hAnsi="Times New Roman" w:eastAsia="仿宋_GB2312" w:cs="Times New Roman"/>
          <w:kern w:val="2"/>
          <w:sz w:val="32"/>
          <w:szCs w:val="32"/>
          <w:shd w:val="clear" w:color="auto" w:fill="FFFFFF"/>
        </w:rPr>
      </w:pPr>
      <w:r>
        <w:rPr>
          <w:rFonts w:hint="eastAsia" w:ascii="Times New Roman" w:hAnsi="Times New Roman" w:eastAsia="仿宋_GB2312" w:cs="Times New Roman"/>
          <w:kern w:val="2"/>
          <w:sz w:val="32"/>
          <w:szCs w:val="32"/>
          <w:shd w:val="clear" w:color="auto" w:fill="FFFFFF"/>
          <w:lang w:eastAsia="zh-CN"/>
        </w:rPr>
        <w:t>第四检察部：</w:t>
      </w:r>
      <w:r>
        <w:rPr>
          <w:rFonts w:hint="default" w:ascii="Times New Roman" w:hAnsi="Times New Roman" w:eastAsia="仿宋_GB2312" w:cs="Times New Roman"/>
          <w:kern w:val="2"/>
          <w:sz w:val="32"/>
          <w:szCs w:val="32"/>
          <w:shd w:val="clear" w:color="auto" w:fill="FFFFFF"/>
        </w:rPr>
        <w:t>主要履行民事、行政、生态环境资源检察、公益诉讼检察职责。</w:t>
      </w:r>
    </w:p>
    <w:p>
      <w:pPr>
        <w:pStyle w:val="38"/>
        <w:keepNext w:val="0"/>
        <w:keepLines w:val="0"/>
        <w:pageBreakBefore w:val="0"/>
        <w:widowControl w:val="0"/>
        <w:shd w:val="clear" w:color="auto" w:fill="FFFFFF"/>
        <w:kinsoku/>
        <w:wordWrap/>
        <w:overflowPunct/>
        <w:topLinePunct w:val="0"/>
        <w:autoSpaceDE/>
        <w:autoSpaceDN/>
        <w:bidi w:val="0"/>
        <w:spacing w:before="0" w:beforeAutospacing="0" w:after="0" w:afterAutospacing="0" w:line="560" w:lineRule="exact"/>
        <w:ind w:left="0" w:leftChars="0" w:firstLine="640" w:firstLineChars="200"/>
        <w:jc w:val="both"/>
        <w:textAlignment w:val="baseline"/>
        <w:outlineLvl w:val="9"/>
        <w:rPr>
          <w:rFonts w:hint="default" w:ascii="Times New Roman" w:hAnsi="Times New Roman" w:eastAsia="仿宋_GB2312" w:cs="Times New Roman"/>
          <w:kern w:val="2"/>
          <w:sz w:val="32"/>
          <w:szCs w:val="32"/>
          <w:shd w:val="clear" w:color="auto" w:fill="FFFFFF"/>
        </w:rPr>
      </w:pPr>
      <w:r>
        <w:rPr>
          <w:rFonts w:hint="eastAsia" w:ascii="Times New Roman" w:hAnsi="Times New Roman" w:eastAsia="仿宋_GB2312" w:cs="Times New Roman"/>
          <w:kern w:val="2"/>
          <w:sz w:val="32"/>
          <w:szCs w:val="32"/>
          <w:shd w:val="clear" w:color="auto" w:fill="FFFFFF"/>
          <w:lang w:eastAsia="zh-CN"/>
        </w:rPr>
        <w:t>第五检察部：主要负责</w:t>
      </w:r>
      <w:r>
        <w:rPr>
          <w:rFonts w:hint="default" w:ascii="Times New Roman" w:hAnsi="Times New Roman" w:eastAsia="仿宋_GB2312" w:cs="Times New Roman"/>
          <w:kern w:val="2"/>
          <w:sz w:val="32"/>
          <w:szCs w:val="32"/>
          <w:shd w:val="clear" w:color="auto" w:fill="FFFFFF"/>
        </w:rPr>
        <w:t>未成年</w:t>
      </w:r>
      <w:r>
        <w:rPr>
          <w:rFonts w:hint="eastAsia" w:ascii="Times New Roman" w:hAnsi="Times New Roman" w:eastAsia="仿宋_GB2312" w:cs="Times New Roman"/>
          <w:kern w:val="2"/>
          <w:sz w:val="32"/>
          <w:szCs w:val="32"/>
          <w:shd w:val="clear" w:color="auto" w:fill="FFFFFF"/>
          <w:lang w:eastAsia="zh-CN"/>
        </w:rPr>
        <w:t>犯罪和侵害未成年人犯罪案件的审查逮捕、</w:t>
      </w:r>
      <w:r>
        <w:rPr>
          <w:rFonts w:hint="default" w:ascii="Times New Roman" w:hAnsi="Times New Roman" w:eastAsia="仿宋_GB2312" w:cs="Times New Roman"/>
          <w:kern w:val="2"/>
          <w:sz w:val="32"/>
          <w:szCs w:val="32"/>
          <w:shd w:val="clear" w:color="auto" w:fill="FFFFFF"/>
        </w:rPr>
        <w:t>审查起诉、出庭支持公诉、抗诉，开展相关立案监督、侦查监督、审判监督。</w:t>
      </w:r>
      <w:r>
        <w:rPr>
          <w:rFonts w:hint="eastAsia" w:ascii="Times New Roman" w:hAnsi="Times New Roman" w:eastAsia="仿宋_GB2312" w:cs="Times New Roman"/>
          <w:kern w:val="2"/>
          <w:sz w:val="32"/>
          <w:szCs w:val="32"/>
          <w:shd w:val="clear" w:color="auto" w:fill="FFFFFF"/>
        </w:rPr>
        <w:t>开展未成年人司法保护和预防未成年人犯罪</w:t>
      </w:r>
      <w:r>
        <w:rPr>
          <w:rFonts w:hint="default" w:ascii="Times New Roman" w:hAnsi="Times New Roman" w:eastAsia="仿宋_GB2312" w:cs="Times New Roman"/>
          <w:kern w:val="2"/>
          <w:sz w:val="32"/>
          <w:szCs w:val="32"/>
          <w:shd w:val="clear" w:color="auto" w:fill="FFFFFF"/>
        </w:rPr>
        <w:t>等职责。</w:t>
      </w:r>
    </w:p>
    <w:p>
      <w:pPr>
        <w:pStyle w:val="38"/>
        <w:keepNext w:val="0"/>
        <w:keepLines w:val="0"/>
        <w:pageBreakBefore w:val="0"/>
        <w:widowControl w:val="0"/>
        <w:shd w:val="clear" w:color="auto" w:fill="FFFFFF"/>
        <w:kinsoku/>
        <w:wordWrap/>
        <w:overflowPunct/>
        <w:topLinePunct w:val="0"/>
        <w:autoSpaceDE/>
        <w:autoSpaceDN/>
        <w:bidi w:val="0"/>
        <w:spacing w:before="0" w:beforeAutospacing="0" w:after="0" w:afterAutospacing="0" w:line="560" w:lineRule="exact"/>
        <w:ind w:left="0" w:leftChars="0" w:firstLine="640" w:firstLineChars="200"/>
        <w:jc w:val="both"/>
        <w:textAlignment w:val="baseline"/>
        <w:outlineLvl w:val="9"/>
        <w:rPr>
          <w:rFonts w:hint="default" w:ascii="Times New Roman" w:hAnsi="Times New Roman" w:eastAsia="仿宋_GB2312" w:cs="Times New Roman"/>
          <w:kern w:val="2"/>
          <w:sz w:val="32"/>
          <w:szCs w:val="32"/>
          <w:shd w:val="clear" w:color="auto" w:fill="FFFFFF"/>
        </w:rPr>
      </w:pPr>
      <w:r>
        <w:rPr>
          <w:rFonts w:hint="eastAsia" w:ascii="Times New Roman" w:hAnsi="Times New Roman" w:eastAsia="仿宋_GB2312" w:cs="Times New Roman"/>
          <w:kern w:val="2"/>
          <w:sz w:val="32"/>
          <w:szCs w:val="32"/>
          <w:shd w:val="clear" w:color="auto" w:fill="FFFFFF"/>
          <w:lang w:eastAsia="zh-CN"/>
        </w:rPr>
        <w:t>综合业务</w:t>
      </w:r>
      <w:r>
        <w:rPr>
          <w:rFonts w:hint="default" w:ascii="Times New Roman" w:hAnsi="Times New Roman" w:eastAsia="仿宋_GB2312" w:cs="Times New Roman"/>
          <w:kern w:val="2"/>
          <w:sz w:val="32"/>
          <w:szCs w:val="32"/>
          <w:shd w:val="clear" w:color="auto" w:fill="FFFFFF"/>
        </w:rPr>
        <w:t>部：主要履行案件管理、法律政策研究、人民监督</w:t>
      </w:r>
      <w:r>
        <w:rPr>
          <w:rFonts w:hint="eastAsia" w:ascii="Times New Roman" w:hAnsi="Times New Roman" w:eastAsia="仿宋_GB2312" w:cs="Times New Roman"/>
          <w:kern w:val="2"/>
          <w:sz w:val="32"/>
          <w:szCs w:val="32"/>
          <w:shd w:val="clear" w:color="auto" w:fill="FFFFFF"/>
          <w:lang w:eastAsia="zh-CN"/>
        </w:rPr>
        <w:t>工作</w:t>
      </w:r>
      <w:r>
        <w:rPr>
          <w:rFonts w:hint="default" w:ascii="Times New Roman" w:hAnsi="Times New Roman" w:eastAsia="仿宋_GB2312" w:cs="Times New Roman"/>
          <w:kern w:val="2"/>
          <w:sz w:val="32"/>
          <w:szCs w:val="32"/>
          <w:shd w:val="clear" w:color="auto" w:fill="FFFFFF"/>
        </w:rPr>
        <w:t>等职责。</w:t>
      </w:r>
    </w:p>
    <w:p>
      <w:pPr>
        <w:pStyle w:val="37"/>
        <w:keepNext w:val="0"/>
        <w:keepLines w:val="0"/>
        <w:pageBreakBefore w:val="0"/>
        <w:widowControl w:val="0"/>
        <w:shd w:val="clear" w:color="auto" w:fill="FFFFFF"/>
        <w:kinsoku/>
        <w:wordWrap/>
        <w:overflowPunct/>
        <w:topLinePunct w:val="0"/>
        <w:autoSpaceDE/>
        <w:autoSpaceDN/>
        <w:bidi w:val="0"/>
        <w:spacing w:before="0" w:beforeAutospacing="0" w:after="0" w:afterAutospacing="0" w:line="560" w:lineRule="exact"/>
        <w:ind w:left="0" w:leftChars="0" w:firstLine="640" w:firstLineChars="200"/>
        <w:jc w:val="both"/>
        <w:textAlignment w:val="baseline"/>
        <w:outlineLvl w:val="9"/>
        <w:rPr>
          <w:rFonts w:hint="eastAsia" w:ascii="Times New Roman" w:hAnsi="Times New Roman" w:eastAsia="仿宋_GB2312" w:cs="Times New Roman"/>
          <w:kern w:val="2"/>
          <w:sz w:val="32"/>
          <w:szCs w:val="32"/>
          <w:shd w:val="clear" w:color="auto" w:fill="FFFFFF"/>
          <w:lang w:eastAsia="zh-CN"/>
        </w:rPr>
      </w:pPr>
      <w:r>
        <w:rPr>
          <w:rFonts w:hint="default" w:ascii="Times New Roman" w:hAnsi="Times New Roman" w:eastAsia="仿宋_GB2312" w:cs="Times New Roman"/>
          <w:kern w:val="2"/>
          <w:sz w:val="32"/>
          <w:szCs w:val="32"/>
          <w:shd w:val="clear" w:color="auto" w:fill="FFFFFF"/>
        </w:rPr>
        <w:t>政治部：主要履行思想政治教育、组织人事、</w:t>
      </w:r>
      <w:r>
        <w:rPr>
          <w:rFonts w:hint="eastAsia" w:ascii="Times New Roman" w:hAnsi="Times New Roman" w:eastAsia="仿宋_GB2312" w:cs="Times New Roman"/>
          <w:kern w:val="2"/>
          <w:sz w:val="32"/>
          <w:szCs w:val="32"/>
          <w:shd w:val="clear" w:color="auto" w:fill="FFFFFF"/>
          <w:lang w:eastAsia="zh-CN"/>
        </w:rPr>
        <w:t>教育培训、</w:t>
      </w:r>
      <w:r>
        <w:rPr>
          <w:rFonts w:hint="default" w:ascii="Times New Roman" w:hAnsi="Times New Roman" w:eastAsia="仿宋_GB2312" w:cs="Times New Roman"/>
          <w:kern w:val="2"/>
          <w:sz w:val="32"/>
          <w:szCs w:val="32"/>
          <w:shd w:val="clear" w:color="auto" w:fill="FFFFFF"/>
        </w:rPr>
        <w:t>检察新闻宣传等职能</w:t>
      </w:r>
      <w:r>
        <w:rPr>
          <w:rFonts w:hint="eastAsia" w:ascii="Times New Roman" w:hAnsi="Times New Roman" w:eastAsia="仿宋_GB2312" w:cs="Times New Roman"/>
          <w:kern w:val="2"/>
          <w:sz w:val="32"/>
          <w:szCs w:val="32"/>
          <w:shd w:val="clear" w:color="auto" w:fill="FFFFFF"/>
          <w:lang w:eastAsia="zh-CN"/>
        </w:rPr>
        <w:t>，负责本院检务督察工作。</w:t>
      </w:r>
    </w:p>
    <w:p>
      <w:pPr>
        <w:pStyle w:val="38"/>
        <w:keepNext w:val="0"/>
        <w:keepLines w:val="0"/>
        <w:pageBreakBefore w:val="0"/>
        <w:widowControl w:val="0"/>
        <w:shd w:val="clear" w:color="auto" w:fill="FFFFFF"/>
        <w:kinsoku/>
        <w:wordWrap/>
        <w:overflowPunct/>
        <w:topLinePunct w:val="0"/>
        <w:autoSpaceDE/>
        <w:autoSpaceDN/>
        <w:bidi w:val="0"/>
        <w:spacing w:before="0" w:beforeAutospacing="0" w:after="0" w:afterAutospacing="0" w:line="560" w:lineRule="exact"/>
        <w:ind w:left="0" w:leftChars="0" w:firstLine="640" w:firstLineChars="200"/>
        <w:jc w:val="both"/>
        <w:textAlignment w:val="baseline"/>
        <w:outlineLvl w:val="9"/>
        <w:rPr>
          <w:rFonts w:hint="eastAsia" w:ascii="Times New Roman" w:hAnsi="Times New Roman" w:eastAsia="仿宋_GB2312" w:cs="Times New Roman"/>
          <w:kern w:val="2"/>
          <w:sz w:val="32"/>
          <w:szCs w:val="32"/>
          <w:shd w:val="clear" w:color="auto" w:fill="FFFFFF"/>
          <w:lang w:eastAsia="zh-CN"/>
        </w:rPr>
      </w:pPr>
      <w:r>
        <w:rPr>
          <w:rFonts w:hint="eastAsia" w:ascii="Times New Roman" w:hAnsi="Times New Roman" w:eastAsia="仿宋_GB2312" w:cs="Times New Roman"/>
          <w:kern w:val="2"/>
          <w:sz w:val="32"/>
          <w:szCs w:val="32"/>
          <w:shd w:val="clear" w:color="auto" w:fill="FFFFFF"/>
          <w:lang w:eastAsia="zh-CN"/>
        </w:rPr>
        <w:t>机关党委</w:t>
      </w:r>
      <w:r>
        <w:rPr>
          <w:rFonts w:hint="default" w:ascii="Times New Roman" w:hAnsi="Times New Roman" w:eastAsia="仿宋_GB2312" w:cs="Times New Roman"/>
          <w:kern w:val="2"/>
          <w:sz w:val="32"/>
          <w:szCs w:val="32"/>
          <w:shd w:val="clear" w:color="auto" w:fill="FFFFFF"/>
        </w:rPr>
        <w:t>：主要履行</w:t>
      </w:r>
      <w:r>
        <w:rPr>
          <w:rFonts w:hint="eastAsia" w:ascii="Times New Roman" w:hAnsi="Times New Roman" w:eastAsia="仿宋_GB2312" w:cs="Times New Roman"/>
          <w:kern w:val="2"/>
          <w:sz w:val="32"/>
          <w:szCs w:val="32"/>
          <w:shd w:val="clear" w:color="auto" w:fill="FFFFFF"/>
          <w:lang w:eastAsia="zh-CN"/>
        </w:rPr>
        <w:t>机关党建职能。</w:t>
      </w:r>
    </w:p>
    <w:p>
      <w:pPr>
        <w:pStyle w:val="38"/>
        <w:keepNext w:val="0"/>
        <w:keepLines w:val="0"/>
        <w:pageBreakBefore w:val="0"/>
        <w:widowControl w:val="0"/>
        <w:shd w:val="clear" w:color="auto" w:fill="FFFFFF"/>
        <w:kinsoku/>
        <w:wordWrap/>
        <w:overflowPunct/>
        <w:topLinePunct w:val="0"/>
        <w:autoSpaceDE/>
        <w:autoSpaceDN/>
        <w:bidi w:val="0"/>
        <w:spacing w:before="0" w:beforeAutospacing="0" w:after="0" w:afterAutospacing="0" w:line="560" w:lineRule="exact"/>
        <w:ind w:left="0" w:leftChars="0" w:firstLine="640" w:firstLineChars="200"/>
        <w:jc w:val="both"/>
        <w:textAlignment w:val="baseline"/>
        <w:outlineLvl w:val="9"/>
        <w:rPr>
          <w:rFonts w:hint="eastAsia" w:ascii="Times New Roman" w:hAnsi="Times New Roman" w:eastAsia="仿宋_GB2312" w:cs="Times New Roman"/>
          <w:kern w:val="2"/>
          <w:sz w:val="32"/>
          <w:szCs w:val="32"/>
          <w:shd w:val="clear" w:color="auto" w:fill="FFFFFF"/>
          <w:lang w:val="en-US" w:eastAsia="zh-CN"/>
        </w:rPr>
      </w:pPr>
      <w:r>
        <w:rPr>
          <w:rFonts w:hint="eastAsia" w:ascii="Times New Roman" w:hAnsi="Times New Roman" w:eastAsia="仿宋_GB2312" w:cs="Times New Roman"/>
          <w:kern w:val="2"/>
          <w:sz w:val="32"/>
          <w:szCs w:val="32"/>
          <w:shd w:val="clear" w:color="auto" w:fill="FFFFFF"/>
          <w:lang w:val="en-US" w:eastAsia="zh-CN"/>
        </w:rPr>
        <w:t>机关工会委员会：认真贯彻执行有关工会工作的法律、法规、政策规章制度。</w:t>
      </w:r>
    </w:p>
    <w:p>
      <w:pPr>
        <w:pStyle w:val="38"/>
        <w:keepNext w:val="0"/>
        <w:keepLines w:val="0"/>
        <w:pageBreakBefore w:val="0"/>
        <w:widowControl w:val="0"/>
        <w:shd w:val="clear" w:color="auto" w:fill="FFFFFF"/>
        <w:kinsoku/>
        <w:wordWrap/>
        <w:overflowPunct/>
        <w:topLinePunct w:val="0"/>
        <w:autoSpaceDE/>
        <w:autoSpaceDN/>
        <w:bidi w:val="0"/>
        <w:spacing w:before="0" w:beforeAutospacing="0" w:after="0" w:afterAutospacing="0" w:line="560" w:lineRule="exact"/>
        <w:ind w:left="0" w:leftChars="0" w:firstLine="640" w:firstLineChars="200"/>
        <w:jc w:val="both"/>
        <w:textAlignment w:val="baseline"/>
        <w:outlineLvl w:val="9"/>
        <w:rPr>
          <w:rFonts w:hint="default" w:ascii="Times New Roman" w:hAnsi="Times New Roman" w:eastAsia="方正仿宋_GBK"/>
          <w:sz w:val="32"/>
          <w:szCs w:val="32"/>
        </w:rPr>
      </w:pPr>
      <w:r>
        <w:rPr>
          <w:rFonts w:hint="eastAsia" w:ascii="Times New Roman" w:hAnsi="Times New Roman" w:eastAsia="仿宋_GB2312" w:cs="Times New Roman"/>
          <w:kern w:val="2"/>
          <w:sz w:val="32"/>
          <w:szCs w:val="32"/>
          <w:shd w:val="clear" w:color="auto" w:fill="FFFFFF"/>
          <w:lang w:eastAsia="zh-CN"/>
        </w:rPr>
        <w:t>机关纪委：主要履行对全院干警监督、党风党纪、工作作风进行监督职责。</w:t>
      </w:r>
    </w:p>
    <w:p>
      <w:pPr>
        <w:pStyle w:val="11"/>
        <w:keepNext w:val="0"/>
        <w:keepLines w:val="0"/>
        <w:pageBreakBefore w:val="0"/>
        <w:numPr>
          <w:ilvl w:val="0"/>
          <w:numId w:val="2"/>
        </w:numPr>
        <w:kinsoku/>
        <w:wordWrap/>
        <w:overflowPunct/>
        <w:topLinePunct w:val="0"/>
        <w:autoSpaceDE/>
        <w:autoSpaceDN/>
        <w:bidi w:val="0"/>
        <w:adjustRightInd/>
        <w:snapToGrid/>
        <w:spacing w:line="560" w:lineRule="exact"/>
        <w:ind w:firstLine="640" w:firstLineChars="200"/>
        <w:textAlignment w:val="auto"/>
        <w:rPr>
          <w:rFonts w:hint="eastAsia" w:ascii="方正楷体_GBK" w:eastAsia="方正楷体_GBK"/>
          <w:bCs/>
          <w:color w:val="000000"/>
          <w:kern w:val="0"/>
          <w:sz w:val="32"/>
          <w:szCs w:val="32"/>
          <w:highlight w:val="none"/>
          <w:shd w:val="clear" w:color="auto" w:fill="FFFFFF"/>
          <w:lang w:val="zh-CN" w:eastAsia="zh-CN"/>
        </w:rPr>
      </w:pPr>
      <w:r>
        <w:rPr>
          <w:rFonts w:hint="eastAsia" w:ascii="方正楷体_GBK" w:eastAsia="方正楷体_GBK"/>
          <w:bCs/>
          <w:color w:val="000000"/>
          <w:kern w:val="0"/>
          <w:sz w:val="32"/>
          <w:szCs w:val="32"/>
          <w:highlight w:val="none"/>
          <w:shd w:val="clear" w:color="auto" w:fill="FFFFFF"/>
          <w:lang w:val="zh-CN" w:eastAsia="zh-CN"/>
        </w:rPr>
        <w:t>机构职能。</w:t>
      </w:r>
    </w:p>
    <w:p>
      <w:pPr>
        <w:pStyle w:val="11"/>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shd w:val="clear" w:color="auto" w:fill="FFFFFF"/>
          <w:lang w:val="en-US" w:eastAsia="zh-CN" w:bidi="ar"/>
        </w:rPr>
      </w:pPr>
      <w:r>
        <w:rPr>
          <w:rFonts w:hint="eastAsia" w:ascii="仿宋_GB2312" w:hAnsi="仿宋_GB2312" w:eastAsia="仿宋_GB2312" w:cs="仿宋_GB2312"/>
          <w:kern w:val="0"/>
          <w:sz w:val="32"/>
          <w:szCs w:val="32"/>
          <w:shd w:val="clear" w:color="auto" w:fill="FFFFFF"/>
          <w:lang w:val="en-US" w:eastAsia="zh-CN" w:bidi="ar"/>
        </w:rPr>
        <w:t>平昌县人民检察院作为国家法律监督机关，通过行使刑事、民事、行政、公益诉讼国家检察权来实现机构职能。</w:t>
      </w:r>
    </w:p>
    <w:p>
      <w:pPr>
        <w:pStyle w:val="11"/>
        <w:keepNext w:val="0"/>
        <w:keepLines w:val="0"/>
        <w:pageBreakBefore w:val="0"/>
        <w:numPr>
          <w:ilvl w:val="0"/>
          <w:numId w:val="3"/>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shd w:val="clear" w:color="auto" w:fill="FFFFFF"/>
          <w:lang w:val="en-US" w:eastAsia="zh-CN" w:bidi="ar"/>
        </w:rPr>
      </w:pPr>
      <w:r>
        <w:rPr>
          <w:rFonts w:hint="eastAsia" w:ascii="仿宋_GB2312" w:hAnsi="仿宋_GB2312" w:eastAsia="仿宋_GB2312" w:cs="仿宋_GB2312"/>
          <w:kern w:val="0"/>
          <w:sz w:val="32"/>
          <w:szCs w:val="32"/>
          <w:shd w:val="clear" w:color="auto" w:fill="FFFFFF"/>
          <w:lang w:val="en-US" w:eastAsia="zh-CN" w:bidi="ar"/>
        </w:rPr>
        <w:t>依法对平昌县人民代表大会及其常委会负责并报告工作,接受平昌县人民代表大会及其常务委员会的监督,服从上级人民检察院的领导。</w:t>
      </w:r>
    </w:p>
    <w:p>
      <w:pPr>
        <w:pStyle w:val="11"/>
        <w:keepNext w:val="0"/>
        <w:keepLines w:val="0"/>
        <w:pageBreakBefore w:val="0"/>
        <w:numPr>
          <w:ilvl w:val="0"/>
          <w:numId w:val="3"/>
        </w:numPr>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kern w:val="0"/>
          <w:sz w:val="32"/>
          <w:szCs w:val="32"/>
          <w:shd w:val="clear" w:color="auto" w:fill="FFFFFF"/>
          <w:lang w:val="en-US" w:eastAsia="zh-CN" w:bidi="ar"/>
        </w:rPr>
      </w:pPr>
      <w:r>
        <w:rPr>
          <w:rFonts w:hint="eastAsia" w:ascii="仿宋_GB2312" w:hAnsi="仿宋_GB2312" w:eastAsia="仿宋_GB2312" w:cs="仿宋_GB2312"/>
          <w:kern w:val="0"/>
          <w:sz w:val="32"/>
          <w:szCs w:val="32"/>
          <w:shd w:val="clear" w:color="auto" w:fill="FFFFFF"/>
          <w:lang w:val="en-US" w:eastAsia="zh-CN" w:bidi="ar"/>
        </w:rPr>
        <w:t>对由平昌县人民检察院管辖的刑事案件依法审查批准逮捕、决定逮捕、提起公诉。</w:t>
      </w:r>
    </w:p>
    <w:p>
      <w:pPr>
        <w:pStyle w:val="11"/>
        <w:keepNext w:val="0"/>
        <w:keepLines w:val="0"/>
        <w:pageBreakBefore w:val="0"/>
        <w:numPr>
          <w:ilvl w:val="0"/>
          <w:numId w:val="3"/>
        </w:numPr>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kern w:val="0"/>
          <w:sz w:val="32"/>
          <w:szCs w:val="32"/>
          <w:shd w:val="clear" w:color="auto" w:fill="FFFFFF"/>
          <w:lang w:val="en-US" w:eastAsia="zh-CN" w:bidi="ar"/>
        </w:rPr>
      </w:pPr>
      <w:r>
        <w:rPr>
          <w:rFonts w:hint="eastAsia" w:ascii="仿宋_GB2312" w:hAnsi="仿宋_GB2312" w:eastAsia="仿宋_GB2312" w:cs="仿宋_GB2312"/>
          <w:kern w:val="0"/>
          <w:sz w:val="32"/>
          <w:szCs w:val="32"/>
          <w:shd w:val="clear" w:color="auto" w:fill="FFFFFF"/>
          <w:lang w:val="en-US" w:eastAsia="zh-CN" w:bidi="ar"/>
        </w:rPr>
        <w:t>负责对同级人民法院刑事、民事、行政诉讼活动及刑事、民事、行政判决和裁定等生效法律文书执行的法律监督工作</w:t>
      </w:r>
      <w:r>
        <w:rPr>
          <w:rFonts w:hint="default" w:ascii="仿宋_GB2312" w:hAnsi="仿宋_GB2312" w:eastAsia="仿宋_GB2312" w:cs="仿宋_GB2312"/>
          <w:kern w:val="0"/>
          <w:sz w:val="32"/>
          <w:szCs w:val="32"/>
          <w:shd w:val="clear" w:color="auto" w:fill="FFFFFF"/>
          <w:lang w:val="en-US" w:eastAsia="zh-CN" w:bidi="ar"/>
        </w:rPr>
        <w:t>。</w:t>
      </w:r>
    </w:p>
    <w:p>
      <w:pPr>
        <w:pStyle w:val="11"/>
        <w:keepNext w:val="0"/>
        <w:keepLines w:val="0"/>
        <w:pageBreakBefore w:val="0"/>
        <w:numPr>
          <w:ilvl w:val="0"/>
          <w:numId w:val="3"/>
        </w:numPr>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kern w:val="0"/>
          <w:sz w:val="32"/>
          <w:szCs w:val="32"/>
          <w:shd w:val="clear" w:color="auto" w:fill="FFFFFF"/>
          <w:lang w:val="en-US" w:eastAsia="zh-CN" w:bidi="ar"/>
        </w:rPr>
      </w:pPr>
      <w:r>
        <w:rPr>
          <w:rFonts w:hint="eastAsia" w:ascii="仿宋_GB2312" w:hAnsi="仿宋_GB2312" w:eastAsia="仿宋_GB2312" w:cs="仿宋_GB2312"/>
          <w:kern w:val="0"/>
          <w:sz w:val="32"/>
          <w:szCs w:val="32"/>
          <w:shd w:val="clear" w:color="auto" w:fill="FFFFFF"/>
          <w:lang w:val="en-US" w:eastAsia="zh-CN" w:bidi="ar"/>
        </w:rPr>
        <w:t>对于公安机关侦查，监督机关调查的案件进行审查，决定是否逮捕、起诉或者不予起诉。</w:t>
      </w:r>
    </w:p>
    <w:p>
      <w:pPr>
        <w:pStyle w:val="11"/>
        <w:keepNext w:val="0"/>
        <w:keepLines w:val="0"/>
        <w:pageBreakBefore w:val="0"/>
        <w:numPr>
          <w:ilvl w:val="0"/>
          <w:numId w:val="3"/>
        </w:numPr>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kern w:val="0"/>
          <w:sz w:val="32"/>
          <w:szCs w:val="32"/>
          <w:shd w:val="clear" w:color="auto" w:fill="FFFFFF"/>
          <w:lang w:val="en-US" w:eastAsia="zh-CN" w:bidi="ar"/>
        </w:rPr>
      </w:pPr>
      <w:r>
        <w:rPr>
          <w:rFonts w:hint="eastAsia" w:ascii="仿宋_GB2312" w:hAnsi="仿宋_GB2312" w:eastAsia="仿宋_GB2312" w:cs="仿宋_GB2312"/>
          <w:kern w:val="0"/>
          <w:sz w:val="32"/>
          <w:szCs w:val="32"/>
          <w:shd w:val="clear" w:color="auto" w:fill="FFFFFF"/>
          <w:lang w:val="en-US" w:eastAsia="zh-CN" w:bidi="ar"/>
        </w:rPr>
        <w:t>依法对侦查机关、刑罚执行机关和看守所的执法活动实施法律监督。</w:t>
      </w:r>
    </w:p>
    <w:p>
      <w:pPr>
        <w:pStyle w:val="11"/>
        <w:keepNext w:val="0"/>
        <w:keepLines w:val="0"/>
        <w:pageBreakBefore w:val="0"/>
        <w:numPr>
          <w:ilvl w:val="0"/>
          <w:numId w:val="3"/>
        </w:numPr>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kern w:val="0"/>
          <w:sz w:val="32"/>
          <w:szCs w:val="32"/>
          <w:shd w:val="clear" w:color="auto" w:fill="FFFFFF"/>
          <w:lang w:val="en-US" w:eastAsia="zh-CN" w:bidi="ar"/>
        </w:rPr>
      </w:pPr>
      <w:r>
        <w:rPr>
          <w:rFonts w:hint="eastAsia" w:ascii="仿宋_GB2312" w:hAnsi="仿宋_GB2312" w:eastAsia="仿宋_GB2312" w:cs="仿宋_GB2312"/>
          <w:kern w:val="0"/>
          <w:sz w:val="32"/>
          <w:szCs w:val="32"/>
          <w:shd w:val="clear" w:color="auto" w:fill="FFFFFF"/>
          <w:lang w:val="en-US" w:eastAsia="zh-CN" w:bidi="ar"/>
        </w:rPr>
        <w:t>依法受理向平昌县人民检察院的控告申诉。</w:t>
      </w:r>
    </w:p>
    <w:p>
      <w:pPr>
        <w:pStyle w:val="11"/>
        <w:keepNext w:val="0"/>
        <w:keepLines w:val="0"/>
        <w:pageBreakBefore w:val="0"/>
        <w:numPr>
          <w:ilvl w:val="0"/>
          <w:numId w:val="3"/>
        </w:numPr>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kern w:val="0"/>
          <w:sz w:val="32"/>
          <w:szCs w:val="32"/>
          <w:shd w:val="clear" w:color="auto" w:fill="FFFFFF"/>
          <w:lang w:val="en-US" w:eastAsia="zh-CN" w:bidi="ar"/>
        </w:rPr>
      </w:pPr>
      <w:r>
        <w:rPr>
          <w:rFonts w:hint="eastAsia" w:ascii="仿宋_GB2312" w:hAnsi="仿宋_GB2312" w:eastAsia="仿宋_GB2312" w:cs="仿宋_GB2312"/>
          <w:kern w:val="0"/>
          <w:sz w:val="32"/>
          <w:szCs w:val="32"/>
          <w:shd w:val="clear" w:color="auto" w:fill="FFFFFF"/>
          <w:lang w:val="en-US" w:eastAsia="zh-CN" w:bidi="ar"/>
        </w:rPr>
        <w:t>对检察工作中具体应用法律进行调研，积极参与社会治安综合治理，搞好信息反馈及法治宣传，为上级检察机关和地方党委政府正确决策提供依据</w:t>
      </w:r>
      <w:r>
        <w:rPr>
          <w:rFonts w:hint="default" w:ascii="仿宋_GB2312" w:hAnsi="仿宋_GB2312" w:eastAsia="仿宋_GB2312" w:cs="仿宋_GB2312"/>
          <w:kern w:val="0"/>
          <w:sz w:val="32"/>
          <w:szCs w:val="32"/>
          <w:shd w:val="clear" w:color="auto" w:fill="FFFFFF"/>
          <w:lang w:val="en-US" w:eastAsia="zh-CN" w:bidi="ar"/>
        </w:rPr>
        <w:t>。</w:t>
      </w:r>
    </w:p>
    <w:p>
      <w:pPr>
        <w:pStyle w:val="11"/>
        <w:keepNext w:val="0"/>
        <w:keepLines w:val="0"/>
        <w:pageBreakBefore w:val="0"/>
        <w:numPr>
          <w:ilvl w:val="0"/>
          <w:numId w:val="3"/>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b/>
          <w:bCs/>
          <w:color w:val="000000"/>
          <w:kern w:val="0"/>
          <w:sz w:val="32"/>
          <w:szCs w:val="32"/>
          <w:highlight w:val="none"/>
          <w:shd w:val="clear" w:color="auto" w:fill="FFFFFF"/>
          <w:lang w:val="zh-CN" w:eastAsia="zh-CN"/>
        </w:rPr>
      </w:pPr>
      <w:r>
        <w:rPr>
          <w:rFonts w:hint="default" w:ascii="仿宋_GB2312" w:hAnsi="仿宋_GB2312" w:eastAsia="仿宋_GB2312" w:cs="仿宋_GB2312"/>
          <w:kern w:val="0"/>
          <w:sz w:val="32"/>
          <w:szCs w:val="32"/>
          <w:shd w:val="clear" w:color="auto" w:fill="FFFFFF"/>
          <w:lang w:val="en-US" w:eastAsia="zh-CN" w:bidi="ar"/>
        </w:rPr>
        <w:t>办理</w:t>
      </w:r>
      <w:r>
        <w:rPr>
          <w:rFonts w:hint="eastAsia" w:ascii="仿宋_GB2312" w:hAnsi="仿宋_GB2312" w:eastAsia="仿宋_GB2312" w:cs="仿宋_GB2312"/>
          <w:kern w:val="0"/>
          <w:sz w:val="32"/>
          <w:szCs w:val="32"/>
          <w:shd w:val="clear" w:color="auto" w:fill="FFFFFF"/>
          <w:lang w:val="en-US" w:eastAsia="zh-CN" w:bidi="ar"/>
        </w:rPr>
        <w:t>党委政府和</w:t>
      </w:r>
      <w:r>
        <w:rPr>
          <w:rFonts w:hint="default" w:ascii="仿宋_GB2312" w:hAnsi="仿宋_GB2312" w:eastAsia="仿宋_GB2312" w:cs="仿宋_GB2312"/>
          <w:kern w:val="0"/>
          <w:sz w:val="32"/>
          <w:szCs w:val="32"/>
          <w:shd w:val="clear" w:color="auto" w:fill="FFFFFF"/>
          <w:lang w:val="en-US" w:eastAsia="zh-CN" w:bidi="ar"/>
        </w:rPr>
        <w:t>上级检察机关交办的事项</w:t>
      </w:r>
      <w:r>
        <w:rPr>
          <w:rFonts w:hint="eastAsia" w:ascii="仿宋_GB2312" w:hAnsi="仿宋_GB2312" w:eastAsia="仿宋_GB2312" w:cs="仿宋_GB2312"/>
          <w:kern w:val="0"/>
          <w:sz w:val="32"/>
          <w:szCs w:val="32"/>
          <w:shd w:val="clear" w:color="auto" w:fill="FFFFFF"/>
          <w:lang w:val="en-US" w:eastAsia="zh-CN" w:bidi="ar"/>
        </w:rPr>
        <w:t>等</w:t>
      </w:r>
      <w:r>
        <w:rPr>
          <w:rFonts w:hint="default" w:ascii="仿宋_GB2312" w:hAnsi="仿宋_GB2312" w:eastAsia="仿宋_GB2312" w:cs="仿宋_GB2312"/>
          <w:kern w:val="0"/>
          <w:sz w:val="32"/>
          <w:szCs w:val="32"/>
          <w:shd w:val="clear" w:color="auto" w:fill="FFFFFF"/>
          <w:lang w:val="en-US" w:eastAsia="zh-CN" w:bidi="ar"/>
        </w:rPr>
        <w:t>。</w:t>
      </w:r>
    </w:p>
    <w:p>
      <w:pPr>
        <w:pStyle w:val="11"/>
        <w:keepNext w:val="0"/>
        <w:keepLines w:val="0"/>
        <w:pageBreakBefore w:val="0"/>
        <w:numPr>
          <w:ilvl w:val="0"/>
          <w:numId w:val="2"/>
        </w:numPr>
        <w:kinsoku/>
        <w:wordWrap/>
        <w:overflowPunct/>
        <w:topLinePunct w:val="0"/>
        <w:autoSpaceDE/>
        <w:autoSpaceDN/>
        <w:bidi w:val="0"/>
        <w:adjustRightInd/>
        <w:snapToGrid/>
        <w:spacing w:line="560" w:lineRule="exact"/>
        <w:ind w:left="0" w:leftChars="0" w:firstLine="640" w:firstLineChars="200"/>
        <w:textAlignment w:val="auto"/>
        <w:rPr>
          <w:rFonts w:hint="eastAsia" w:ascii="方正楷体_GBK" w:eastAsia="方正楷体_GBK"/>
          <w:bCs/>
          <w:color w:val="000000"/>
          <w:kern w:val="0"/>
          <w:sz w:val="32"/>
          <w:szCs w:val="32"/>
          <w:highlight w:val="none"/>
          <w:shd w:val="clear" w:color="auto" w:fill="FFFFFF"/>
          <w:lang w:val="zh-CN" w:eastAsia="zh-CN"/>
        </w:rPr>
      </w:pPr>
      <w:r>
        <w:rPr>
          <w:rFonts w:hint="eastAsia" w:ascii="方正楷体_GBK" w:eastAsia="方正楷体_GBK"/>
          <w:bCs/>
          <w:color w:val="000000"/>
          <w:kern w:val="0"/>
          <w:sz w:val="32"/>
          <w:szCs w:val="32"/>
          <w:highlight w:val="none"/>
          <w:shd w:val="clear" w:color="auto" w:fill="FFFFFF"/>
          <w:lang w:val="zh-CN" w:eastAsia="zh-CN"/>
        </w:rPr>
        <w:t>人员概况。</w:t>
      </w:r>
    </w:p>
    <w:p>
      <w:pPr>
        <w:adjustRightInd w:val="0"/>
        <w:snapToGrid w:val="0"/>
        <w:spacing w:line="560" w:lineRule="exact"/>
        <w:ind w:firstLine="720"/>
        <w:rPr>
          <w:rFonts w:hint="default" w:ascii="仿宋_GB2312" w:eastAsia="仿宋_GB2312" w:cs="Times New Roman"/>
          <w:color w:val="000000"/>
          <w:sz w:val="32"/>
          <w:szCs w:val="32"/>
          <w:lang w:val="en-US" w:eastAsia="zh-CN"/>
        </w:rPr>
      </w:pPr>
      <w:r>
        <w:rPr>
          <w:rFonts w:hint="default" w:ascii="仿宋_GB2312" w:eastAsia="仿宋_GB2312" w:cs="Times New Roman"/>
          <w:color w:val="000000"/>
          <w:sz w:val="32"/>
          <w:szCs w:val="32"/>
          <w:lang w:val="en-US" w:eastAsia="zh-CN"/>
        </w:rPr>
        <w:t>截至202</w:t>
      </w:r>
      <w:r>
        <w:rPr>
          <w:rFonts w:hint="eastAsia" w:ascii="仿宋_GB2312" w:eastAsia="仿宋_GB2312" w:cs="Times New Roman"/>
          <w:color w:val="000000"/>
          <w:sz w:val="32"/>
          <w:szCs w:val="32"/>
          <w:lang w:val="en-US" w:eastAsia="zh-CN"/>
        </w:rPr>
        <w:t>5</w:t>
      </w:r>
      <w:r>
        <w:rPr>
          <w:rFonts w:hint="default" w:ascii="仿宋_GB2312" w:eastAsia="仿宋_GB2312" w:cs="Times New Roman"/>
          <w:color w:val="000000"/>
          <w:sz w:val="32"/>
          <w:szCs w:val="32"/>
          <w:lang w:val="en-US" w:eastAsia="zh-CN"/>
        </w:rPr>
        <w:t>年末</w:t>
      </w:r>
      <w:r>
        <w:rPr>
          <w:rFonts w:hint="eastAsia" w:ascii="仿宋_GB2312" w:eastAsia="仿宋_GB2312" w:cs="Times New Roman"/>
          <w:color w:val="000000"/>
          <w:sz w:val="32"/>
          <w:szCs w:val="32"/>
          <w:lang w:val="en-US" w:eastAsia="zh-CN"/>
        </w:rPr>
        <w:t>，</w:t>
      </w:r>
      <w:r>
        <w:rPr>
          <w:rFonts w:hint="default" w:ascii="仿宋_GB2312" w:eastAsia="仿宋_GB2312" w:cs="Times New Roman"/>
          <w:color w:val="000000"/>
          <w:sz w:val="32"/>
          <w:szCs w:val="32"/>
          <w:lang w:val="en-US" w:eastAsia="zh-CN"/>
        </w:rPr>
        <w:t>平昌县人民检察院</w:t>
      </w:r>
      <w:r>
        <w:rPr>
          <w:rFonts w:hint="eastAsia" w:ascii="仿宋_GB2312" w:eastAsia="仿宋_GB2312" w:cs="Times New Roman"/>
          <w:color w:val="000000"/>
          <w:sz w:val="32"/>
          <w:szCs w:val="32"/>
          <w:lang w:val="en-US" w:eastAsia="zh-CN"/>
        </w:rPr>
        <w:t>核定编制数68</w:t>
      </w:r>
      <w:r>
        <w:rPr>
          <w:rFonts w:hint="default" w:ascii="仿宋_GB2312" w:eastAsia="仿宋_GB2312" w:cs="Times New Roman"/>
          <w:color w:val="000000"/>
          <w:sz w:val="32"/>
          <w:szCs w:val="32"/>
          <w:lang w:val="en-US" w:eastAsia="zh-CN"/>
        </w:rPr>
        <w:t>人</w:t>
      </w:r>
      <w:r>
        <w:rPr>
          <w:rFonts w:hint="eastAsia" w:ascii="仿宋_GB2312" w:eastAsia="仿宋_GB2312" w:cs="Times New Roman"/>
          <w:color w:val="000000"/>
          <w:sz w:val="32"/>
          <w:szCs w:val="32"/>
          <w:lang w:val="en-US" w:eastAsia="zh-CN"/>
        </w:rPr>
        <w:t>，其</w:t>
      </w:r>
      <w:r>
        <w:rPr>
          <w:rFonts w:hint="default" w:ascii="仿宋_GB2312" w:eastAsia="仿宋_GB2312" w:cs="Times New Roman"/>
          <w:color w:val="000000"/>
          <w:sz w:val="32"/>
          <w:szCs w:val="32"/>
          <w:lang w:val="en-US" w:eastAsia="zh-CN"/>
        </w:rPr>
        <w:t>中</w:t>
      </w:r>
      <w:r>
        <w:rPr>
          <w:rFonts w:hint="eastAsia" w:ascii="仿宋_GB2312" w:eastAsia="仿宋_GB2312" w:cs="Times New Roman"/>
          <w:color w:val="000000"/>
          <w:sz w:val="32"/>
          <w:szCs w:val="32"/>
          <w:lang w:val="en-US" w:eastAsia="zh-CN"/>
        </w:rPr>
        <w:t>：</w:t>
      </w:r>
      <w:r>
        <w:rPr>
          <w:rFonts w:hint="default" w:ascii="仿宋_GB2312" w:eastAsia="仿宋_GB2312" w:cs="Times New Roman"/>
          <w:color w:val="000000"/>
          <w:sz w:val="32"/>
          <w:szCs w:val="32"/>
          <w:lang w:val="en-US" w:eastAsia="zh-CN"/>
        </w:rPr>
        <w:t>政法专编</w:t>
      </w:r>
      <w:r>
        <w:rPr>
          <w:rFonts w:hint="eastAsia" w:ascii="仿宋_GB2312" w:eastAsia="仿宋_GB2312" w:cs="Times New Roman"/>
          <w:color w:val="000000"/>
          <w:sz w:val="32"/>
          <w:szCs w:val="32"/>
          <w:lang w:val="en-US" w:eastAsia="zh-CN"/>
        </w:rPr>
        <w:t>54</w:t>
      </w:r>
      <w:r>
        <w:rPr>
          <w:rFonts w:hint="default" w:ascii="仿宋_GB2312" w:eastAsia="仿宋_GB2312" w:cs="Times New Roman"/>
          <w:color w:val="000000"/>
          <w:sz w:val="32"/>
          <w:szCs w:val="32"/>
          <w:lang w:val="en-US" w:eastAsia="zh-CN"/>
        </w:rPr>
        <w:t>人</w:t>
      </w:r>
      <w:r>
        <w:rPr>
          <w:rFonts w:hint="eastAsia" w:ascii="仿宋_GB2312" w:eastAsia="仿宋_GB2312" w:cs="Times New Roman"/>
          <w:color w:val="000000"/>
          <w:sz w:val="32"/>
          <w:szCs w:val="32"/>
          <w:lang w:val="en-US" w:eastAsia="zh-CN"/>
        </w:rPr>
        <w:t>、</w:t>
      </w:r>
      <w:r>
        <w:rPr>
          <w:rFonts w:hint="default" w:ascii="仿宋_GB2312" w:eastAsia="仿宋_GB2312" w:cs="Times New Roman"/>
          <w:color w:val="000000"/>
          <w:sz w:val="32"/>
          <w:szCs w:val="32"/>
          <w:lang w:val="en-US" w:eastAsia="zh-CN"/>
        </w:rPr>
        <w:t>工勤编</w:t>
      </w:r>
      <w:r>
        <w:rPr>
          <w:rFonts w:hint="eastAsia" w:ascii="仿宋_GB2312" w:eastAsia="仿宋_GB2312" w:cs="Times New Roman"/>
          <w:color w:val="000000"/>
          <w:sz w:val="32"/>
          <w:szCs w:val="32"/>
          <w:lang w:val="en-US" w:eastAsia="zh-CN"/>
        </w:rPr>
        <w:t>9</w:t>
      </w:r>
      <w:r>
        <w:rPr>
          <w:rFonts w:hint="default" w:ascii="仿宋_GB2312" w:eastAsia="仿宋_GB2312" w:cs="Times New Roman"/>
          <w:color w:val="000000"/>
          <w:sz w:val="32"/>
          <w:szCs w:val="32"/>
          <w:lang w:val="en-US" w:eastAsia="zh-CN"/>
        </w:rPr>
        <w:t>人</w:t>
      </w:r>
      <w:r>
        <w:rPr>
          <w:rFonts w:hint="eastAsia" w:ascii="仿宋_GB2312" w:eastAsia="仿宋_GB2312" w:cs="Times New Roman"/>
          <w:color w:val="000000"/>
          <w:sz w:val="32"/>
          <w:szCs w:val="32"/>
          <w:lang w:val="en-US" w:eastAsia="zh-CN"/>
        </w:rPr>
        <w:t>、</w:t>
      </w:r>
      <w:r>
        <w:rPr>
          <w:rFonts w:hint="default" w:ascii="仿宋_GB2312" w:eastAsia="仿宋_GB2312" w:cs="Times New Roman"/>
          <w:color w:val="000000"/>
          <w:sz w:val="32"/>
          <w:szCs w:val="32"/>
          <w:lang w:val="en-US" w:eastAsia="zh-CN"/>
        </w:rPr>
        <w:t>事业编制</w:t>
      </w:r>
      <w:r>
        <w:rPr>
          <w:rFonts w:hint="eastAsia" w:ascii="仿宋_GB2312" w:eastAsia="仿宋_GB2312" w:cs="Times New Roman"/>
          <w:color w:val="000000"/>
          <w:sz w:val="32"/>
          <w:szCs w:val="32"/>
          <w:lang w:val="en-US" w:eastAsia="zh-CN"/>
        </w:rPr>
        <w:t>3</w:t>
      </w:r>
      <w:r>
        <w:rPr>
          <w:rFonts w:hint="default" w:ascii="仿宋_GB2312" w:eastAsia="仿宋_GB2312" w:cs="Times New Roman"/>
          <w:color w:val="000000"/>
          <w:sz w:val="32"/>
          <w:szCs w:val="32"/>
          <w:lang w:val="en-US" w:eastAsia="zh-CN"/>
        </w:rPr>
        <w:t>人</w:t>
      </w:r>
      <w:r>
        <w:rPr>
          <w:rFonts w:hint="eastAsia" w:ascii="仿宋_GB2312" w:eastAsia="仿宋_GB2312" w:cs="Times New Roman"/>
          <w:color w:val="000000"/>
          <w:sz w:val="32"/>
          <w:szCs w:val="32"/>
          <w:lang w:val="en-US" w:eastAsia="zh-CN"/>
        </w:rPr>
        <w:t>。</w:t>
      </w:r>
      <w:r>
        <w:rPr>
          <w:rFonts w:hint="default" w:ascii="仿宋_GB2312" w:eastAsia="仿宋_GB2312" w:cs="Times New Roman"/>
          <w:color w:val="000000"/>
          <w:sz w:val="32"/>
          <w:szCs w:val="32"/>
          <w:lang w:val="en-US" w:eastAsia="zh-CN"/>
        </w:rPr>
        <w:t>截至20</w:t>
      </w:r>
      <w:r>
        <w:rPr>
          <w:rFonts w:hint="eastAsia" w:ascii="仿宋_GB2312" w:eastAsia="仿宋_GB2312" w:cs="Times New Roman"/>
          <w:color w:val="000000"/>
          <w:sz w:val="32"/>
          <w:szCs w:val="32"/>
          <w:lang w:val="en-US" w:eastAsia="zh-CN"/>
        </w:rPr>
        <w:t>25</w:t>
      </w:r>
      <w:r>
        <w:rPr>
          <w:rFonts w:hint="default" w:ascii="仿宋_GB2312" w:eastAsia="仿宋_GB2312" w:cs="Times New Roman"/>
          <w:color w:val="000000"/>
          <w:sz w:val="32"/>
          <w:szCs w:val="32"/>
          <w:lang w:val="en-US" w:eastAsia="zh-CN"/>
        </w:rPr>
        <w:t>年末</w:t>
      </w:r>
      <w:r>
        <w:rPr>
          <w:rFonts w:hint="eastAsia" w:ascii="仿宋_GB2312" w:eastAsia="仿宋_GB2312" w:cs="Times New Roman"/>
          <w:color w:val="000000"/>
          <w:sz w:val="32"/>
          <w:szCs w:val="32"/>
          <w:lang w:val="en-US" w:eastAsia="zh-CN"/>
        </w:rPr>
        <w:t>实有人数84人，</w:t>
      </w:r>
      <w:r>
        <w:rPr>
          <w:rFonts w:hint="default" w:ascii="仿宋_GB2312" w:eastAsia="仿宋_GB2312" w:cs="Times New Roman"/>
          <w:color w:val="000000"/>
          <w:sz w:val="32"/>
          <w:szCs w:val="32"/>
          <w:lang w:val="en-US" w:eastAsia="zh-CN"/>
        </w:rPr>
        <w:t>其中：政法专编</w:t>
      </w:r>
      <w:r>
        <w:rPr>
          <w:rFonts w:hint="eastAsia" w:ascii="仿宋_GB2312" w:eastAsia="仿宋_GB2312" w:cs="Times New Roman"/>
          <w:color w:val="000000"/>
          <w:sz w:val="32"/>
          <w:szCs w:val="32"/>
          <w:lang w:val="en-US" w:eastAsia="zh-CN"/>
        </w:rPr>
        <w:t>48人、</w:t>
      </w:r>
      <w:r>
        <w:rPr>
          <w:rFonts w:hint="default" w:ascii="仿宋_GB2312" w:eastAsia="仿宋_GB2312" w:cs="Times New Roman"/>
          <w:color w:val="000000"/>
          <w:sz w:val="32"/>
          <w:szCs w:val="32"/>
          <w:lang w:val="en-US" w:eastAsia="zh-CN"/>
        </w:rPr>
        <w:t>工勤编</w:t>
      </w:r>
      <w:r>
        <w:rPr>
          <w:rFonts w:hint="eastAsia" w:ascii="仿宋_GB2312" w:eastAsia="仿宋_GB2312" w:cs="Times New Roman"/>
          <w:color w:val="000000"/>
          <w:sz w:val="32"/>
          <w:szCs w:val="32"/>
          <w:lang w:val="en-US" w:eastAsia="zh-CN"/>
        </w:rPr>
        <w:t>7人、</w:t>
      </w:r>
      <w:r>
        <w:rPr>
          <w:rFonts w:hint="default" w:ascii="仿宋_GB2312" w:eastAsia="仿宋_GB2312" w:cs="Times New Roman"/>
          <w:color w:val="000000"/>
          <w:sz w:val="32"/>
          <w:szCs w:val="32"/>
          <w:lang w:val="en-US" w:eastAsia="zh-CN"/>
        </w:rPr>
        <w:t>事业编制</w:t>
      </w:r>
      <w:r>
        <w:rPr>
          <w:rFonts w:hint="eastAsia" w:ascii="仿宋_GB2312" w:eastAsia="仿宋_GB2312" w:cs="Times New Roman"/>
          <w:color w:val="000000"/>
          <w:sz w:val="32"/>
          <w:szCs w:val="32"/>
          <w:lang w:val="en-US" w:eastAsia="zh-CN"/>
        </w:rPr>
        <w:t>2人；聘用制书记员及辅警27人</w:t>
      </w:r>
      <w:r>
        <w:rPr>
          <w:rFonts w:hint="default" w:ascii="仿宋_GB2312" w:eastAsia="仿宋_GB2312" w:cs="Times New Roman"/>
          <w:color w:val="000000"/>
          <w:sz w:val="32"/>
          <w:szCs w:val="32"/>
          <w:lang w:val="en-US" w:eastAsia="zh-CN"/>
        </w:rPr>
        <w:t>。</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eastAsia" w:ascii="方正黑体_GBK" w:eastAsia="方正黑体_GBK"/>
          <w:color w:val="000000"/>
          <w:kern w:val="0"/>
          <w:sz w:val="32"/>
          <w:szCs w:val="32"/>
          <w:highlight w:val="none"/>
          <w:shd w:val="clear" w:color="auto" w:fill="FFFFFF"/>
        </w:rPr>
      </w:pPr>
      <w:r>
        <w:rPr>
          <w:rFonts w:hint="eastAsia" w:ascii="方正黑体_GBK" w:eastAsia="方正黑体_GBK"/>
          <w:color w:val="000000"/>
          <w:kern w:val="0"/>
          <w:sz w:val="32"/>
          <w:szCs w:val="32"/>
          <w:highlight w:val="none"/>
          <w:shd w:val="clear" w:color="auto" w:fill="FFFFFF"/>
        </w:rPr>
        <w:t>二、</w:t>
      </w:r>
      <w:r>
        <w:rPr>
          <w:rFonts w:hint="eastAsia" w:ascii="方正黑体_GBK" w:eastAsia="方正黑体_GBK"/>
          <w:color w:val="000000"/>
          <w:kern w:val="0"/>
          <w:sz w:val="32"/>
          <w:szCs w:val="32"/>
          <w:highlight w:val="none"/>
          <w:shd w:val="clear" w:color="auto" w:fill="FFFFFF"/>
          <w:lang w:eastAsia="zh-CN"/>
        </w:rPr>
        <w:t>部门</w:t>
      </w:r>
      <w:r>
        <w:rPr>
          <w:rFonts w:hint="eastAsia" w:ascii="方正黑体_GBK" w:eastAsia="方正黑体_GBK"/>
          <w:color w:val="000000"/>
          <w:kern w:val="0"/>
          <w:sz w:val="32"/>
          <w:szCs w:val="32"/>
          <w:highlight w:val="none"/>
          <w:shd w:val="clear" w:color="auto" w:fill="FFFFFF"/>
        </w:rPr>
        <w:t>资金收支情况</w:t>
      </w:r>
    </w:p>
    <w:p>
      <w:pPr>
        <w:adjustRightInd w:val="0"/>
        <w:snapToGrid w:val="0"/>
        <w:spacing w:line="560" w:lineRule="exact"/>
        <w:ind w:firstLine="720"/>
        <w:rPr>
          <w:rFonts w:hint="eastAsia" w:ascii="方正楷体_GBK" w:eastAsia="方正楷体_GBK"/>
          <w:bCs/>
          <w:color w:val="000000"/>
          <w:kern w:val="0"/>
          <w:sz w:val="32"/>
          <w:szCs w:val="32"/>
          <w:highlight w:val="none"/>
          <w:shd w:val="clear" w:color="auto" w:fill="FFFFFF"/>
          <w:lang w:val="zh-CN" w:eastAsia="zh-CN"/>
        </w:rPr>
      </w:pPr>
      <w:r>
        <w:rPr>
          <w:rFonts w:hint="eastAsia" w:ascii="方正楷体_GBK" w:eastAsia="方正楷体_GBK"/>
          <w:bCs/>
          <w:color w:val="000000"/>
          <w:kern w:val="0"/>
          <w:sz w:val="32"/>
          <w:szCs w:val="32"/>
          <w:highlight w:val="none"/>
          <w:shd w:val="clear" w:color="auto" w:fill="FFFFFF"/>
          <w:lang w:val="zh-CN" w:eastAsia="zh-CN"/>
        </w:rPr>
        <w:t>（一）收入情况。</w:t>
      </w:r>
    </w:p>
    <w:p>
      <w:pPr>
        <w:adjustRightInd w:val="0"/>
        <w:snapToGrid w:val="0"/>
        <w:spacing w:line="560" w:lineRule="exact"/>
        <w:ind w:firstLine="720"/>
        <w:rPr>
          <w:rFonts w:hint="default" w:ascii="仿宋_GB2312" w:eastAsia="仿宋_GB2312" w:cs="Times New Roman"/>
          <w:color w:val="000000"/>
          <w:sz w:val="32"/>
          <w:szCs w:val="32"/>
          <w:lang w:val="en-US" w:eastAsia="en-US"/>
        </w:rPr>
      </w:pPr>
      <w:r>
        <w:rPr>
          <w:rFonts w:hint="eastAsia" w:ascii="仿宋_GB2312" w:eastAsia="仿宋_GB2312" w:cs="Times New Roman"/>
          <w:color w:val="000000"/>
          <w:sz w:val="32"/>
          <w:szCs w:val="32"/>
          <w:lang w:val="en-US" w:eastAsia="zh-CN"/>
        </w:rPr>
        <w:t>平昌县人民检察院</w:t>
      </w:r>
      <w:r>
        <w:rPr>
          <w:rFonts w:hint="default" w:ascii="Times New Roman" w:hAnsi="Times New Roman" w:eastAsia="仿宋_GB2312" w:cs="Times New Roman"/>
          <w:sz w:val="32"/>
          <w:szCs w:val="32"/>
          <w:lang w:val="en-US" w:eastAsia="zh-CN"/>
        </w:rPr>
        <w:t>202</w:t>
      </w:r>
      <w:r>
        <w:rPr>
          <w:rFonts w:hint="eastAsia"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lang w:val="en-US" w:eastAsia="zh-CN"/>
        </w:rPr>
        <w:t>年度</w:t>
      </w:r>
      <w:r>
        <w:rPr>
          <w:rFonts w:hint="eastAsia" w:ascii="Times New Roman" w:hAnsi="Times New Roman" w:eastAsia="仿宋_GB2312" w:cs="Times New Roman"/>
          <w:sz w:val="32"/>
          <w:szCs w:val="32"/>
          <w:lang w:val="en-US" w:eastAsia="zh-CN"/>
        </w:rPr>
        <w:t>年初预算</w:t>
      </w:r>
      <w:r>
        <w:rPr>
          <w:rFonts w:hint="default" w:ascii="Times New Roman" w:hAnsi="Times New Roman" w:eastAsia="仿宋_GB2312" w:cs="Times New Roman"/>
          <w:sz w:val="32"/>
          <w:szCs w:val="32"/>
          <w:lang w:val="en-US" w:eastAsia="zh-CN"/>
        </w:rPr>
        <w:t>收入</w:t>
      </w:r>
      <w:r>
        <w:rPr>
          <w:rFonts w:hint="eastAsia" w:ascii="仿宋_GB2312" w:hAnsi="仿宋" w:eastAsia="仿宋_GB2312"/>
          <w:sz w:val="32"/>
          <w:szCs w:val="32"/>
          <w:lang w:val="en-US" w:eastAsia="zh-CN"/>
        </w:rPr>
        <w:t>1373.26万元</w:t>
      </w:r>
      <w:r>
        <w:rPr>
          <w:rFonts w:hint="eastAsia" w:ascii="Times New Roman" w:hAnsi="Times New Roman" w:eastAsia="仿宋_GB2312" w:cs="Times New Roman"/>
          <w:sz w:val="32"/>
          <w:szCs w:val="32"/>
          <w:lang w:val="en-US" w:eastAsia="zh-CN"/>
        </w:rPr>
        <w:t>，</w:t>
      </w:r>
      <w:r>
        <w:rPr>
          <w:rFonts w:hint="default" w:ascii="仿宋_GB2312" w:eastAsia="仿宋_GB2312" w:cs="Times New Roman"/>
          <w:color w:val="000000"/>
          <w:sz w:val="32"/>
          <w:szCs w:val="32"/>
          <w:lang w:val="en-US" w:eastAsia="zh-CN"/>
        </w:rPr>
        <w:t>决算报表收入</w:t>
      </w:r>
      <w:r>
        <w:rPr>
          <w:rFonts w:hint="eastAsia" w:ascii="仿宋_GB2312" w:eastAsia="仿宋_GB2312" w:cs="Times New Roman"/>
          <w:color w:val="000000"/>
          <w:sz w:val="32"/>
          <w:szCs w:val="32"/>
          <w:lang w:val="en-US" w:eastAsia="zh-CN"/>
        </w:rPr>
        <w:t>1698.23万元。</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default" w:ascii="Times New Roman" w:hAnsi="Times New Roman" w:eastAsia="方正仿宋_GBK"/>
          <w:sz w:val="32"/>
          <w:szCs w:val="32"/>
          <w:lang w:val="en-US" w:eastAsia="zh-CN"/>
        </w:rPr>
      </w:pPr>
      <w:r>
        <w:rPr>
          <w:rFonts w:hint="eastAsia" w:ascii="方正楷体_GBK" w:eastAsia="方正楷体_GBK"/>
          <w:bCs/>
          <w:color w:val="000000"/>
          <w:kern w:val="0"/>
          <w:sz w:val="32"/>
          <w:szCs w:val="32"/>
          <w:highlight w:val="none"/>
          <w:shd w:val="clear" w:color="auto" w:fill="FFFFFF"/>
          <w:lang w:val="zh-CN" w:eastAsia="zh-CN"/>
        </w:rPr>
        <w:t>（二）支出情况。</w:t>
      </w:r>
    </w:p>
    <w:p>
      <w:pPr>
        <w:snapToGrid w:val="0"/>
        <w:spacing w:line="520" w:lineRule="exact"/>
        <w:ind w:firstLine="640" w:firstLineChars="200"/>
        <w:rPr>
          <w:rFonts w:hint="eastAsia" w:eastAsia="仿宋_GB2312"/>
          <w:lang w:val="zh-CN" w:eastAsia="zh-CN"/>
        </w:rPr>
      </w:pPr>
      <w:r>
        <w:rPr>
          <w:rFonts w:hint="eastAsia" w:ascii="仿宋_GB2312" w:hAnsi="仿宋" w:eastAsia="仿宋_GB2312"/>
          <w:sz w:val="32"/>
          <w:szCs w:val="32"/>
          <w:lang w:val="en-US" w:eastAsia="zh-CN"/>
        </w:rPr>
        <w:t>平昌县人民检察院2025年年初预算支出1373.26万元，决算报表支出</w:t>
      </w:r>
      <w:r>
        <w:rPr>
          <w:rFonts w:hint="eastAsia" w:ascii="仿宋_GB2312" w:hAnsi="仿宋" w:eastAsia="仿宋_GB2312" w:cs="Times New Roman"/>
          <w:sz w:val="32"/>
          <w:szCs w:val="32"/>
          <w:lang w:val="en-US" w:eastAsia="zh-CN"/>
        </w:rPr>
        <w:t>1698.23</w:t>
      </w:r>
      <w:r>
        <w:rPr>
          <w:rFonts w:hint="eastAsia" w:ascii="仿宋_GB2312" w:hAnsi="仿宋" w:eastAsia="仿宋_GB2312"/>
          <w:sz w:val="32"/>
          <w:szCs w:val="32"/>
          <w:lang w:val="en-US" w:eastAsia="zh-CN"/>
        </w:rPr>
        <w:t>万元：</w:t>
      </w:r>
      <w:r>
        <w:rPr>
          <w:rFonts w:hint="eastAsia" w:ascii="仿宋_GB2312" w:hAnsi="仿宋" w:eastAsia="仿宋_GB2312"/>
          <w:sz w:val="32"/>
          <w:szCs w:val="32"/>
          <w:highlight w:val="none"/>
          <w:lang w:val="en-US" w:eastAsia="zh-CN"/>
        </w:rPr>
        <w:t>其中基本支出1316.68万元（人员经费1115.48万元，公用经费201.2万元），项目支出381.55万元</w:t>
      </w:r>
      <w:r>
        <w:rPr>
          <w:rFonts w:hint="eastAsia" w:ascii="仿宋_GB2312" w:hAnsi="仿宋" w:eastAsia="仿宋_GB2312"/>
          <w:sz w:val="32"/>
          <w:szCs w:val="32"/>
          <w:highlight w:val="none"/>
        </w:rPr>
        <w:t>。</w:t>
      </w:r>
      <w:r>
        <w:rPr>
          <w:rFonts w:hint="eastAsia" w:ascii="仿宋_GB2312" w:hAnsi="仿宋" w:eastAsia="仿宋_GB2312"/>
          <w:sz w:val="32"/>
          <w:szCs w:val="32"/>
          <w:highlight w:val="none"/>
          <w:lang w:eastAsia="zh-CN"/>
        </w:rPr>
        <w:t>开支主要用于保障日常办公、办案所需。</w:t>
      </w:r>
    </w:p>
    <w:p>
      <w:pPr>
        <w:keepNext w:val="0"/>
        <w:keepLines w:val="0"/>
        <w:pageBreakBefore w:val="0"/>
        <w:widowControl/>
        <w:numPr>
          <w:ilvl w:val="0"/>
          <w:numId w:val="2"/>
        </w:numPr>
        <w:kinsoku/>
        <w:wordWrap/>
        <w:overflowPunct/>
        <w:topLinePunct w:val="0"/>
        <w:autoSpaceDE/>
        <w:autoSpaceDN/>
        <w:bidi w:val="0"/>
        <w:adjustRightInd w:val="0"/>
        <w:snapToGrid w:val="0"/>
        <w:spacing w:line="560" w:lineRule="exact"/>
        <w:ind w:left="0" w:leftChars="0" w:firstLine="640" w:firstLineChars="200"/>
        <w:contextualSpacing/>
        <w:jc w:val="left"/>
        <w:textAlignment w:val="auto"/>
        <w:outlineLvl w:val="9"/>
        <w:rPr>
          <w:rFonts w:hint="eastAsia" w:ascii="方正楷体_GBK" w:eastAsia="方正楷体_GBK"/>
          <w:color w:val="000000"/>
          <w:kern w:val="0"/>
          <w:sz w:val="32"/>
          <w:szCs w:val="32"/>
          <w:shd w:val="clear" w:color="auto" w:fill="FFFFFF"/>
          <w:lang w:val="zh-CN" w:eastAsia="zh-CN"/>
        </w:rPr>
      </w:pPr>
      <w:r>
        <w:rPr>
          <w:rFonts w:hint="eastAsia" w:ascii="方正楷体_GBK" w:eastAsia="方正楷体_GBK"/>
          <w:color w:val="000000"/>
          <w:kern w:val="0"/>
          <w:sz w:val="32"/>
          <w:szCs w:val="32"/>
          <w:shd w:val="clear" w:color="auto" w:fill="FFFFFF"/>
          <w:lang w:val="zh-CN" w:eastAsia="zh-CN"/>
        </w:rPr>
        <w:t>结余分配和结转结余情况。</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default" w:ascii="仿宋_GB2312" w:hAnsi="仿宋" w:eastAsia="仿宋_GB2312" w:cs="Times New Roman"/>
          <w:sz w:val="32"/>
          <w:szCs w:val="32"/>
          <w:highlight w:val="none"/>
          <w:lang w:val="zh-CN" w:eastAsia="zh-CN"/>
        </w:rPr>
      </w:pPr>
      <w:r>
        <w:rPr>
          <w:rFonts w:hint="eastAsia" w:ascii="仿宋_GB2312" w:hAnsi="仿宋" w:eastAsia="仿宋_GB2312" w:cs="Times New Roman"/>
          <w:sz w:val="32"/>
          <w:szCs w:val="32"/>
          <w:highlight w:val="none"/>
          <w:lang w:val="en-US" w:eastAsia="zh-CN"/>
        </w:rPr>
        <w:t>平昌县人民检察院</w:t>
      </w:r>
      <w:r>
        <w:rPr>
          <w:rFonts w:hint="default" w:ascii="仿宋_GB2312" w:hAnsi="仿宋" w:eastAsia="仿宋_GB2312" w:cs="Times New Roman"/>
          <w:sz w:val="32"/>
          <w:szCs w:val="32"/>
          <w:highlight w:val="none"/>
          <w:lang w:val="en-US" w:eastAsia="zh-CN"/>
        </w:rPr>
        <w:t>202</w:t>
      </w:r>
      <w:r>
        <w:rPr>
          <w:rFonts w:hint="eastAsia" w:ascii="仿宋_GB2312" w:hAnsi="仿宋" w:eastAsia="仿宋_GB2312" w:cs="Times New Roman"/>
          <w:sz w:val="32"/>
          <w:szCs w:val="32"/>
          <w:highlight w:val="none"/>
          <w:lang w:val="en-US" w:eastAsia="zh-CN"/>
        </w:rPr>
        <w:t>5</w:t>
      </w:r>
      <w:r>
        <w:rPr>
          <w:rFonts w:hint="default" w:ascii="仿宋_GB2312" w:hAnsi="仿宋" w:eastAsia="仿宋_GB2312" w:cs="Times New Roman"/>
          <w:sz w:val="32"/>
          <w:szCs w:val="32"/>
          <w:highlight w:val="none"/>
          <w:lang w:val="en-US" w:eastAsia="zh-CN"/>
        </w:rPr>
        <w:t>年决算报表</w:t>
      </w:r>
      <w:r>
        <w:rPr>
          <w:rFonts w:hint="eastAsia" w:ascii="仿宋_GB2312" w:hAnsi="仿宋" w:eastAsia="仿宋_GB2312" w:cs="Times New Roman"/>
          <w:sz w:val="32"/>
          <w:szCs w:val="32"/>
          <w:highlight w:val="none"/>
          <w:lang w:val="en-US" w:eastAsia="zh-CN"/>
        </w:rPr>
        <w:t>无</w:t>
      </w:r>
      <w:r>
        <w:rPr>
          <w:rFonts w:hint="default" w:ascii="仿宋_GB2312" w:hAnsi="仿宋" w:eastAsia="仿宋_GB2312" w:cs="Times New Roman"/>
          <w:sz w:val="32"/>
          <w:szCs w:val="32"/>
          <w:highlight w:val="none"/>
          <w:lang w:val="en-US" w:eastAsia="zh-CN"/>
        </w:rPr>
        <w:t>结转结余情况。</w:t>
      </w:r>
    </w:p>
    <w:p>
      <w:pPr>
        <w:keepNext w:val="0"/>
        <w:keepLines w:val="0"/>
        <w:pageBreakBefore w:val="0"/>
        <w:widowControl/>
        <w:kinsoku/>
        <w:wordWrap/>
        <w:overflowPunct/>
        <w:topLinePunct w:val="0"/>
        <w:autoSpaceDE/>
        <w:autoSpaceDN/>
        <w:adjustRightInd w:val="0"/>
        <w:snapToGrid w:val="0"/>
        <w:spacing w:line="560" w:lineRule="exact"/>
        <w:ind w:firstLine="640" w:firstLineChars="200"/>
        <w:contextualSpacing/>
        <w:jc w:val="left"/>
        <w:rPr>
          <w:rFonts w:hint="eastAsia" w:ascii="方正黑体_GBK" w:eastAsia="方正黑体_GBK"/>
          <w:color w:val="000000"/>
          <w:kern w:val="0"/>
          <w:sz w:val="32"/>
          <w:szCs w:val="32"/>
          <w:highlight w:val="none"/>
          <w:shd w:val="clear" w:color="auto" w:fill="FFFFFF"/>
        </w:rPr>
      </w:pPr>
      <w:r>
        <w:rPr>
          <w:rFonts w:hint="eastAsia" w:ascii="方正黑体_GBK" w:eastAsia="方正黑体_GBK"/>
          <w:color w:val="000000"/>
          <w:kern w:val="0"/>
          <w:sz w:val="32"/>
          <w:szCs w:val="32"/>
          <w:highlight w:val="none"/>
          <w:shd w:val="clear" w:color="auto" w:fill="FFFFFF"/>
        </w:rPr>
        <w:t>三、部门</w:t>
      </w:r>
      <w:r>
        <w:rPr>
          <w:rFonts w:hint="eastAsia" w:ascii="方正黑体_GBK" w:eastAsia="方正黑体_GBK"/>
          <w:color w:val="000000"/>
          <w:kern w:val="0"/>
          <w:sz w:val="32"/>
          <w:szCs w:val="32"/>
          <w:highlight w:val="none"/>
          <w:shd w:val="clear" w:color="auto" w:fill="FFFFFF"/>
          <w:lang w:eastAsia="zh-CN"/>
        </w:rPr>
        <w:t>预算</w:t>
      </w:r>
      <w:r>
        <w:rPr>
          <w:rFonts w:hint="eastAsia" w:ascii="方正黑体_GBK" w:eastAsia="方正黑体_GBK"/>
          <w:color w:val="000000"/>
          <w:kern w:val="0"/>
          <w:sz w:val="32"/>
          <w:szCs w:val="32"/>
          <w:highlight w:val="none"/>
          <w:shd w:val="clear" w:color="auto" w:fill="FFFFFF"/>
        </w:rPr>
        <w:t>绩效</w:t>
      </w:r>
      <w:r>
        <w:rPr>
          <w:rFonts w:hint="eastAsia" w:ascii="方正黑体_GBK" w:eastAsia="方正黑体_GBK"/>
          <w:color w:val="000000"/>
          <w:kern w:val="0"/>
          <w:sz w:val="32"/>
          <w:szCs w:val="32"/>
          <w:highlight w:val="none"/>
          <w:shd w:val="clear" w:color="auto" w:fill="FFFFFF"/>
          <w:lang w:eastAsia="zh-CN"/>
        </w:rPr>
        <w:t>分析</w:t>
      </w:r>
    </w:p>
    <w:p>
      <w:pPr>
        <w:keepNext w:val="0"/>
        <w:keepLines w:val="0"/>
        <w:pageBreakBefore w:val="0"/>
        <w:widowControl w:val="0"/>
        <w:kinsoku/>
        <w:wordWrap/>
        <w:overflowPunct/>
        <w:topLinePunct w:val="0"/>
        <w:autoSpaceDE/>
        <w:autoSpaceDN/>
        <w:adjustRightInd w:val="0"/>
        <w:snapToGrid w:val="0"/>
        <w:spacing w:line="560" w:lineRule="exact"/>
        <w:ind w:left="0" w:firstLine="640" w:firstLineChars="200"/>
        <w:contextualSpacing/>
        <w:jc w:val="left"/>
        <w:rPr>
          <w:rFonts w:hint="eastAsia" w:ascii="方正楷体_GBK" w:eastAsia="方正楷体_GBK"/>
          <w:bCs/>
          <w:color w:val="000000"/>
          <w:kern w:val="0"/>
          <w:sz w:val="32"/>
          <w:szCs w:val="32"/>
          <w:highlight w:val="none"/>
          <w:shd w:val="clear" w:color="auto" w:fill="FFFFFF"/>
          <w:lang w:val="zh-CN" w:eastAsia="zh-CN"/>
        </w:rPr>
      </w:pPr>
      <w:r>
        <w:rPr>
          <w:rFonts w:hint="eastAsia" w:ascii="方正楷体_GBK" w:eastAsia="方正楷体_GBK"/>
          <w:bCs/>
          <w:color w:val="000000"/>
          <w:kern w:val="0"/>
          <w:sz w:val="32"/>
          <w:szCs w:val="32"/>
          <w:highlight w:val="none"/>
          <w:shd w:val="clear" w:color="auto" w:fill="FFFFFF"/>
          <w:lang w:val="zh-CN" w:eastAsia="zh-CN"/>
        </w:rPr>
        <w:t>（一）部门预算总体绩效分析。</w:t>
      </w:r>
    </w:p>
    <w:p>
      <w:pPr>
        <w:keepNext w:val="0"/>
        <w:keepLines w:val="0"/>
        <w:pageBreakBefore w:val="0"/>
        <w:widowControl w:val="0"/>
        <w:kinsoku/>
        <w:wordWrap/>
        <w:overflowPunct/>
        <w:topLinePunct w:val="0"/>
        <w:autoSpaceDE/>
        <w:autoSpaceDN/>
        <w:adjustRightInd w:val="0"/>
        <w:snapToGrid w:val="0"/>
        <w:spacing w:line="560" w:lineRule="exact"/>
        <w:ind w:left="0" w:firstLine="640" w:firstLineChars="200"/>
        <w:contextualSpacing/>
        <w:jc w:val="left"/>
        <w:rPr>
          <w:rFonts w:hint="default" w:ascii="Times New Roman" w:hAnsi="Times New Roman" w:eastAsia="方正仿宋_GBK"/>
          <w:color w:val="000000"/>
          <w:kern w:val="0"/>
          <w:sz w:val="32"/>
          <w:szCs w:val="32"/>
          <w:highlight w:val="none"/>
          <w:shd w:val="clear" w:color="auto" w:fill="FFFFFF"/>
          <w:lang w:val="zh-CN" w:eastAsia="zh-CN"/>
        </w:rPr>
      </w:pPr>
      <w:r>
        <w:rPr>
          <w:rFonts w:hint="default" w:ascii="Times New Roman" w:hAnsi="Times New Roman" w:eastAsia="方正仿宋_GBK"/>
          <w:color w:val="000000"/>
          <w:kern w:val="0"/>
          <w:sz w:val="32"/>
          <w:szCs w:val="32"/>
          <w:highlight w:val="none"/>
          <w:shd w:val="clear" w:color="auto" w:fill="FFFFFF"/>
          <w:lang w:val="zh-CN" w:eastAsia="zh-CN"/>
        </w:rPr>
        <w:t>1.履职效能。</w:t>
      </w:r>
    </w:p>
    <w:p>
      <w:pPr>
        <w:keepNext w:val="0"/>
        <w:keepLines w:val="0"/>
        <w:pageBreakBefore w:val="0"/>
        <w:widowControl w:val="0"/>
        <w:kinsoku/>
        <w:wordWrap/>
        <w:overflowPunct/>
        <w:topLinePunct w:val="0"/>
        <w:autoSpaceDE/>
        <w:autoSpaceDN/>
        <w:adjustRightInd w:val="0"/>
        <w:snapToGrid w:val="0"/>
        <w:spacing w:line="560" w:lineRule="exact"/>
        <w:ind w:left="0" w:firstLine="640" w:firstLineChars="200"/>
        <w:contextualSpacing/>
        <w:jc w:val="left"/>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val="en-US" w:eastAsia="zh-CN"/>
        </w:rPr>
        <w:t>（1）维护社会安全稳定。</w:t>
      </w:r>
      <w:r>
        <w:rPr>
          <w:rFonts w:hint="default" w:ascii="Times New Roman" w:hAnsi="Times New Roman" w:eastAsia="仿宋_GB2312" w:cs="Times New Roman"/>
          <w:sz w:val="32"/>
          <w:szCs w:val="32"/>
        </w:rPr>
        <w:t>全年批准逮捕</w:t>
      </w:r>
      <w:r>
        <w:rPr>
          <w:rFonts w:hint="eastAsia" w:ascii="Times New Roman" w:hAnsi="Times New Roman" w:eastAsia="仿宋_GB2312" w:cs="Times New Roman"/>
          <w:sz w:val="32"/>
          <w:szCs w:val="32"/>
          <w:lang w:val="en-US" w:eastAsia="zh-CN"/>
        </w:rPr>
        <w:t>98</w:t>
      </w:r>
      <w:r>
        <w:rPr>
          <w:rFonts w:hint="default" w:ascii="Times New Roman" w:hAnsi="Times New Roman" w:eastAsia="仿宋_GB2312" w:cs="Times New Roman"/>
          <w:sz w:val="32"/>
          <w:szCs w:val="32"/>
        </w:rPr>
        <w:t>人，提起公诉</w:t>
      </w:r>
      <w:r>
        <w:rPr>
          <w:rFonts w:hint="eastAsia" w:ascii="Times New Roman" w:hAnsi="Times New Roman" w:eastAsia="仿宋_GB2312" w:cs="Times New Roman"/>
          <w:sz w:val="32"/>
          <w:szCs w:val="32"/>
          <w:lang w:val="en-US" w:eastAsia="zh-CN"/>
        </w:rPr>
        <w:t>216</w:t>
      </w:r>
      <w:r>
        <w:rPr>
          <w:rFonts w:hint="default" w:ascii="Times New Roman" w:hAnsi="Times New Roman" w:eastAsia="仿宋_GB2312" w:cs="Times New Roman"/>
          <w:sz w:val="32"/>
          <w:szCs w:val="32"/>
        </w:rPr>
        <w:t>人</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打击严重暴力犯罪、多发性侵财犯罪和电信网络诈骗犯罪，起诉</w:t>
      </w:r>
      <w:r>
        <w:rPr>
          <w:rFonts w:hint="eastAsia" w:ascii="Times New Roman" w:hAnsi="Times New Roman" w:eastAsia="仿宋_GB2312" w:cs="Times New Roman"/>
          <w:sz w:val="32"/>
          <w:szCs w:val="32"/>
          <w:lang w:val="en-US" w:eastAsia="zh-CN"/>
        </w:rPr>
        <w:t>40</w:t>
      </w:r>
      <w:r>
        <w:rPr>
          <w:rFonts w:hint="default" w:ascii="Times New Roman" w:hAnsi="Times New Roman" w:eastAsia="仿宋_GB2312" w:cs="Times New Roman"/>
          <w:sz w:val="32"/>
          <w:szCs w:val="32"/>
        </w:rPr>
        <w:t>件</w:t>
      </w:r>
      <w:r>
        <w:rPr>
          <w:rFonts w:hint="eastAsia" w:ascii="Times New Roman" w:hAnsi="Times New Roman" w:eastAsia="仿宋_GB2312" w:cs="Times New Roman"/>
          <w:sz w:val="32"/>
          <w:szCs w:val="32"/>
          <w:lang w:val="en-US" w:eastAsia="zh-CN"/>
        </w:rPr>
        <w:t>46</w:t>
      </w:r>
      <w:r>
        <w:rPr>
          <w:rFonts w:hint="default" w:ascii="Times New Roman" w:hAnsi="Times New Roman" w:eastAsia="仿宋_GB2312" w:cs="Times New Roman"/>
          <w:sz w:val="32"/>
          <w:szCs w:val="32"/>
        </w:rPr>
        <w:t>人</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办理监委移送职务犯罪</w:t>
      </w:r>
      <w:r>
        <w:rPr>
          <w:rFonts w:hint="eastAsia"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rPr>
        <w:t>件</w:t>
      </w:r>
      <w:r>
        <w:rPr>
          <w:rFonts w:hint="eastAsia" w:ascii="Times New Roman" w:hAnsi="Times New Roman" w:eastAsia="仿宋_GB2312" w:cs="Times New Roman"/>
          <w:sz w:val="32"/>
          <w:szCs w:val="32"/>
          <w:lang w:val="en-US" w:eastAsia="zh-CN"/>
        </w:rPr>
        <w:t>6</w:t>
      </w:r>
      <w:r>
        <w:rPr>
          <w:rFonts w:hint="default" w:ascii="Times New Roman" w:hAnsi="Times New Roman" w:eastAsia="仿宋_GB2312" w:cs="Times New Roman"/>
          <w:sz w:val="32"/>
          <w:szCs w:val="32"/>
        </w:rPr>
        <w:t>人，积极参与殡葬等领域专项整治</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依法惩治侵害未成年人犯罪，起诉</w:t>
      </w:r>
      <w:r>
        <w:rPr>
          <w:rFonts w:hint="eastAsia" w:ascii="Times New Roman" w:hAnsi="Times New Roman" w:eastAsia="仿宋_GB2312" w:cs="Times New Roman"/>
          <w:sz w:val="32"/>
          <w:szCs w:val="32"/>
          <w:lang w:val="en-US" w:eastAsia="zh-CN"/>
        </w:rPr>
        <w:t>9</w:t>
      </w:r>
      <w:r>
        <w:rPr>
          <w:rFonts w:hint="default" w:ascii="Times New Roman" w:hAnsi="Times New Roman" w:eastAsia="仿宋_GB2312" w:cs="Times New Roman"/>
          <w:sz w:val="32"/>
          <w:szCs w:val="32"/>
        </w:rPr>
        <w:t>件</w:t>
      </w:r>
      <w:r>
        <w:rPr>
          <w:rFonts w:hint="eastAsia" w:ascii="Times New Roman" w:hAnsi="Times New Roman" w:eastAsia="仿宋_GB2312" w:cs="Times New Roman"/>
          <w:sz w:val="32"/>
          <w:szCs w:val="32"/>
          <w:lang w:val="en-US" w:eastAsia="zh-CN"/>
        </w:rPr>
        <w:t>9</w:t>
      </w:r>
      <w:r>
        <w:rPr>
          <w:rFonts w:hint="default" w:ascii="Times New Roman" w:hAnsi="Times New Roman" w:eastAsia="仿宋_GB2312" w:cs="Times New Roman"/>
          <w:sz w:val="32"/>
          <w:szCs w:val="32"/>
        </w:rPr>
        <w:t>人，对涉罪未成年人坚持教育、感化、挽救方针，相对不起诉</w:t>
      </w:r>
      <w:r>
        <w:rPr>
          <w:rFonts w:hint="eastAsia" w:ascii="Times New Roman" w:hAnsi="Times New Roman" w:eastAsia="仿宋_GB2312" w:cs="Times New Roman"/>
          <w:sz w:val="32"/>
          <w:szCs w:val="32"/>
          <w:lang w:val="en-US" w:eastAsia="zh-CN"/>
        </w:rPr>
        <w:t>10</w:t>
      </w:r>
      <w:r>
        <w:rPr>
          <w:rFonts w:hint="default" w:ascii="Times New Roman" w:hAnsi="Times New Roman" w:eastAsia="仿宋_GB2312" w:cs="Times New Roman"/>
          <w:sz w:val="32"/>
          <w:szCs w:val="32"/>
        </w:rPr>
        <w:t>件</w:t>
      </w:r>
      <w:r>
        <w:rPr>
          <w:rFonts w:hint="eastAsia" w:ascii="Times New Roman" w:hAnsi="Times New Roman" w:eastAsia="仿宋_GB2312" w:cs="Times New Roman"/>
          <w:sz w:val="32"/>
          <w:szCs w:val="32"/>
          <w:lang w:val="en-US" w:eastAsia="zh-CN"/>
        </w:rPr>
        <w:t>18</w:t>
      </w:r>
      <w:r>
        <w:rPr>
          <w:rFonts w:hint="default" w:ascii="Times New Roman" w:hAnsi="Times New Roman" w:eastAsia="仿宋_GB2312" w:cs="Times New Roman"/>
          <w:sz w:val="32"/>
          <w:szCs w:val="32"/>
        </w:rPr>
        <w:t>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eastAsia" w:eastAsia="仿宋_GB2312" w:cs="Times New Roman"/>
          <w:sz w:val="32"/>
          <w:szCs w:val="32"/>
          <w:lang w:eastAsia="zh-CN"/>
        </w:rPr>
        <w:t>（</w:t>
      </w:r>
      <w:r>
        <w:rPr>
          <w:rFonts w:hint="eastAsia" w:ascii="Times New Roman" w:hAnsi="Times New Roman" w:eastAsia="仿宋_GB2312" w:cs="Times New Roman"/>
          <w:sz w:val="32"/>
          <w:szCs w:val="32"/>
          <w:lang w:val="en-US" w:eastAsia="zh-CN"/>
        </w:rPr>
        <w:t>2</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着力优化营商环境</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牵头起草并推动建立涉企刑事案件协作配合机制，开辟涉企案件“绿色通道”。深化“挂案清理”专项监督，监督公安机关对平昌县瑞森林业开发有限公司串通投标案等长期未结案件依法撤案，最大限度减少司法办案对企业生产经营的影响。依法惩治破坏市场经济秩序犯罪，起诉骗取贷款、虚开发票等犯罪</w:t>
      </w:r>
      <w:r>
        <w:rPr>
          <w:rFonts w:hint="eastAsia" w:ascii="Times New Roman" w:hAnsi="Times New Roman" w:eastAsia="仿宋_GB2312" w:cs="Times New Roman"/>
          <w:sz w:val="32"/>
          <w:szCs w:val="32"/>
          <w:lang w:val="en-US" w:eastAsia="zh-CN"/>
        </w:rPr>
        <w:t>31</w:t>
      </w:r>
      <w:r>
        <w:rPr>
          <w:rFonts w:hint="default" w:ascii="Times New Roman" w:hAnsi="Times New Roman" w:eastAsia="仿宋_GB2312" w:cs="Times New Roman"/>
          <w:sz w:val="32"/>
          <w:szCs w:val="32"/>
        </w:rPr>
        <w:t>件63人，高效办理“711”特大贷款诈骗案，维护金融管理秩序。</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lang w:val="zh-CN" w:eastAsia="zh-CN"/>
        </w:rPr>
      </w:pPr>
      <w:r>
        <w:rPr>
          <w:rFonts w:hint="eastAsia" w:ascii="Times New Roman" w:hAnsi="Times New Roman" w:eastAsia="仿宋_GB2312" w:cs="Times New Roman"/>
          <w:sz w:val="32"/>
          <w:szCs w:val="32"/>
          <w:lang w:val="zh-CN" w:eastAsia="zh-CN"/>
        </w:rPr>
        <w:t>（</w:t>
      </w:r>
      <w:r>
        <w:rPr>
          <w:rFonts w:hint="eastAsia" w:ascii="Times New Roman" w:hAnsi="Times New Roman" w:eastAsia="仿宋_GB2312" w:cs="Times New Roman"/>
          <w:sz w:val="32"/>
          <w:szCs w:val="32"/>
          <w:lang w:val="en-US" w:eastAsia="zh-CN"/>
        </w:rPr>
        <w:t>3</w:t>
      </w:r>
      <w:r>
        <w:rPr>
          <w:rFonts w:hint="eastAsia" w:ascii="Times New Roman" w:hAnsi="Times New Roman" w:eastAsia="仿宋_GB2312" w:cs="Times New Roman"/>
          <w:sz w:val="32"/>
          <w:szCs w:val="32"/>
          <w:lang w:val="zh-CN" w:eastAsia="zh-CN"/>
        </w:rPr>
        <w:t>）</w:t>
      </w:r>
      <w:r>
        <w:rPr>
          <w:rFonts w:hint="eastAsia" w:ascii="Times New Roman" w:hAnsi="Times New Roman" w:eastAsia="仿宋_GB2312" w:cs="Times New Roman"/>
          <w:sz w:val="32"/>
          <w:szCs w:val="32"/>
          <w:lang w:val="en-US" w:eastAsia="zh-CN"/>
        </w:rPr>
        <w:t>提高群众满意度。</w:t>
      </w:r>
      <w:r>
        <w:rPr>
          <w:rFonts w:hint="default" w:ascii="Times New Roman" w:hAnsi="Times New Roman" w:eastAsia="仿宋_GB2312" w:cs="Times New Roman"/>
          <w:sz w:val="32"/>
          <w:szCs w:val="32"/>
        </w:rPr>
        <w:t>畅通群众诉求表达渠道，受理各类信访</w:t>
      </w:r>
      <w:r>
        <w:rPr>
          <w:rFonts w:hint="eastAsia" w:ascii="Times New Roman" w:hAnsi="Times New Roman" w:eastAsia="仿宋_GB2312" w:cs="Times New Roman"/>
          <w:sz w:val="32"/>
          <w:szCs w:val="32"/>
          <w:lang w:val="en-US" w:eastAsia="zh-CN"/>
        </w:rPr>
        <w:t>142</w:t>
      </w:r>
      <w:r>
        <w:rPr>
          <w:rFonts w:hint="default" w:ascii="Times New Roman" w:hAnsi="Times New Roman" w:eastAsia="仿宋_GB2312" w:cs="Times New Roman"/>
          <w:sz w:val="32"/>
          <w:szCs w:val="32"/>
        </w:rPr>
        <w:t>件次，均做到7日内程序回复、3个月内办理过程或结果答复。加强民事支持起诉，帮助老年人、残疾人、农民工等追索赡养费、劳动报酬等，支持起诉</w:t>
      </w:r>
      <w:r>
        <w:rPr>
          <w:rFonts w:hint="eastAsia" w:ascii="Times New Roman" w:hAnsi="Times New Roman" w:eastAsia="仿宋_GB2312" w:cs="Times New Roman"/>
          <w:sz w:val="32"/>
          <w:szCs w:val="32"/>
          <w:lang w:val="en-US" w:eastAsia="zh-CN"/>
        </w:rPr>
        <w:t>24</w:t>
      </w:r>
      <w:r>
        <w:rPr>
          <w:rFonts w:hint="default" w:ascii="Times New Roman" w:hAnsi="Times New Roman" w:eastAsia="仿宋_GB2312" w:cs="Times New Roman"/>
          <w:sz w:val="32"/>
          <w:szCs w:val="32"/>
        </w:rPr>
        <w:t>件，帮助追回欠薪</w:t>
      </w:r>
      <w:r>
        <w:rPr>
          <w:rFonts w:hint="eastAsia" w:ascii="Times New Roman" w:hAnsi="Times New Roman" w:eastAsia="仿宋_GB2312" w:cs="Times New Roman"/>
          <w:sz w:val="32"/>
          <w:szCs w:val="32"/>
          <w:lang w:val="en-US" w:eastAsia="zh-CN"/>
        </w:rPr>
        <w:t>35</w:t>
      </w:r>
      <w:r>
        <w:rPr>
          <w:rFonts w:hint="default" w:ascii="Times New Roman" w:hAnsi="Times New Roman" w:eastAsia="仿宋_GB2312" w:cs="Times New Roman"/>
          <w:sz w:val="32"/>
          <w:szCs w:val="32"/>
        </w:rPr>
        <w:t>万元。开展无障碍环境建设专项监督，推动全县公共停车场无障碍停车位覆盖率显著提升，相关经验获推广。加强地质灾害防治监督，督促争取专项治理资金600余万元。</w:t>
      </w:r>
    </w:p>
    <w:p>
      <w:pPr>
        <w:keepNext w:val="0"/>
        <w:keepLines w:val="0"/>
        <w:pageBreakBefore w:val="0"/>
        <w:widowControl w:val="0"/>
        <w:kinsoku/>
        <w:wordWrap/>
        <w:overflowPunct/>
        <w:topLinePunct w:val="0"/>
        <w:autoSpaceDE/>
        <w:autoSpaceDN/>
        <w:adjustRightInd w:val="0"/>
        <w:snapToGrid w:val="0"/>
        <w:spacing w:line="560" w:lineRule="exact"/>
        <w:ind w:left="0" w:firstLine="640" w:firstLineChars="200"/>
        <w:contextualSpacing/>
        <w:jc w:val="left"/>
        <w:rPr>
          <w:rFonts w:hint="default" w:ascii="Times New Roman" w:hAnsi="Times New Roman" w:eastAsia="方正仿宋_GBK"/>
          <w:color w:val="000000"/>
          <w:kern w:val="0"/>
          <w:sz w:val="32"/>
          <w:szCs w:val="32"/>
          <w:highlight w:val="none"/>
          <w:shd w:val="clear" w:color="auto" w:fill="FFFFFF"/>
          <w:lang w:val="zh-CN" w:eastAsia="zh-CN"/>
        </w:rPr>
      </w:pPr>
      <w:r>
        <w:rPr>
          <w:rFonts w:hint="default" w:ascii="Times New Roman" w:hAnsi="Times New Roman" w:eastAsia="方正仿宋_GBK"/>
          <w:color w:val="000000"/>
          <w:kern w:val="0"/>
          <w:sz w:val="32"/>
          <w:szCs w:val="32"/>
          <w:highlight w:val="none"/>
          <w:shd w:val="clear" w:color="auto" w:fill="FFFFFF"/>
          <w:lang w:val="zh-CN" w:eastAsia="zh-CN"/>
        </w:rPr>
        <w:t>2.预算管理。</w:t>
      </w:r>
    </w:p>
    <w:p>
      <w:pPr>
        <w:keepNext w:val="0"/>
        <w:keepLines w:val="0"/>
        <w:pageBreakBefore w:val="0"/>
        <w:widowControl w:val="0"/>
        <w:kinsoku/>
        <w:wordWrap/>
        <w:overflowPunct/>
        <w:topLinePunct w:val="0"/>
        <w:autoSpaceDE/>
        <w:autoSpaceDN/>
        <w:adjustRightInd w:val="0"/>
        <w:snapToGrid w:val="0"/>
        <w:spacing w:line="560" w:lineRule="exact"/>
        <w:ind w:left="0" w:firstLine="640" w:firstLineChars="200"/>
        <w:contextualSpacing/>
        <w:jc w:val="left"/>
        <w:rPr>
          <w:rFonts w:hint="eastAsia" w:ascii="Times New Roman" w:hAnsi="Times New Roman" w:eastAsia="仿宋_GB2312" w:cs="Times New Roman"/>
          <w:b w:val="0"/>
          <w:bCs w:val="0"/>
          <w:kern w:val="2"/>
          <w:sz w:val="32"/>
          <w:szCs w:val="32"/>
          <w:lang w:val="zh-CN" w:eastAsia="zh-CN" w:bidi="ar-SA"/>
        </w:rPr>
      </w:pPr>
      <w:r>
        <w:rPr>
          <w:rFonts w:hint="eastAsia" w:ascii="Times New Roman" w:hAnsi="Times New Roman" w:eastAsia="仿宋_GB2312" w:cs="Times New Roman"/>
          <w:b w:val="0"/>
          <w:bCs w:val="0"/>
          <w:kern w:val="2"/>
          <w:sz w:val="32"/>
          <w:szCs w:val="32"/>
          <w:lang w:val="zh-CN" w:eastAsia="zh-CN" w:bidi="ar-SA"/>
        </w:rPr>
        <w:t>严格规范编制预算，明确绩效目标，按要求对相关项目进行事前绩效评估，细化绩效指标，确保预算与实际需求匹配。202</w:t>
      </w:r>
      <w:r>
        <w:rPr>
          <w:rFonts w:hint="eastAsia" w:ascii="Times New Roman" w:hAnsi="Times New Roman" w:eastAsia="仿宋_GB2312" w:cs="Times New Roman"/>
          <w:b w:val="0"/>
          <w:bCs w:val="0"/>
          <w:kern w:val="2"/>
          <w:sz w:val="32"/>
          <w:szCs w:val="32"/>
          <w:lang w:val="en-US" w:eastAsia="zh-CN" w:bidi="ar-SA"/>
        </w:rPr>
        <w:t>5</w:t>
      </w:r>
      <w:r>
        <w:rPr>
          <w:rFonts w:hint="eastAsia" w:ascii="Times New Roman" w:hAnsi="Times New Roman" w:eastAsia="仿宋_GB2312" w:cs="Times New Roman"/>
          <w:b w:val="0"/>
          <w:bCs w:val="0"/>
          <w:kern w:val="2"/>
          <w:sz w:val="32"/>
          <w:szCs w:val="32"/>
          <w:lang w:val="zh-CN" w:eastAsia="zh-CN" w:bidi="ar-SA"/>
        </w:rPr>
        <w:t>年度预算执行进度按月序时推进，截止202</w:t>
      </w:r>
      <w:r>
        <w:rPr>
          <w:rFonts w:hint="eastAsia" w:ascii="Times New Roman" w:hAnsi="Times New Roman" w:eastAsia="仿宋_GB2312" w:cs="Times New Roman"/>
          <w:b w:val="0"/>
          <w:bCs w:val="0"/>
          <w:kern w:val="2"/>
          <w:sz w:val="32"/>
          <w:szCs w:val="32"/>
          <w:lang w:val="en-US" w:eastAsia="zh-CN" w:bidi="ar-SA"/>
        </w:rPr>
        <w:t>5</w:t>
      </w:r>
      <w:r>
        <w:rPr>
          <w:rFonts w:hint="eastAsia" w:ascii="Times New Roman" w:hAnsi="Times New Roman" w:eastAsia="仿宋_GB2312" w:cs="Times New Roman"/>
          <w:b w:val="0"/>
          <w:bCs w:val="0"/>
          <w:kern w:val="2"/>
          <w:sz w:val="32"/>
          <w:szCs w:val="32"/>
          <w:lang w:val="zh-CN" w:eastAsia="zh-CN" w:bidi="ar-SA"/>
        </w:rPr>
        <w:t>年末预算执行完成率100%，无结余资金，预算编制精准度高。</w:t>
      </w:r>
    </w:p>
    <w:p>
      <w:pPr>
        <w:keepNext w:val="0"/>
        <w:keepLines w:val="0"/>
        <w:pageBreakBefore w:val="0"/>
        <w:widowControl w:val="0"/>
        <w:numPr>
          <w:ilvl w:val="0"/>
          <w:numId w:val="0"/>
        </w:numPr>
        <w:kinsoku/>
        <w:wordWrap/>
        <w:overflowPunct/>
        <w:topLinePunct w:val="0"/>
        <w:autoSpaceDE/>
        <w:autoSpaceDN/>
        <w:adjustRightInd w:val="0"/>
        <w:snapToGrid w:val="0"/>
        <w:spacing w:line="560" w:lineRule="exact"/>
        <w:ind w:leftChars="200"/>
        <w:contextualSpacing/>
        <w:jc w:val="left"/>
        <w:rPr>
          <w:rFonts w:hint="default" w:ascii="Times New Roman" w:hAnsi="Times New Roman" w:eastAsia="方正仿宋_GBK"/>
          <w:color w:val="000000"/>
          <w:kern w:val="0"/>
          <w:sz w:val="32"/>
          <w:szCs w:val="32"/>
          <w:highlight w:val="none"/>
          <w:shd w:val="clear" w:color="auto" w:fill="FFFFFF"/>
          <w:lang w:val="zh-CN" w:eastAsia="zh-CN"/>
        </w:rPr>
      </w:pPr>
      <w:r>
        <w:rPr>
          <w:rFonts w:hint="eastAsia" w:ascii="Times New Roman" w:hAnsi="Times New Roman" w:eastAsia="方正仿宋_GBK"/>
          <w:color w:val="000000"/>
          <w:kern w:val="0"/>
          <w:sz w:val="32"/>
          <w:szCs w:val="32"/>
          <w:highlight w:val="none"/>
          <w:shd w:val="clear" w:color="auto" w:fill="FFFFFF"/>
          <w:lang w:val="en-US" w:eastAsia="zh-CN"/>
        </w:rPr>
        <w:t>3.</w:t>
      </w:r>
      <w:r>
        <w:rPr>
          <w:rFonts w:hint="default" w:ascii="Times New Roman" w:hAnsi="Times New Roman" w:eastAsia="方正仿宋_GBK"/>
          <w:color w:val="000000"/>
          <w:kern w:val="0"/>
          <w:sz w:val="32"/>
          <w:szCs w:val="32"/>
          <w:highlight w:val="none"/>
          <w:shd w:val="clear" w:color="auto" w:fill="FFFFFF"/>
          <w:lang w:val="zh-CN" w:eastAsia="zh-CN"/>
        </w:rPr>
        <w:t>财务管理。</w:t>
      </w:r>
    </w:p>
    <w:p>
      <w:pPr>
        <w:keepNext w:val="0"/>
        <w:keepLines w:val="0"/>
        <w:pageBreakBefore w:val="0"/>
        <w:widowControl w:val="0"/>
        <w:numPr>
          <w:ilvl w:val="0"/>
          <w:numId w:val="0"/>
        </w:numPr>
        <w:kinsoku/>
        <w:wordWrap/>
        <w:overflowPunct/>
        <w:topLinePunct w:val="0"/>
        <w:autoSpaceDE/>
        <w:autoSpaceDN/>
        <w:adjustRightInd w:val="0"/>
        <w:snapToGrid w:val="0"/>
        <w:spacing w:line="560" w:lineRule="exact"/>
        <w:ind w:firstLine="640" w:firstLineChars="200"/>
        <w:contextualSpacing/>
        <w:jc w:val="left"/>
        <w:rPr>
          <w:rFonts w:hint="default" w:ascii="Times New Roman" w:hAnsi="Times New Roman" w:eastAsia="方正仿宋_GBK"/>
          <w:color w:val="000000"/>
          <w:kern w:val="0"/>
          <w:sz w:val="32"/>
          <w:szCs w:val="32"/>
          <w:highlight w:val="none"/>
          <w:shd w:val="clear" w:color="auto" w:fill="FFFFFF"/>
          <w:lang w:val="zh-CN" w:eastAsia="zh-CN"/>
        </w:rPr>
      </w:pPr>
      <w:r>
        <w:rPr>
          <w:rFonts w:hint="eastAsia" w:ascii="仿宋_GB2312" w:eastAsia="仿宋_GB2312" w:cs="Times New Roman"/>
          <w:color w:val="000000"/>
          <w:sz w:val="32"/>
          <w:szCs w:val="32"/>
          <w:lang w:val="en-US" w:eastAsia="zh-CN"/>
        </w:rPr>
        <w:t>严格实施《行政事业单位内部控制规范（试行）》，完善议事决策机制、岗位责任制、内部监督等内控机制。根据《中华人民共和国预算法》、《中华人民共和国会计法》、《财政违法行为处罚处分条例》、《会计基础工作规范》、《四川省行政事业单位国有资产管理暂行办法》制定了本院的财务管理制度、资产管理制度，明确了</w:t>
      </w:r>
      <w:r>
        <w:rPr>
          <w:rFonts w:hint="default" w:ascii="仿宋_GB2312" w:eastAsia="仿宋_GB2312" w:cs="Times New Roman"/>
          <w:color w:val="000000"/>
          <w:sz w:val="32"/>
          <w:szCs w:val="32"/>
          <w:lang w:val="en-US" w:eastAsia="zh-CN"/>
        </w:rPr>
        <w:t>审签程序，实行印鉴分离，合理设置会计岗位，</w:t>
      </w:r>
      <w:r>
        <w:rPr>
          <w:rFonts w:hint="eastAsia" w:ascii="仿宋_GB2312" w:eastAsia="仿宋_GB2312" w:cs="Times New Roman"/>
          <w:color w:val="000000"/>
          <w:sz w:val="32"/>
          <w:szCs w:val="32"/>
          <w:lang w:val="en-US" w:eastAsia="zh-CN"/>
        </w:rPr>
        <w:t>收支两条线，提高资金使用规范性。</w:t>
      </w:r>
    </w:p>
    <w:p>
      <w:pPr>
        <w:keepNext w:val="0"/>
        <w:keepLines w:val="0"/>
        <w:pageBreakBefore w:val="0"/>
        <w:widowControl w:val="0"/>
        <w:numPr>
          <w:ilvl w:val="0"/>
          <w:numId w:val="0"/>
        </w:numPr>
        <w:kinsoku/>
        <w:wordWrap/>
        <w:overflowPunct/>
        <w:topLinePunct w:val="0"/>
        <w:autoSpaceDE/>
        <w:autoSpaceDN/>
        <w:adjustRightInd w:val="0"/>
        <w:snapToGrid w:val="0"/>
        <w:spacing w:line="560" w:lineRule="exact"/>
        <w:ind w:leftChars="200"/>
        <w:contextualSpacing/>
        <w:jc w:val="left"/>
        <w:rPr>
          <w:rFonts w:hint="default" w:ascii="Times New Roman" w:hAnsi="Times New Roman" w:eastAsia="方正仿宋_GBK"/>
          <w:color w:val="000000"/>
          <w:kern w:val="0"/>
          <w:sz w:val="32"/>
          <w:szCs w:val="32"/>
          <w:highlight w:val="none"/>
          <w:shd w:val="clear" w:color="auto" w:fill="FFFFFF"/>
          <w:lang w:val="zh-CN" w:eastAsia="zh-CN"/>
        </w:rPr>
      </w:pPr>
      <w:r>
        <w:rPr>
          <w:rFonts w:hint="eastAsia" w:ascii="Times New Roman" w:hAnsi="Times New Roman" w:eastAsia="方正仿宋_GBK"/>
          <w:color w:val="000000"/>
          <w:kern w:val="0"/>
          <w:sz w:val="32"/>
          <w:szCs w:val="32"/>
          <w:highlight w:val="none"/>
          <w:shd w:val="clear" w:color="auto" w:fill="FFFFFF"/>
          <w:lang w:val="en-US" w:eastAsia="zh-CN"/>
        </w:rPr>
        <w:t>4.</w:t>
      </w:r>
      <w:r>
        <w:rPr>
          <w:rFonts w:hint="default" w:ascii="Times New Roman" w:hAnsi="Times New Roman" w:eastAsia="方正仿宋_GBK"/>
          <w:color w:val="000000"/>
          <w:kern w:val="0"/>
          <w:sz w:val="32"/>
          <w:szCs w:val="32"/>
          <w:highlight w:val="none"/>
          <w:shd w:val="clear" w:color="auto" w:fill="FFFFFF"/>
          <w:lang w:val="zh-CN" w:eastAsia="zh-CN"/>
        </w:rPr>
        <w:t>资产管理。</w:t>
      </w:r>
    </w:p>
    <w:p>
      <w:pPr>
        <w:keepNext w:val="0"/>
        <w:keepLines w:val="0"/>
        <w:pageBreakBefore w:val="0"/>
        <w:widowControl w:val="0"/>
        <w:numPr>
          <w:ilvl w:val="0"/>
          <w:numId w:val="0"/>
        </w:numPr>
        <w:kinsoku/>
        <w:wordWrap/>
        <w:overflowPunct/>
        <w:topLinePunct w:val="0"/>
        <w:autoSpaceDE/>
        <w:autoSpaceDN/>
        <w:adjustRightInd w:val="0"/>
        <w:snapToGrid w:val="0"/>
        <w:spacing w:line="560" w:lineRule="exact"/>
        <w:ind w:firstLine="640" w:firstLineChars="200"/>
        <w:contextualSpacing/>
        <w:jc w:val="left"/>
        <w:rPr>
          <w:rFonts w:hint="default" w:ascii="Times New Roman" w:hAnsi="Times New Roman" w:eastAsia="方正仿宋_GBK"/>
          <w:color w:val="000000"/>
          <w:kern w:val="0"/>
          <w:sz w:val="32"/>
          <w:szCs w:val="32"/>
          <w:highlight w:val="none"/>
          <w:shd w:val="clear" w:color="auto" w:fill="FFFFFF"/>
          <w:lang w:val="zh-CN" w:eastAsia="zh-CN"/>
        </w:rPr>
      </w:pPr>
      <w:r>
        <w:rPr>
          <w:rFonts w:hint="eastAsia" w:ascii="仿宋_GB2312" w:eastAsia="仿宋_GB2312" w:cs="Times New Roman"/>
          <w:color w:val="000000"/>
          <w:sz w:val="32"/>
          <w:szCs w:val="32"/>
          <w:lang w:val="zh-CN" w:eastAsia="zh-CN"/>
        </w:rPr>
        <w:t>设备采购、资产分配合理，资产配置效率较高，人均资产变化率低、资产利用率较高。并委托四川登高智创有限公司</w:t>
      </w:r>
      <w:r>
        <w:rPr>
          <w:rFonts w:hint="default" w:ascii="仿宋_GB2312" w:eastAsia="仿宋_GB2312" w:cs="Times New Roman"/>
          <w:color w:val="000000"/>
          <w:sz w:val="32"/>
          <w:szCs w:val="32"/>
          <w:lang w:val="zh-CN" w:eastAsia="zh-CN"/>
        </w:rPr>
        <w:t>进行资产清查，降低资产闲置率。</w:t>
      </w:r>
    </w:p>
    <w:p>
      <w:pPr>
        <w:keepNext w:val="0"/>
        <w:keepLines w:val="0"/>
        <w:pageBreakBefore w:val="0"/>
        <w:widowControl w:val="0"/>
        <w:numPr>
          <w:ilvl w:val="0"/>
          <w:numId w:val="0"/>
        </w:numPr>
        <w:kinsoku/>
        <w:wordWrap/>
        <w:overflowPunct/>
        <w:topLinePunct w:val="0"/>
        <w:autoSpaceDE/>
        <w:autoSpaceDN/>
        <w:adjustRightInd w:val="0"/>
        <w:snapToGrid w:val="0"/>
        <w:spacing w:line="560" w:lineRule="exact"/>
        <w:ind w:leftChars="200"/>
        <w:contextualSpacing/>
        <w:jc w:val="left"/>
        <w:rPr>
          <w:rFonts w:hint="default" w:ascii="Times New Roman" w:hAnsi="Times New Roman" w:eastAsia="方正仿宋_GBK"/>
          <w:color w:val="000000"/>
          <w:kern w:val="0"/>
          <w:sz w:val="32"/>
          <w:szCs w:val="32"/>
          <w:highlight w:val="none"/>
          <w:shd w:val="clear" w:color="auto" w:fill="FFFFFF"/>
          <w:lang w:val="zh-CN" w:eastAsia="zh-CN"/>
        </w:rPr>
      </w:pPr>
      <w:r>
        <w:rPr>
          <w:rFonts w:hint="eastAsia" w:ascii="Times New Roman" w:hAnsi="Times New Roman" w:eastAsia="方正仿宋_GBK"/>
          <w:color w:val="000000"/>
          <w:kern w:val="0"/>
          <w:sz w:val="32"/>
          <w:szCs w:val="32"/>
          <w:highlight w:val="none"/>
          <w:shd w:val="clear" w:color="auto" w:fill="FFFFFF"/>
          <w:lang w:val="en-US" w:eastAsia="zh-CN"/>
        </w:rPr>
        <w:t>5.</w:t>
      </w:r>
      <w:r>
        <w:rPr>
          <w:rFonts w:hint="default" w:ascii="Times New Roman" w:hAnsi="Times New Roman" w:eastAsia="方正仿宋_GBK"/>
          <w:color w:val="000000"/>
          <w:kern w:val="0"/>
          <w:sz w:val="32"/>
          <w:szCs w:val="32"/>
          <w:highlight w:val="none"/>
          <w:shd w:val="clear" w:color="auto" w:fill="FFFFFF"/>
          <w:lang w:val="zh-CN" w:eastAsia="zh-CN"/>
        </w:rPr>
        <w:t>采购管理。</w:t>
      </w:r>
    </w:p>
    <w:p>
      <w:pPr>
        <w:keepNext w:val="0"/>
        <w:keepLines w:val="0"/>
        <w:pageBreakBefore w:val="0"/>
        <w:widowControl w:val="0"/>
        <w:numPr>
          <w:ilvl w:val="0"/>
          <w:numId w:val="0"/>
        </w:numPr>
        <w:kinsoku/>
        <w:wordWrap/>
        <w:overflowPunct/>
        <w:topLinePunct w:val="0"/>
        <w:autoSpaceDE/>
        <w:autoSpaceDN/>
        <w:adjustRightInd w:val="0"/>
        <w:snapToGrid w:val="0"/>
        <w:spacing w:line="560" w:lineRule="exact"/>
        <w:ind w:firstLine="640" w:firstLineChars="200"/>
        <w:contextualSpacing/>
        <w:jc w:val="left"/>
        <w:rPr>
          <w:rFonts w:hint="default" w:ascii="Times New Roman" w:hAnsi="Times New Roman" w:eastAsia="方正仿宋_GBK"/>
          <w:color w:val="000000"/>
          <w:kern w:val="0"/>
          <w:sz w:val="32"/>
          <w:szCs w:val="32"/>
          <w:highlight w:val="none"/>
          <w:shd w:val="clear" w:color="auto" w:fill="FFFFFF"/>
          <w:lang w:val="zh-CN" w:eastAsia="zh-CN"/>
        </w:rPr>
      </w:pPr>
      <w:r>
        <w:rPr>
          <w:rFonts w:hint="default" w:ascii="Times New Roman" w:hAnsi="Times New Roman" w:eastAsia="仿宋_GB2312" w:cs="Times New Roman"/>
          <w:color w:val="auto"/>
          <w:sz w:val="32"/>
          <w:szCs w:val="32"/>
          <w:lang w:val="zh-CN" w:eastAsia="zh-CN"/>
        </w:rPr>
        <w:t>严格按照</w:t>
      </w:r>
      <w:r>
        <w:rPr>
          <w:rFonts w:hint="eastAsia" w:ascii="Times New Roman" w:hAnsi="Times New Roman" w:eastAsia="仿宋_GB2312" w:cs="Times New Roman"/>
          <w:color w:val="auto"/>
          <w:sz w:val="32"/>
          <w:szCs w:val="32"/>
          <w:lang w:val="zh-CN" w:eastAsia="zh-CN"/>
        </w:rPr>
        <w:t>政府采购</w:t>
      </w:r>
      <w:r>
        <w:rPr>
          <w:rFonts w:hint="default" w:ascii="Times New Roman" w:hAnsi="Times New Roman" w:eastAsia="仿宋_GB2312" w:cs="Times New Roman"/>
          <w:color w:val="auto"/>
          <w:sz w:val="32"/>
          <w:szCs w:val="32"/>
          <w:lang w:val="zh-CN" w:eastAsia="zh-CN"/>
        </w:rPr>
        <w:t>相关文件执行采购流程。</w:t>
      </w:r>
      <w:r>
        <w:rPr>
          <w:rFonts w:hint="eastAsia" w:ascii="Times New Roman" w:hAnsi="Times New Roman" w:eastAsia="仿宋_GB2312" w:cs="Times New Roman"/>
          <w:color w:val="auto"/>
          <w:sz w:val="32"/>
          <w:szCs w:val="32"/>
          <w:lang w:val="zh-CN" w:eastAsia="zh-CN"/>
        </w:rPr>
        <w:t>在预算年度内完成采购</w:t>
      </w:r>
      <w:r>
        <w:rPr>
          <w:rFonts w:hint="eastAsia" w:ascii="Times New Roman" w:hAnsi="Times New Roman" w:eastAsia="仿宋_GB2312" w:cs="Times New Roman"/>
          <w:color w:val="auto"/>
          <w:sz w:val="32"/>
          <w:szCs w:val="32"/>
          <w:lang w:val="en-US" w:eastAsia="zh-CN"/>
        </w:rPr>
        <w:t>UPS不间断电源1台，多功能打印一体机3台，采购执行率较高。</w:t>
      </w:r>
    </w:p>
    <w:p>
      <w:pPr>
        <w:keepNext w:val="0"/>
        <w:keepLines w:val="0"/>
        <w:pageBreakBefore w:val="0"/>
        <w:widowControl/>
        <w:numPr>
          <w:ilvl w:val="0"/>
          <w:numId w:val="4"/>
        </w:numPr>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eastAsia" w:ascii="方正楷体_GBK" w:eastAsia="方正楷体_GBK"/>
          <w:color w:val="000000"/>
          <w:kern w:val="0"/>
          <w:sz w:val="32"/>
          <w:szCs w:val="32"/>
          <w:highlight w:val="none"/>
          <w:shd w:val="clear" w:color="auto" w:fill="FFFFFF"/>
          <w:lang w:val="zh-CN" w:eastAsia="zh-CN"/>
        </w:rPr>
      </w:pPr>
      <w:r>
        <w:rPr>
          <w:rFonts w:hint="eastAsia" w:ascii="方正楷体_GBK" w:eastAsia="方正楷体_GBK"/>
          <w:color w:val="000000"/>
          <w:kern w:val="0"/>
          <w:sz w:val="32"/>
          <w:szCs w:val="32"/>
          <w:highlight w:val="none"/>
          <w:shd w:val="clear" w:color="auto" w:fill="FFFFFF"/>
          <w:lang w:val="zh-CN" w:eastAsia="zh-CN"/>
        </w:rPr>
        <w:t>部门预算项目绩效分析。</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default" w:ascii="Times New Roman" w:hAnsi="Times New Roman" w:eastAsia="仿宋_GB2312" w:cs="Times New Roman"/>
          <w:color w:val="000000"/>
          <w:sz w:val="32"/>
          <w:szCs w:val="32"/>
          <w:lang w:val="zh-CN" w:eastAsia="zh-CN"/>
        </w:rPr>
      </w:pPr>
      <w:r>
        <w:rPr>
          <w:rFonts w:hint="default" w:ascii="Times New Roman" w:hAnsi="Times New Roman" w:eastAsia="仿宋_GB2312" w:cs="Times New Roman"/>
          <w:color w:val="000000"/>
          <w:sz w:val="32"/>
          <w:szCs w:val="32"/>
          <w:lang w:val="en-US" w:eastAsia="zh-CN"/>
        </w:rPr>
        <w:t>常年项目绩效分析。</w:t>
      </w:r>
      <w:r>
        <w:rPr>
          <w:rFonts w:hint="default" w:ascii="Times New Roman" w:hAnsi="Times New Roman" w:eastAsia="仿宋_GB2312" w:cs="Times New Roman"/>
          <w:color w:val="000000"/>
          <w:sz w:val="32"/>
          <w:szCs w:val="32"/>
          <w:lang w:val="zh-CN" w:eastAsia="zh-CN"/>
        </w:rPr>
        <w:t>该类项目总数</w:t>
      </w:r>
      <w:r>
        <w:rPr>
          <w:rFonts w:hint="eastAsia" w:ascii="Times New Roman" w:hAnsi="Times New Roman" w:eastAsia="仿宋_GB2312" w:cs="Times New Roman"/>
          <w:color w:val="000000"/>
          <w:sz w:val="32"/>
          <w:szCs w:val="32"/>
          <w:lang w:val="en-US" w:eastAsia="zh-CN"/>
        </w:rPr>
        <w:t>2</w:t>
      </w:r>
      <w:r>
        <w:rPr>
          <w:rFonts w:hint="default" w:ascii="Times New Roman" w:hAnsi="Times New Roman" w:eastAsia="仿宋_GB2312" w:cs="Times New Roman"/>
          <w:color w:val="000000"/>
          <w:sz w:val="32"/>
          <w:szCs w:val="32"/>
          <w:lang w:val="zh-CN" w:eastAsia="zh-CN"/>
        </w:rPr>
        <w:t>个，涉及预算总金额</w:t>
      </w:r>
      <w:r>
        <w:rPr>
          <w:rFonts w:hint="eastAsia" w:ascii="Times New Roman" w:hAnsi="Times New Roman" w:eastAsia="仿宋_GB2312" w:cs="Times New Roman"/>
          <w:sz w:val="32"/>
          <w:szCs w:val="32"/>
          <w:lang w:val="en-US" w:eastAsia="zh-CN"/>
        </w:rPr>
        <w:t>163</w:t>
      </w:r>
      <w:r>
        <w:rPr>
          <w:rFonts w:hint="default" w:ascii="Times New Roman" w:hAnsi="Times New Roman" w:eastAsia="仿宋_GB2312" w:cs="Times New Roman"/>
          <w:color w:val="000000"/>
          <w:sz w:val="32"/>
          <w:szCs w:val="32"/>
          <w:lang w:val="zh-CN" w:eastAsia="zh-CN"/>
        </w:rPr>
        <w:t>万元，1—1</w:t>
      </w:r>
      <w:r>
        <w:rPr>
          <w:rFonts w:hint="default" w:ascii="Times New Roman" w:hAnsi="Times New Roman" w:eastAsia="仿宋_GB2312" w:cs="Times New Roman"/>
          <w:color w:val="000000"/>
          <w:sz w:val="32"/>
          <w:szCs w:val="32"/>
          <w:lang w:val="en-US" w:eastAsia="zh-CN"/>
        </w:rPr>
        <w:t>2</w:t>
      </w:r>
      <w:r>
        <w:rPr>
          <w:rFonts w:hint="default" w:ascii="Times New Roman" w:hAnsi="Times New Roman" w:eastAsia="仿宋_GB2312" w:cs="Times New Roman"/>
          <w:color w:val="000000"/>
          <w:sz w:val="32"/>
          <w:szCs w:val="32"/>
          <w:lang w:val="zh-CN" w:eastAsia="zh-CN"/>
        </w:rPr>
        <w:t>月预算执行总体进度为</w:t>
      </w:r>
      <w:r>
        <w:rPr>
          <w:rFonts w:hint="default" w:ascii="Times New Roman" w:hAnsi="Times New Roman" w:eastAsia="仿宋_GB2312" w:cs="Times New Roman"/>
          <w:color w:val="000000"/>
          <w:sz w:val="32"/>
          <w:szCs w:val="32"/>
          <w:lang w:val="en-US" w:eastAsia="zh-CN"/>
        </w:rPr>
        <w:t xml:space="preserve">100 </w:t>
      </w:r>
      <w:r>
        <w:rPr>
          <w:rFonts w:hint="default" w:ascii="Times New Roman" w:hAnsi="Times New Roman" w:eastAsia="仿宋_GB2312" w:cs="Times New Roman"/>
          <w:color w:val="000000"/>
          <w:sz w:val="32"/>
          <w:szCs w:val="32"/>
          <w:lang w:val="zh-CN" w:eastAsia="zh-CN"/>
        </w:rPr>
        <w:t>%，其中：预算结余率大于</w:t>
      </w:r>
      <w:r>
        <w:rPr>
          <w:rFonts w:hint="default" w:ascii="Times New Roman" w:hAnsi="Times New Roman" w:eastAsia="仿宋_GB2312" w:cs="Times New Roman"/>
          <w:color w:val="000000"/>
          <w:sz w:val="32"/>
          <w:szCs w:val="32"/>
          <w:lang w:val="en-US" w:eastAsia="zh-CN"/>
        </w:rPr>
        <w:t>10%</w:t>
      </w:r>
      <w:r>
        <w:rPr>
          <w:rFonts w:hint="default" w:ascii="Times New Roman" w:hAnsi="Times New Roman" w:eastAsia="仿宋_GB2312" w:cs="Times New Roman"/>
          <w:color w:val="000000"/>
          <w:sz w:val="32"/>
          <w:szCs w:val="32"/>
          <w:lang w:val="zh-CN" w:eastAsia="zh-CN"/>
        </w:rPr>
        <w:t>的项目共计</w:t>
      </w:r>
      <w:r>
        <w:rPr>
          <w:rFonts w:hint="default" w:ascii="Times New Roman" w:hAnsi="Times New Roman" w:eastAsia="仿宋_GB2312" w:cs="Times New Roman"/>
          <w:color w:val="000000"/>
          <w:sz w:val="32"/>
          <w:szCs w:val="32"/>
          <w:lang w:val="en-US" w:eastAsia="zh-CN"/>
        </w:rPr>
        <w:t>0</w:t>
      </w:r>
      <w:r>
        <w:rPr>
          <w:rFonts w:hint="default" w:ascii="Times New Roman" w:hAnsi="Times New Roman" w:eastAsia="仿宋_GB2312" w:cs="Times New Roman"/>
          <w:color w:val="000000"/>
          <w:sz w:val="32"/>
          <w:szCs w:val="32"/>
          <w:lang w:val="zh-CN" w:eastAsia="zh-CN"/>
        </w:rPr>
        <w:t>个。</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default" w:ascii="Times New Roman" w:hAnsi="Times New Roman" w:eastAsia="仿宋_GB2312" w:cs="Times New Roman"/>
          <w:color w:val="000000"/>
          <w:sz w:val="32"/>
          <w:szCs w:val="32"/>
          <w:lang w:val="en-US" w:eastAsia="zh-CN"/>
        </w:rPr>
      </w:pPr>
      <w:r>
        <w:rPr>
          <w:rFonts w:hint="default" w:ascii="Times New Roman" w:hAnsi="Times New Roman" w:eastAsia="仿宋_GB2312" w:cs="Times New Roman"/>
          <w:color w:val="000000"/>
          <w:sz w:val="32"/>
          <w:szCs w:val="32"/>
          <w:lang w:val="en-US" w:eastAsia="zh-CN"/>
        </w:rPr>
        <w:t>阶段（一次性）项目绩效分析。</w:t>
      </w:r>
      <w:r>
        <w:rPr>
          <w:rFonts w:hint="default" w:ascii="Times New Roman" w:hAnsi="Times New Roman" w:eastAsia="仿宋_GB2312" w:cs="Times New Roman"/>
          <w:color w:val="000000"/>
          <w:sz w:val="32"/>
          <w:szCs w:val="32"/>
          <w:lang w:val="zh-CN" w:eastAsia="zh-CN"/>
        </w:rPr>
        <w:t>该类项目总数</w:t>
      </w:r>
      <w:r>
        <w:rPr>
          <w:rFonts w:hint="default" w:ascii="Times New Roman" w:hAnsi="Times New Roman" w:eastAsia="仿宋_GB2312" w:cs="Times New Roman"/>
          <w:color w:val="000000"/>
          <w:sz w:val="32"/>
          <w:szCs w:val="32"/>
          <w:lang w:val="en-US" w:eastAsia="zh-CN"/>
        </w:rPr>
        <w:t>0</w:t>
      </w:r>
      <w:r>
        <w:rPr>
          <w:rFonts w:hint="default" w:ascii="Times New Roman" w:hAnsi="Times New Roman" w:eastAsia="仿宋_GB2312" w:cs="Times New Roman"/>
          <w:color w:val="000000"/>
          <w:sz w:val="32"/>
          <w:szCs w:val="32"/>
          <w:lang w:val="zh-CN" w:eastAsia="zh-CN"/>
        </w:rPr>
        <w:t>个。</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default" w:ascii="Times New Roman" w:hAnsi="Times New Roman" w:eastAsia="仿宋_GB2312" w:cs="Times New Roman"/>
          <w:b w:val="0"/>
          <w:bCs w:val="0"/>
          <w:color w:val="000000"/>
          <w:sz w:val="32"/>
          <w:szCs w:val="32"/>
          <w:lang w:val="zh-CN" w:eastAsia="zh-CN"/>
        </w:rPr>
      </w:pPr>
      <w:r>
        <w:rPr>
          <w:rFonts w:hint="default" w:ascii="Times New Roman" w:hAnsi="Times New Roman" w:eastAsia="楷体_GB2312" w:cs="Times New Roman"/>
          <w:color w:val="000000"/>
          <w:kern w:val="0"/>
          <w:sz w:val="32"/>
          <w:szCs w:val="32"/>
          <w:highlight w:val="none"/>
          <w:shd w:val="clear" w:color="auto" w:fill="FFFFFF"/>
          <w:lang w:val="en-US" w:eastAsia="zh-CN"/>
        </w:rPr>
        <w:t>1.</w:t>
      </w:r>
      <w:r>
        <w:rPr>
          <w:rFonts w:hint="default" w:ascii="Times New Roman" w:hAnsi="Times New Roman" w:eastAsia="楷体_GB2312" w:cs="Times New Roman"/>
          <w:color w:val="000000"/>
          <w:kern w:val="0"/>
          <w:sz w:val="32"/>
          <w:szCs w:val="32"/>
          <w:highlight w:val="none"/>
          <w:shd w:val="clear" w:color="auto" w:fill="FFFFFF"/>
          <w:lang w:val="zh-CN"/>
        </w:rPr>
        <w:t>项目决策。</w:t>
      </w:r>
      <w:r>
        <w:rPr>
          <w:rFonts w:hint="eastAsia" w:ascii="Times New Roman" w:hAnsi="Times New Roman" w:eastAsia="仿宋_GB2312" w:cs="Times New Roman"/>
          <w:b w:val="0"/>
          <w:bCs w:val="0"/>
          <w:color w:val="000000"/>
          <w:sz w:val="32"/>
          <w:szCs w:val="32"/>
          <w:lang w:val="zh-CN" w:eastAsia="zh-CN"/>
        </w:rPr>
        <w:t>项目立项以财政预算批复文件为依据，确保其合规性；项目目标设置</w:t>
      </w:r>
      <w:r>
        <w:rPr>
          <w:rFonts w:hint="default" w:ascii="Times New Roman" w:hAnsi="Times New Roman" w:eastAsia="仿宋_GB2312" w:cs="Times New Roman"/>
          <w:b w:val="0"/>
          <w:bCs w:val="0"/>
          <w:color w:val="000000"/>
          <w:sz w:val="32"/>
          <w:szCs w:val="32"/>
          <w:lang w:val="zh-CN" w:eastAsia="zh-CN"/>
        </w:rPr>
        <w:t>围绕保障重点,紧扣发展大局</w:t>
      </w:r>
      <w:r>
        <w:rPr>
          <w:rFonts w:hint="eastAsia" w:ascii="Times New Roman" w:hAnsi="Times New Roman" w:eastAsia="仿宋_GB2312" w:cs="Times New Roman"/>
          <w:b w:val="0"/>
          <w:bCs w:val="0"/>
          <w:color w:val="000000"/>
          <w:sz w:val="32"/>
          <w:szCs w:val="32"/>
          <w:lang w:val="zh-CN" w:eastAsia="zh-CN"/>
        </w:rPr>
        <w:t>，与部门核心职能相匹配；</w:t>
      </w:r>
      <w:r>
        <w:rPr>
          <w:rFonts w:hint="default" w:ascii="Times New Roman" w:hAnsi="Times New Roman" w:eastAsia="仿宋_GB2312" w:cs="Times New Roman"/>
          <w:b w:val="0"/>
          <w:bCs w:val="0"/>
          <w:color w:val="000000"/>
          <w:sz w:val="32"/>
          <w:szCs w:val="32"/>
          <w:lang w:val="zh-CN" w:eastAsia="zh-CN"/>
        </w:rPr>
        <w:t>项目入库</w:t>
      </w:r>
      <w:r>
        <w:rPr>
          <w:rFonts w:hint="eastAsia" w:ascii="Times New Roman" w:hAnsi="Times New Roman" w:eastAsia="仿宋_GB2312" w:cs="Times New Roman"/>
          <w:b w:val="0"/>
          <w:bCs w:val="0"/>
          <w:color w:val="000000"/>
          <w:sz w:val="32"/>
          <w:szCs w:val="32"/>
          <w:lang w:val="zh-CN" w:eastAsia="zh-CN"/>
        </w:rPr>
        <w:t>流程规范，特定目标类项目均按相关要求进行事前绩效评估</w:t>
      </w:r>
      <w:r>
        <w:rPr>
          <w:rFonts w:hint="default" w:ascii="Times New Roman" w:hAnsi="Times New Roman" w:eastAsia="仿宋_GB2312" w:cs="Times New Roman"/>
          <w:b w:val="0"/>
          <w:bCs w:val="0"/>
          <w:color w:val="000000"/>
          <w:sz w:val="32"/>
          <w:szCs w:val="32"/>
          <w:lang w:val="zh-CN" w:eastAsia="zh-CN"/>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default" w:ascii="Times New Roman" w:hAnsi="Times New Roman" w:eastAsia="楷体_GB2312" w:cs="Times New Roman"/>
          <w:color w:val="000000"/>
          <w:kern w:val="0"/>
          <w:sz w:val="32"/>
          <w:szCs w:val="32"/>
          <w:highlight w:val="none"/>
          <w:shd w:val="clear" w:color="auto" w:fill="FFFFFF"/>
          <w:lang w:val="zh-CN"/>
        </w:rPr>
      </w:pPr>
      <w:r>
        <w:rPr>
          <w:rFonts w:hint="default" w:ascii="Times New Roman" w:hAnsi="Times New Roman" w:eastAsia="楷体_GB2312" w:cs="Times New Roman"/>
          <w:color w:val="000000"/>
          <w:kern w:val="0"/>
          <w:sz w:val="32"/>
          <w:szCs w:val="32"/>
          <w:highlight w:val="none"/>
          <w:shd w:val="clear" w:color="auto" w:fill="FFFFFF"/>
          <w:lang w:val="en-US" w:eastAsia="zh-CN"/>
        </w:rPr>
        <w:t>2.项目执行</w:t>
      </w:r>
      <w:r>
        <w:rPr>
          <w:rFonts w:hint="default" w:ascii="Times New Roman" w:hAnsi="Times New Roman" w:eastAsia="楷体_GB2312" w:cs="Times New Roman"/>
          <w:color w:val="000000"/>
          <w:kern w:val="0"/>
          <w:sz w:val="32"/>
          <w:szCs w:val="32"/>
          <w:highlight w:val="none"/>
          <w:shd w:val="clear" w:color="auto" w:fill="FFFFFF"/>
          <w:lang w:val="zh-CN"/>
        </w:rPr>
        <w:t>。</w:t>
      </w:r>
      <w:r>
        <w:rPr>
          <w:rFonts w:hint="default" w:ascii="Times New Roman" w:hAnsi="Times New Roman" w:eastAsia="仿宋_GB2312" w:cs="Times New Roman"/>
          <w:color w:val="000000"/>
          <w:sz w:val="32"/>
          <w:szCs w:val="32"/>
          <w:lang w:val="zh-CN" w:eastAsia="zh-CN"/>
        </w:rPr>
        <w:t>项目资金执行合法合规合理、</w:t>
      </w:r>
      <w:r>
        <w:rPr>
          <w:rFonts w:hint="eastAsia" w:ascii="Times New Roman" w:hAnsi="Times New Roman" w:eastAsia="仿宋_GB2312" w:cs="Times New Roman"/>
          <w:color w:val="000000"/>
          <w:sz w:val="32"/>
          <w:szCs w:val="32"/>
          <w:lang w:val="zh-CN" w:eastAsia="zh-CN"/>
        </w:rPr>
        <w:t>专款专用、</w:t>
      </w:r>
      <w:r>
        <w:rPr>
          <w:rFonts w:hint="default" w:ascii="Times New Roman" w:hAnsi="Times New Roman" w:eastAsia="仿宋_GB2312" w:cs="Times New Roman"/>
          <w:color w:val="000000"/>
          <w:sz w:val="32"/>
          <w:szCs w:val="32"/>
          <w:lang w:val="zh-CN" w:eastAsia="zh-CN"/>
        </w:rPr>
        <w:t>到位及时</w:t>
      </w:r>
      <w:r>
        <w:rPr>
          <w:rFonts w:hint="eastAsia" w:ascii="Times New Roman" w:hAnsi="Times New Roman" w:eastAsia="仿宋_GB2312" w:cs="Times New Roman"/>
          <w:color w:val="000000"/>
          <w:sz w:val="32"/>
          <w:szCs w:val="32"/>
          <w:lang w:val="zh-CN" w:eastAsia="zh-CN"/>
        </w:rPr>
        <w:t>；</w:t>
      </w:r>
      <w:r>
        <w:rPr>
          <w:rFonts w:hint="default" w:ascii="Times New Roman" w:hAnsi="Times New Roman" w:eastAsia="仿宋_GB2312" w:cs="Times New Roman"/>
          <w:color w:val="000000"/>
          <w:sz w:val="32"/>
          <w:szCs w:val="32"/>
          <w:lang w:val="zh-CN" w:eastAsia="zh-CN"/>
        </w:rPr>
        <w:t>项目调整符合相关规定、程序完备，执行结果达到预期水平，有较好的社会反响。</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eastAsia" w:ascii="Times New Roman" w:hAnsi="Times New Roman" w:eastAsia="楷体_GB2312" w:cs="Times New Roman"/>
          <w:color w:val="000000"/>
          <w:kern w:val="0"/>
          <w:sz w:val="32"/>
          <w:szCs w:val="32"/>
          <w:highlight w:val="none"/>
          <w:shd w:val="clear" w:color="auto" w:fill="FFFFFF"/>
          <w:lang w:val="zh-CN"/>
        </w:rPr>
      </w:pPr>
      <w:r>
        <w:rPr>
          <w:rFonts w:hint="default" w:ascii="Times New Roman" w:hAnsi="Times New Roman" w:eastAsia="楷体_GB2312" w:cs="Times New Roman"/>
          <w:color w:val="000000"/>
          <w:kern w:val="0"/>
          <w:sz w:val="32"/>
          <w:szCs w:val="32"/>
          <w:highlight w:val="none"/>
          <w:shd w:val="clear" w:color="auto" w:fill="FFFFFF"/>
          <w:lang w:val="en-US" w:eastAsia="zh-CN"/>
        </w:rPr>
        <w:t>3.</w:t>
      </w:r>
      <w:r>
        <w:rPr>
          <w:rFonts w:hint="default" w:ascii="Times New Roman" w:hAnsi="Times New Roman" w:eastAsia="楷体_GB2312" w:cs="Times New Roman"/>
          <w:color w:val="000000"/>
          <w:kern w:val="0"/>
          <w:sz w:val="32"/>
          <w:szCs w:val="32"/>
          <w:highlight w:val="none"/>
          <w:shd w:val="clear" w:color="auto" w:fill="FFFFFF"/>
          <w:lang w:val="zh-CN"/>
        </w:rPr>
        <w:t>目标实现。</w:t>
      </w:r>
      <w:r>
        <w:rPr>
          <w:rFonts w:hint="eastAsia" w:ascii="Times New Roman" w:hAnsi="Times New Roman" w:eastAsia="仿宋_GB2312" w:cs="Times New Roman"/>
          <w:color w:val="000000"/>
          <w:kern w:val="0"/>
          <w:sz w:val="32"/>
          <w:szCs w:val="32"/>
          <w:shd w:val="clear" w:color="auto" w:fill="FFFFFF"/>
          <w:lang w:val="zh-CN" w:eastAsia="zh-CN"/>
        </w:rPr>
        <w:t>年度目标总体完成度较高，目标量化指标达成，</w:t>
      </w:r>
      <w:r>
        <w:rPr>
          <w:rFonts w:hint="eastAsia" w:ascii="Times New Roman" w:hAnsi="Times New Roman" w:eastAsia="仿宋_GB2312" w:cs="Times New Roman"/>
          <w:color w:val="000000"/>
          <w:kern w:val="0"/>
          <w:sz w:val="32"/>
          <w:szCs w:val="32"/>
          <w:shd w:val="clear" w:color="auto" w:fill="FFFFFF"/>
          <w:lang w:val="en-US" w:eastAsia="zh-CN"/>
        </w:rPr>
        <w:t>部门</w:t>
      </w:r>
      <w:r>
        <w:rPr>
          <w:rFonts w:hint="eastAsia" w:ascii="Times New Roman" w:hAnsi="Times New Roman" w:eastAsia="仿宋_GB2312" w:cs="Times New Roman"/>
          <w:color w:val="000000"/>
          <w:kern w:val="0"/>
          <w:sz w:val="32"/>
          <w:szCs w:val="32"/>
          <w:shd w:val="clear" w:color="auto" w:fill="FFFFFF"/>
          <w:lang w:val="zh-CN" w:eastAsia="zh-CN"/>
        </w:rPr>
        <w:t>履职方面</w:t>
      </w:r>
      <w:r>
        <w:rPr>
          <w:rFonts w:hint="eastAsia" w:ascii="Times New Roman" w:hAnsi="Times New Roman" w:eastAsia="仿宋_GB2312" w:cs="Times New Roman"/>
          <w:color w:val="000000"/>
          <w:kern w:val="0"/>
          <w:sz w:val="32"/>
          <w:szCs w:val="32"/>
          <w:shd w:val="clear" w:color="auto" w:fill="FFFFFF"/>
          <w:lang w:val="en-US" w:eastAsia="zh-CN"/>
        </w:rPr>
        <w:t>效果显著，经济效益及社会效益较高。</w:t>
      </w:r>
      <w:r>
        <w:rPr>
          <w:rFonts w:hint="eastAsia" w:ascii="Times New Roman" w:hAnsi="Times New Roman" w:eastAsia="仿宋_GB2312" w:cs="Times New Roman"/>
          <w:color w:val="000000"/>
          <w:kern w:val="0"/>
          <w:sz w:val="32"/>
          <w:szCs w:val="32"/>
          <w:shd w:val="clear" w:color="auto" w:fill="FFFFFF"/>
          <w:lang w:val="zh-CN" w:eastAsia="zh-CN"/>
        </w:rPr>
        <w:t>未出现目标偏离。</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sz w:val="32"/>
          <w:szCs w:val="32"/>
          <w:u w:val="none"/>
          <w:lang w:val="en-US" w:eastAsia="zh-CN"/>
        </w:rPr>
      </w:pPr>
      <w:r>
        <w:rPr>
          <w:rFonts w:hint="eastAsia" w:ascii="Times New Roman" w:hAnsi="Times New Roman" w:eastAsia="仿宋_GB2312" w:cs="Times New Roman"/>
          <w:color w:val="000000"/>
          <w:kern w:val="0"/>
          <w:sz w:val="32"/>
          <w:szCs w:val="32"/>
          <w:shd w:val="clear" w:color="auto" w:fill="FFFFFF"/>
          <w:lang w:val="zh-CN" w:eastAsia="zh-CN"/>
        </w:rPr>
        <w:t>平昌县人民检察院</w:t>
      </w:r>
      <w:r>
        <w:rPr>
          <w:rFonts w:hint="default" w:ascii="Times New Roman" w:hAnsi="Times New Roman" w:eastAsia="仿宋_GB2312" w:cs="Times New Roman"/>
          <w:color w:val="000000"/>
          <w:kern w:val="0"/>
          <w:sz w:val="32"/>
          <w:szCs w:val="32"/>
          <w:shd w:val="clear" w:color="auto" w:fill="FFFFFF"/>
          <w:lang w:val="en-US" w:eastAsia="zh-CN"/>
        </w:rPr>
        <w:t>202</w:t>
      </w:r>
      <w:r>
        <w:rPr>
          <w:rFonts w:hint="eastAsia" w:ascii="Times New Roman" w:hAnsi="Times New Roman" w:eastAsia="仿宋_GB2312" w:cs="Times New Roman"/>
          <w:color w:val="000000"/>
          <w:kern w:val="0"/>
          <w:sz w:val="32"/>
          <w:szCs w:val="32"/>
          <w:shd w:val="clear" w:color="auto" w:fill="FFFFFF"/>
          <w:lang w:val="en-US" w:eastAsia="zh-CN"/>
        </w:rPr>
        <w:t>5</w:t>
      </w:r>
      <w:r>
        <w:rPr>
          <w:rFonts w:hint="default" w:ascii="Times New Roman" w:hAnsi="Times New Roman" w:eastAsia="仿宋_GB2312" w:cs="Times New Roman"/>
          <w:color w:val="000000"/>
          <w:kern w:val="0"/>
          <w:sz w:val="32"/>
          <w:szCs w:val="32"/>
          <w:shd w:val="clear" w:color="auto" w:fill="FFFFFF"/>
          <w:lang w:val="en-US" w:eastAsia="zh-CN"/>
        </w:rPr>
        <w:t>年度一般公共预算安排的常年项目</w:t>
      </w:r>
      <w:r>
        <w:rPr>
          <w:rFonts w:hint="eastAsia" w:ascii="Times New Roman" w:hAnsi="Times New Roman" w:eastAsia="仿宋_GB2312" w:cs="Times New Roman"/>
          <w:color w:val="000000"/>
          <w:kern w:val="0"/>
          <w:sz w:val="32"/>
          <w:szCs w:val="32"/>
          <w:shd w:val="clear" w:color="auto" w:fill="FFFFFF"/>
          <w:lang w:val="en-US" w:eastAsia="zh-CN"/>
        </w:rPr>
        <w:t>绩效指标值均达到年初绩效目标任务值，本年度</w:t>
      </w:r>
      <w:r>
        <w:rPr>
          <w:rFonts w:hint="eastAsia" w:ascii="仿宋_GB2312" w:eastAsia="仿宋_GB2312" w:cs="Times New Roman"/>
          <w:color w:val="000000"/>
          <w:sz w:val="32"/>
          <w:szCs w:val="32"/>
          <w:lang w:val="en-US" w:eastAsia="zh-CN"/>
        </w:rPr>
        <w:t>实施政府</w:t>
      </w:r>
      <w:r>
        <w:rPr>
          <w:rFonts w:hint="eastAsia" w:ascii="仿宋_GB2312" w:eastAsia="仿宋_GB2312" w:cs="Times New Roman"/>
          <w:color w:val="000000"/>
          <w:sz w:val="32"/>
          <w:szCs w:val="32"/>
          <w:lang w:val="zh-CN" w:eastAsia="zh-CN"/>
        </w:rPr>
        <w:t>采购计划</w:t>
      </w:r>
      <w:r>
        <w:rPr>
          <w:rFonts w:hint="eastAsia" w:ascii="仿宋_GB2312" w:hAnsi="仿宋_GB2312" w:eastAsia="仿宋_GB2312" w:cs="仿宋_GB2312"/>
          <w:sz w:val="32"/>
          <w:szCs w:val="32"/>
          <w:lang w:val="en-US" w:eastAsia="zh-CN"/>
        </w:rPr>
        <w:t>支</w:t>
      </w:r>
      <w:r>
        <w:rPr>
          <w:rFonts w:hint="eastAsia" w:ascii="Times New Roman" w:hAnsi="Times New Roman" w:eastAsia="仿宋_GB2312" w:cs="Times New Roman"/>
          <w:color w:val="000000"/>
          <w:kern w:val="0"/>
          <w:sz w:val="32"/>
          <w:szCs w:val="32"/>
          <w:shd w:val="clear" w:color="auto" w:fill="FFFFFF"/>
          <w:lang w:val="en-US" w:eastAsia="zh-CN"/>
        </w:rPr>
        <w:t>出3.6万元（</w:t>
      </w:r>
      <w:r>
        <w:rPr>
          <w:rFonts w:hint="eastAsia" w:ascii="仿宋_GB2312" w:eastAsia="仿宋_GB2312" w:cs="Times New Roman"/>
          <w:color w:val="000000"/>
          <w:sz w:val="32"/>
          <w:szCs w:val="32"/>
          <w:lang w:val="zh-CN" w:eastAsia="zh-CN"/>
        </w:rPr>
        <w:t>购置</w:t>
      </w:r>
      <w:r>
        <w:rPr>
          <w:rFonts w:hint="eastAsia" w:ascii="仿宋_GB2312" w:eastAsia="仿宋_GB2312" w:cs="Times New Roman"/>
          <w:color w:val="000000"/>
          <w:sz w:val="32"/>
          <w:szCs w:val="32"/>
          <w:lang w:val="en-US" w:eastAsia="zh-CN"/>
        </w:rPr>
        <w:t>UPS不间断电源1台和一体机3台）</w:t>
      </w:r>
      <w:r>
        <w:rPr>
          <w:rFonts w:hint="eastAsia" w:ascii="仿宋_GB2312" w:hAnsi="仿宋_GB2312" w:eastAsia="仿宋_GB2312" w:cs="仿宋_GB2312"/>
          <w:sz w:val="32"/>
          <w:szCs w:val="32"/>
          <w:lang w:val="en-US" w:eastAsia="zh-CN"/>
        </w:rPr>
        <w:t>。</w:t>
      </w:r>
      <w:r>
        <w:rPr>
          <w:rFonts w:hint="eastAsia" w:ascii="Times New Roman" w:hAnsi="Times New Roman" w:eastAsia="仿宋_GB2312" w:cs="Times New Roman"/>
          <w:color w:val="000000"/>
          <w:kern w:val="0"/>
          <w:sz w:val="32"/>
          <w:szCs w:val="32"/>
          <w:shd w:val="clear" w:color="auto" w:fill="FFFFFF"/>
          <w:lang w:val="en-US" w:eastAsia="zh-CN"/>
        </w:rPr>
        <w:t>2025年内</w:t>
      </w:r>
      <w:r>
        <w:rPr>
          <w:rFonts w:hint="default" w:ascii="Times New Roman" w:hAnsi="Times New Roman" w:eastAsia="仿宋_GB2312" w:cs="Times New Roman"/>
          <w:color w:val="000000"/>
          <w:kern w:val="0"/>
          <w:sz w:val="32"/>
          <w:szCs w:val="32"/>
          <w:shd w:val="clear" w:color="auto" w:fill="FFFFFF"/>
          <w:lang w:val="zh-CN"/>
        </w:rPr>
        <w:t>完成了县委</w:t>
      </w:r>
      <w:r>
        <w:rPr>
          <w:rFonts w:hint="eastAsia" w:cs="Times New Roman"/>
          <w:color w:val="000000"/>
          <w:kern w:val="0"/>
          <w:sz w:val="32"/>
          <w:szCs w:val="32"/>
          <w:shd w:val="clear" w:color="auto" w:fill="FFFFFF"/>
          <w:lang w:val="zh-CN"/>
        </w:rPr>
        <w:t>、</w:t>
      </w:r>
      <w:r>
        <w:rPr>
          <w:rFonts w:hint="default" w:ascii="Times New Roman" w:hAnsi="Times New Roman" w:eastAsia="仿宋_GB2312" w:cs="Times New Roman"/>
          <w:color w:val="000000"/>
          <w:kern w:val="0"/>
          <w:sz w:val="32"/>
          <w:szCs w:val="32"/>
          <w:shd w:val="clear" w:color="auto" w:fill="FFFFFF"/>
          <w:lang w:val="zh-CN"/>
        </w:rPr>
        <w:t>县政府</w:t>
      </w:r>
      <w:r>
        <w:rPr>
          <w:rFonts w:hint="eastAsia" w:ascii="Times New Roman" w:hAnsi="Times New Roman" w:eastAsia="仿宋_GB2312" w:cs="Times New Roman"/>
          <w:color w:val="000000"/>
          <w:kern w:val="0"/>
          <w:sz w:val="32"/>
          <w:szCs w:val="32"/>
          <w:shd w:val="clear" w:color="auto" w:fill="FFFFFF"/>
          <w:lang w:val="zh-CN"/>
        </w:rPr>
        <w:t>和上级检察院</w:t>
      </w:r>
      <w:r>
        <w:rPr>
          <w:rFonts w:hint="default" w:ascii="Times New Roman" w:hAnsi="Times New Roman" w:eastAsia="仿宋_GB2312" w:cs="Times New Roman"/>
          <w:color w:val="000000"/>
          <w:kern w:val="0"/>
          <w:sz w:val="32"/>
          <w:szCs w:val="32"/>
          <w:shd w:val="clear" w:color="auto" w:fill="FFFFFF"/>
          <w:lang w:val="zh-CN"/>
        </w:rPr>
        <w:t>下达的各项</w:t>
      </w:r>
      <w:r>
        <w:rPr>
          <w:rFonts w:hint="eastAsia" w:ascii="Times New Roman" w:hAnsi="Times New Roman" w:eastAsia="仿宋_GB2312" w:cs="Times New Roman"/>
          <w:color w:val="000000"/>
          <w:kern w:val="0"/>
          <w:sz w:val="32"/>
          <w:szCs w:val="32"/>
          <w:shd w:val="clear" w:color="auto" w:fill="FFFFFF"/>
          <w:lang w:val="zh-CN"/>
        </w:rPr>
        <w:t>指标</w:t>
      </w:r>
      <w:r>
        <w:rPr>
          <w:rFonts w:hint="default" w:ascii="Times New Roman" w:hAnsi="Times New Roman" w:eastAsia="仿宋_GB2312" w:cs="Times New Roman"/>
          <w:color w:val="000000"/>
          <w:kern w:val="0"/>
          <w:sz w:val="32"/>
          <w:szCs w:val="32"/>
          <w:shd w:val="clear" w:color="auto" w:fill="FFFFFF"/>
          <w:lang w:val="zh-CN"/>
        </w:rPr>
        <w:t>，</w:t>
      </w:r>
      <w:r>
        <w:rPr>
          <w:rFonts w:hint="eastAsia" w:ascii="Times New Roman" w:hAnsi="Times New Roman" w:eastAsia="仿宋_GB2312" w:cs="Times New Roman"/>
          <w:color w:val="000000"/>
          <w:kern w:val="0"/>
          <w:sz w:val="32"/>
          <w:szCs w:val="32"/>
          <w:shd w:val="clear" w:color="auto" w:fill="FFFFFF"/>
          <w:lang w:val="zh-CN"/>
        </w:rPr>
        <w:t>多项工作得到肯定。在维护</w:t>
      </w:r>
      <w:r>
        <w:rPr>
          <w:rFonts w:hint="default" w:ascii="Times New Roman" w:hAnsi="Times New Roman" w:eastAsia="仿宋_GB2312" w:cs="Times New Roman"/>
          <w:color w:val="000000"/>
          <w:kern w:val="0"/>
          <w:sz w:val="32"/>
          <w:szCs w:val="32"/>
          <w:shd w:val="clear" w:color="auto" w:fill="FFFFFF"/>
          <w:lang w:val="zh-CN"/>
        </w:rPr>
        <w:t>社会稳定</w:t>
      </w:r>
      <w:r>
        <w:rPr>
          <w:rFonts w:hint="eastAsia" w:ascii="Times New Roman" w:hAnsi="Times New Roman" w:eastAsia="仿宋_GB2312" w:cs="Times New Roman"/>
          <w:color w:val="000000"/>
          <w:kern w:val="0"/>
          <w:sz w:val="32"/>
          <w:szCs w:val="32"/>
          <w:shd w:val="clear" w:color="auto" w:fill="FFFFFF"/>
          <w:lang w:val="zh-CN"/>
        </w:rPr>
        <w:t>、</w:t>
      </w:r>
      <w:r>
        <w:rPr>
          <w:rFonts w:hint="default" w:ascii="Times New Roman" w:hAnsi="Times New Roman" w:eastAsia="仿宋_GB2312" w:cs="Times New Roman"/>
          <w:color w:val="000000"/>
          <w:kern w:val="0"/>
          <w:sz w:val="32"/>
          <w:szCs w:val="32"/>
          <w:shd w:val="clear" w:color="auto" w:fill="FFFFFF"/>
          <w:lang w:val="en-US" w:eastAsia="zh-CN"/>
        </w:rPr>
        <w:t>助力优化营商环境</w:t>
      </w:r>
      <w:r>
        <w:rPr>
          <w:rFonts w:hint="eastAsia" w:ascii="Times New Roman" w:hAnsi="Times New Roman" w:eastAsia="仿宋_GB2312" w:cs="Times New Roman"/>
          <w:color w:val="000000"/>
          <w:kern w:val="0"/>
          <w:sz w:val="32"/>
          <w:szCs w:val="32"/>
          <w:shd w:val="clear" w:color="auto" w:fill="FFFFFF"/>
          <w:lang w:val="en-US" w:eastAsia="zh-CN"/>
        </w:rPr>
        <w:t>、积极促进</w:t>
      </w:r>
      <w:r>
        <w:rPr>
          <w:rFonts w:hint="default" w:ascii="Times New Roman" w:hAnsi="Times New Roman" w:eastAsia="仿宋_GB2312" w:cs="Times New Roman"/>
          <w:color w:val="000000"/>
          <w:kern w:val="0"/>
          <w:sz w:val="32"/>
          <w:szCs w:val="32"/>
          <w:shd w:val="clear" w:color="auto" w:fill="FFFFFF"/>
          <w:lang w:val="en-US" w:eastAsia="zh-CN"/>
        </w:rPr>
        <w:t>社会治理</w:t>
      </w:r>
      <w:r>
        <w:rPr>
          <w:rFonts w:hint="eastAsia" w:ascii="Times New Roman" w:hAnsi="Times New Roman" w:eastAsia="仿宋_GB2312" w:cs="Times New Roman"/>
          <w:color w:val="000000"/>
          <w:kern w:val="0"/>
          <w:sz w:val="32"/>
          <w:szCs w:val="32"/>
          <w:shd w:val="clear" w:color="auto" w:fill="FFFFFF"/>
          <w:lang w:val="en-US" w:eastAsia="zh-CN"/>
        </w:rPr>
        <w:t>、</w:t>
      </w:r>
      <w:r>
        <w:rPr>
          <w:rFonts w:hint="default" w:ascii="Times New Roman" w:hAnsi="Times New Roman" w:eastAsia="仿宋_GB2312" w:cs="Times New Roman"/>
          <w:color w:val="000000"/>
          <w:kern w:val="0"/>
          <w:sz w:val="32"/>
          <w:szCs w:val="32"/>
          <w:shd w:val="clear" w:color="auto" w:fill="FFFFFF"/>
          <w:lang w:val="en-US" w:eastAsia="zh-CN"/>
        </w:rPr>
        <w:t>坚持</w:t>
      </w:r>
      <w:r>
        <w:rPr>
          <w:rFonts w:hint="default" w:ascii="Times New Roman" w:hAnsi="Times New Roman" w:eastAsia="仿宋_GB2312" w:cs="Times New Roman"/>
          <w:color w:val="000000"/>
          <w:kern w:val="0"/>
          <w:sz w:val="32"/>
          <w:szCs w:val="32"/>
          <w:shd w:val="clear" w:color="auto" w:fill="FFFFFF"/>
          <w:lang w:val="zh-CN" w:eastAsia="zh-CN"/>
        </w:rPr>
        <w:t>“检护民生”</w:t>
      </w:r>
      <w:r>
        <w:rPr>
          <w:rFonts w:hint="eastAsia" w:ascii="Times New Roman" w:hAnsi="Times New Roman" w:eastAsia="仿宋_GB2312" w:cs="Times New Roman"/>
          <w:color w:val="000000"/>
          <w:kern w:val="0"/>
          <w:sz w:val="32"/>
          <w:szCs w:val="32"/>
          <w:shd w:val="clear" w:color="auto" w:fill="FFFFFF"/>
          <w:lang w:val="zh-CN" w:eastAsia="zh-CN"/>
        </w:rPr>
        <w:t>、推进</w:t>
      </w:r>
      <w:r>
        <w:rPr>
          <w:rFonts w:hint="default" w:ascii="Times New Roman" w:hAnsi="Times New Roman" w:eastAsia="仿宋_GB2312" w:cs="Times New Roman"/>
          <w:color w:val="000000"/>
          <w:kern w:val="0"/>
          <w:sz w:val="32"/>
          <w:szCs w:val="32"/>
          <w:shd w:val="clear" w:color="auto" w:fill="FFFFFF"/>
          <w:lang w:val="en-US" w:eastAsia="zh-CN"/>
        </w:rPr>
        <w:t>高水平法律监督</w:t>
      </w:r>
      <w:r>
        <w:rPr>
          <w:rFonts w:hint="eastAsia" w:ascii="Times New Roman" w:hAnsi="Times New Roman" w:eastAsia="仿宋_GB2312" w:cs="Times New Roman"/>
          <w:color w:val="000000"/>
          <w:kern w:val="0"/>
          <w:sz w:val="32"/>
          <w:szCs w:val="32"/>
          <w:shd w:val="clear" w:color="auto" w:fill="FFFFFF"/>
          <w:lang w:val="en-US" w:eastAsia="zh-CN"/>
        </w:rPr>
        <w:t>等方面取得显著成效</w:t>
      </w:r>
      <w:r>
        <w:rPr>
          <w:rFonts w:hint="eastAsia" w:ascii="Times New Roman" w:hAnsi="Times New Roman" w:eastAsia="仿宋_GB2312" w:cs="Times New Roman"/>
          <w:color w:val="000000"/>
          <w:kern w:val="0"/>
          <w:sz w:val="32"/>
          <w:szCs w:val="32"/>
          <w:shd w:val="clear" w:color="auto" w:fill="FFFFFF"/>
          <w:lang w:val="zh-CN"/>
        </w:rPr>
        <w:t>，持续增进人民群众福祉</w:t>
      </w:r>
      <w:r>
        <w:rPr>
          <w:rFonts w:hint="eastAsia" w:ascii="Times New Roman" w:hAnsi="Times New Roman" w:eastAsia="仿宋_GB2312" w:cs="Times New Roman"/>
          <w:color w:val="000000"/>
          <w:kern w:val="0"/>
          <w:sz w:val="32"/>
          <w:szCs w:val="32"/>
          <w:shd w:val="clear" w:color="auto" w:fill="FFFFFF"/>
          <w:lang w:val="en-US" w:eastAsia="zh-CN"/>
        </w:rPr>
        <w:t>。同时</w:t>
      </w:r>
      <w:r>
        <w:rPr>
          <w:rFonts w:hint="default" w:ascii="Times New Roman" w:hAnsi="Times New Roman" w:eastAsia="仿宋_GB2312" w:cs="Times New Roman"/>
          <w:sz w:val="32"/>
          <w:szCs w:val="32"/>
        </w:rPr>
        <w:t>积极配合做好接受省委巡视联动巡察和省院政治督查，对指出的问题做到立行立改、真改实改，不断完善检察权运行制约监督机制。</w:t>
      </w:r>
      <w:r>
        <w:rPr>
          <w:rFonts w:hint="eastAsia" w:ascii="仿宋_GB2312" w:eastAsia="仿宋_GB2312" w:cs="Times New Roman"/>
          <w:color w:val="000000"/>
          <w:sz w:val="32"/>
          <w:szCs w:val="32"/>
          <w:lang w:val="en-US" w:eastAsia="zh-CN"/>
        </w:rPr>
        <w:t>并接受本院内部纪检组、派驻纪检组，外部财政部门、审计部门的监督。</w:t>
      </w:r>
    </w:p>
    <w:p>
      <w:pPr>
        <w:keepNext w:val="0"/>
        <w:keepLines w:val="0"/>
        <w:pageBreakBefore w:val="0"/>
        <w:widowControl w:val="0"/>
        <w:numPr>
          <w:ilvl w:val="0"/>
          <w:numId w:val="4"/>
        </w:numPr>
        <w:kinsoku/>
        <w:wordWrap/>
        <w:overflowPunct/>
        <w:topLinePunct w:val="0"/>
        <w:autoSpaceDE/>
        <w:autoSpaceDN/>
        <w:bidi w:val="0"/>
        <w:snapToGrid w:val="0"/>
        <w:spacing w:line="560" w:lineRule="exact"/>
        <w:ind w:left="0" w:leftChars="0" w:firstLine="640" w:firstLineChars="200"/>
        <w:textAlignment w:val="auto"/>
        <w:rPr>
          <w:rFonts w:hint="eastAsia" w:ascii="方正楷体_GBK" w:eastAsia="方正楷体_GBK"/>
          <w:sz w:val="32"/>
          <w:szCs w:val="32"/>
          <w:lang w:val="zh-CN" w:eastAsia="zh-CN"/>
        </w:rPr>
      </w:pPr>
      <w:r>
        <w:rPr>
          <w:rFonts w:hint="eastAsia" w:ascii="方正楷体_GBK" w:eastAsia="方正楷体_GBK"/>
          <w:sz w:val="32"/>
          <w:szCs w:val="32"/>
          <w:lang w:val="zh-CN" w:eastAsia="zh-CN"/>
        </w:rPr>
        <w:t>绩效结果应用情况。</w:t>
      </w:r>
    </w:p>
    <w:p>
      <w:pPr>
        <w:keepNext w:val="0"/>
        <w:keepLines w:val="0"/>
        <w:pageBreakBefore w:val="0"/>
        <w:widowControl w:val="0"/>
        <w:numPr>
          <w:ilvl w:val="0"/>
          <w:numId w:val="0"/>
        </w:numPr>
        <w:kinsoku/>
        <w:wordWrap/>
        <w:overflowPunct/>
        <w:topLinePunct w:val="0"/>
        <w:autoSpaceDE/>
        <w:autoSpaceDN/>
        <w:bidi w:val="0"/>
        <w:snapToGrid w:val="0"/>
        <w:spacing w:line="560" w:lineRule="exact"/>
        <w:ind w:firstLine="640" w:firstLineChars="200"/>
        <w:textAlignment w:val="auto"/>
        <w:rPr>
          <w:rFonts w:ascii="Times New Roman" w:hAnsi="Times New Roman" w:eastAsia="方正仿宋_GBK"/>
          <w:color w:val="000000"/>
          <w:kern w:val="0"/>
          <w:sz w:val="32"/>
          <w:szCs w:val="32"/>
          <w:highlight w:val="none"/>
          <w:shd w:val="clear" w:color="auto" w:fill="FFFFFF"/>
          <w:lang w:val="zh-CN" w:eastAsia="zh-CN"/>
        </w:rPr>
      </w:pPr>
      <w:r>
        <w:rPr>
          <w:rFonts w:hint="eastAsia" w:ascii="Times New Roman" w:hAnsi="Times New Roman" w:eastAsia="仿宋_GB2312" w:cs="Times New Roman"/>
          <w:color w:val="auto"/>
          <w:sz w:val="32"/>
          <w:szCs w:val="32"/>
          <w:highlight w:val="none"/>
          <w:u w:val="none"/>
          <w:lang w:val="en-US" w:eastAsia="zh-CN"/>
        </w:rPr>
        <w:t>根据《巴中市市级财政预算绩效结果应用管理办法》，我院将预算及绩效评价同步公开，将绩效评价结果与预算安排挂钩，</w:t>
      </w:r>
      <w:r>
        <w:rPr>
          <w:rFonts w:hint="default" w:ascii="Times New Roman" w:hAnsi="Times New Roman" w:eastAsia="仿宋_GB2312" w:cs="Times New Roman"/>
          <w:kern w:val="2"/>
          <w:sz w:val="32"/>
          <w:szCs w:val="32"/>
          <w:lang w:val="en-US" w:eastAsia="zh-CN" w:bidi="ar-SA"/>
        </w:rPr>
        <w:t>加强对资金使用的前瞻性预估</w:t>
      </w:r>
      <w:r>
        <w:rPr>
          <w:rFonts w:hint="eastAsia" w:ascii="Times New Roman" w:hAnsi="Times New Roman" w:eastAsia="仿宋_GB2312" w:cs="Times New Roman"/>
          <w:kern w:val="2"/>
          <w:sz w:val="32"/>
          <w:szCs w:val="32"/>
          <w:lang w:val="en-US" w:eastAsia="zh-CN" w:bidi="ar-SA"/>
        </w:rPr>
        <w:t>，</w:t>
      </w:r>
      <w:r>
        <w:rPr>
          <w:rFonts w:hint="eastAsia" w:ascii="Times New Roman" w:hAnsi="Times New Roman" w:eastAsia="仿宋_GB2312" w:cs="Times New Roman"/>
          <w:color w:val="auto"/>
          <w:sz w:val="32"/>
          <w:szCs w:val="32"/>
          <w:highlight w:val="none"/>
          <w:u w:val="none"/>
          <w:lang w:val="en-US" w:eastAsia="zh-CN"/>
        </w:rPr>
        <w:t>优先保障业务部门办案经费，为高质效检察履职奠定基础。同时在公告栏公开核心绩效执行进度，</w:t>
      </w:r>
      <w:r>
        <w:rPr>
          <w:rFonts w:hint="default" w:ascii="Times New Roman" w:hAnsi="Times New Roman" w:eastAsia="仿宋_GB2312" w:cs="Times New Roman"/>
          <w:color w:val="auto"/>
          <w:sz w:val="32"/>
          <w:szCs w:val="32"/>
          <w:highlight w:val="none"/>
          <w:u w:val="none"/>
          <w:lang w:val="en-US" w:eastAsia="zh-CN"/>
        </w:rPr>
        <w:t>检察履职的实际成效</w:t>
      </w:r>
      <w:r>
        <w:rPr>
          <w:rFonts w:hint="eastAsia" w:ascii="Times New Roman" w:hAnsi="Times New Roman" w:eastAsia="仿宋_GB2312" w:cs="Times New Roman"/>
          <w:color w:val="auto"/>
          <w:sz w:val="32"/>
          <w:szCs w:val="32"/>
          <w:highlight w:val="none"/>
          <w:u w:val="none"/>
          <w:lang w:val="en-US" w:eastAsia="zh-CN"/>
        </w:rPr>
        <w:t>更加公开透明</w:t>
      </w:r>
      <w:r>
        <w:rPr>
          <w:rFonts w:hint="default" w:ascii="Times New Roman" w:hAnsi="Times New Roman" w:eastAsia="仿宋_GB2312" w:cs="Times New Roman"/>
          <w:color w:val="auto"/>
          <w:sz w:val="32"/>
          <w:szCs w:val="32"/>
          <w:highlight w:val="none"/>
          <w:u w:val="none"/>
          <w:lang w:val="en-US" w:eastAsia="zh-CN"/>
        </w:rPr>
        <w:t>。</w:t>
      </w:r>
      <w:r>
        <w:rPr>
          <w:rFonts w:hint="eastAsia" w:ascii="Times New Roman" w:hAnsi="Times New Roman" w:eastAsia="仿宋_GB2312" w:cs="Times New Roman"/>
          <w:color w:val="auto"/>
          <w:sz w:val="32"/>
          <w:szCs w:val="32"/>
          <w:highlight w:val="none"/>
          <w:u w:val="none"/>
          <w:lang w:val="en-US" w:eastAsia="zh-CN"/>
        </w:rPr>
        <w:t>绩效目标完成责任落实到人，并</w:t>
      </w:r>
      <w:r>
        <w:rPr>
          <w:rFonts w:hint="default" w:ascii="Times New Roman" w:hAnsi="Times New Roman" w:eastAsia="仿宋_GB2312" w:cs="Times New Roman"/>
          <w:color w:val="auto"/>
          <w:sz w:val="32"/>
          <w:szCs w:val="32"/>
          <w:highlight w:val="none"/>
          <w:u w:val="none"/>
          <w:lang w:val="en-US" w:eastAsia="zh-CN"/>
        </w:rPr>
        <w:t>将绩效结果作为年度评优评先、干部选拔任用和职级晋升的重要依据</w:t>
      </w:r>
      <w:r>
        <w:rPr>
          <w:rFonts w:hint="default" w:ascii="Times New Roman" w:hAnsi="Times New Roman" w:eastAsia="仿宋_GB2312" w:cs="Times New Roman"/>
          <w:color w:val="auto"/>
          <w:sz w:val="32"/>
          <w:szCs w:val="32"/>
          <w:highlight w:val="none"/>
          <w:u w:val="none"/>
          <w:lang w:val="zh-CN" w:eastAsia="zh-CN"/>
        </w:rPr>
        <w:t>。</w:t>
      </w:r>
      <w:r>
        <w:rPr>
          <w:rFonts w:hint="eastAsia" w:ascii="Times New Roman" w:hAnsi="Times New Roman" w:eastAsia="仿宋_GB2312" w:cs="Times New Roman"/>
          <w:color w:val="auto"/>
          <w:sz w:val="32"/>
          <w:szCs w:val="32"/>
          <w:highlight w:val="none"/>
          <w:u w:val="none"/>
          <w:lang w:val="zh-CN" w:eastAsia="zh-CN"/>
        </w:rPr>
        <w:t>通过绩效自评结果</w:t>
      </w:r>
      <w:r>
        <w:rPr>
          <w:rFonts w:hint="default" w:ascii="Times New Roman" w:hAnsi="Times New Roman" w:eastAsia="仿宋_GB2312" w:cs="Times New Roman"/>
          <w:color w:val="auto"/>
          <w:sz w:val="32"/>
          <w:szCs w:val="32"/>
          <w:highlight w:val="none"/>
          <w:u w:val="none"/>
          <w:lang w:val="en-US" w:eastAsia="zh-CN"/>
        </w:rPr>
        <w:t>，</w:t>
      </w:r>
      <w:r>
        <w:rPr>
          <w:rFonts w:hint="eastAsia" w:ascii="Times New Roman" w:hAnsi="Times New Roman" w:eastAsia="仿宋_GB2312" w:cs="Times New Roman"/>
          <w:color w:val="auto"/>
          <w:sz w:val="32"/>
          <w:szCs w:val="32"/>
          <w:highlight w:val="none"/>
          <w:u w:val="none"/>
          <w:lang w:val="en-US" w:eastAsia="zh-CN"/>
        </w:rPr>
        <w:t>发现存在的问题，</w:t>
      </w:r>
      <w:r>
        <w:rPr>
          <w:rFonts w:hint="default" w:ascii="Times New Roman" w:hAnsi="Times New Roman" w:eastAsia="仿宋_GB2312" w:cs="Times New Roman"/>
          <w:color w:val="auto"/>
          <w:sz w:val="32"/>
          <w:szCs w:val="32"/>
          <w:highlight w:val="none"/>
          <w:u w:val="none"/>
          <w:lang w:val="en-US" w:eastAsia="zh-CN"/>
        </w:rPr>
        <w:t>并针对问题制定详细的整改方案，明确整改目标、责任部门、责任人、整改期限等</w:t>
      </w:r>
      <w:r>
        <w:rPr>
          <w:rFonts w:hint="eastAsia" w:ascii="Times New Roman" w:hAnsi="Times New Roman" w:eastAsia="仿宋_GB2312" w:cs="Times New Roman"/>
          <w:color w:val="auto"/>
          <w:sz w:val="32"/>
          <w:szCs w:val="32"/>
          <w:highlight w:val="none"/>
          <w:u w:val="none"/>
          <w:lang w:val="en-US" w:eastAsia="zh-CN"/>
        </w:rPr>
        <w:t>，充分应用绩效评价结果</w:t>
      </w:r>
      <w:r>
        <w:rPr>
          <w:rFonts w:hint="default" w:ascii="Times New Roman" w:hAnsi="Times New Roman" w:eastAsia="仿宋_GB2312" w:cs="Times New Roman"/>
          <w:color w:val="auto"/>
          <w:sz w:val="32"/>
          <w:szCs w:val="32"/>
          <w:highlight w:val="none"/>
          <w:u w:val="none"/>
          <w:lang w:val="en-US" w:eastAsia="zh-CN"/>
        </w:rPr>
        <w:t>。</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default" w:ascii="Times New Roman" w:hAnsi="Times New Roman" w:eastAsia="方正黑体_GBK"/>
          <w:color w:val="000000"/>
          <w:kern w:val="0"/>
          <w:sz w:val="32"/>
          <w:szCs w:val="32"/>
          <w:highlight w:val="none"/>
          <w:shd w:val="clear" w:color="auto" w:fill="FFFFFF"/>
        </w:rPr>
      </w:pPr>
      <w:r>
        <w:rPr>
          <w:rFonts w:hint="default" w:ascii="Times New Roman" w:hAnsi="Times New Roman" w:eastAsia="方正黑体_GBK"/>
          <w:color w:val="000000"/>
          <w:kern w:val="0"/>
          <w:sz w:val="32"/>
          <w:szCs w:val="32"/>
          <w:highlight w:val="none"/>
          <w:shd w:val="clear" w:color="auto" w:fill="FFFFFF"/>
          <w:lang w:eastAsia="zh-CN"/>
        </w:rPr>
        <w:t>四、</w:t>
      </w:r>
      <w:r>
        <w:rPr>
          <w:rFonts w:hint="default" w:ascii="Times New Roman" w:hAnsi="Times New Roman" w:eastAsia="方正黑体_GBK"/>
          <w:color w:val="000000"/>
          <w:kern w:val="0"/>
          <w:sz w:val="32"/>
          <w:szCs w:val="32"/>
          <w:highlight w:val="none"/>
          <w:shd w:val="clear" w:color="auto" w:fill="FFFFFF"/>
        </w:rPr>
        <w:t>202</w:t>
      </w:r>
      <w:r>
        <w:rPr>
          <w:rFonts w:hint="eastAsia" w:ascii="Times New Roman" w:hAnsi="Times New Roman" w:eastAsia="方正黑体_GBK"/>
          <w:color w:val="000000"/>
          <w:kern w:val="0"/>
          <w:sz w:val="32"/>
          <w:szCs w:val="32"/>
          <w:highlight w:val="none"/>
          <w:shd w:val="clear" w:color="auto" w:fill="FFFFFF"/>
          <w:lang w:val="en-US" w:eastAsia="zh-CN"/>
        </w:rPr>
        <w:t>5</w:t>
      </w:r>
      <w:r>
        <w:rPr>
          <w:rFonts w:hint="default" w:ascii="Times New Roman" w:hAnsi="Times New Roman" w:eastAsia="方正黑体_GBK"/>
          <w:color w:val="000000"/>
          <w:kern w:val="0"/>
          <w:sz w:val="32"/>
          <w:szCs w:val="32"/>
          <w:highlight w:val="none"/>
          <w:shd w:val="clear" w:color="auto" w:fill="FFFFFF"/>
        </w:rPr>
        <w:t>年财政重点评价或部门自评发现问题整改情况</w:t>
      </w:r>
    </w:p>
    <w:p>
      <w:pPr>
        <w:pStyle w:val="5"/>
        <w:keepNext w:val="0"/>
        <w:keepLines w:val="0"/>
        <w:pageBreakBefore w:val="0"/>
        <w:widowControl w:val="0"/>
        <w:numPr>
          <w:ilvl w:val="0"/>
          <w:numId w:val="0"/>
        </w:numPr>
        <w:tabs>
          <w:tab w:val="left" w:pos="2160"/>
        </w:tabs>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b/>
          <w:bCs/>
          <w:color w:val="000000"/>
          <w:kern w:val="0"/>
          <w:sz w:val="32"/>
          <w:szCs w:val="32"/>
          <w:highlight w:val="none"/>
          <w:shd w:val="clear" w:color="auto" w:fill="FFFFFF"/>
          <w:lang w:val="en-US" w:eastAsia="en-US"/>
        </w:rPr>
      </w:pPr>
      <w:r>
        <w:rPr>
          <w:rFonts w:hint="default" w:ascii="Times New Roman" w:hAnsi="Times New Roman" w:eastAsia="仿宋_GB2312" w:cs="Times New Roman"/>
          <w:kern w:val="2"/>
          <w:sz w:val="32"/>
          <w:szCs w:val="32"/>
          <w:lang w:val="en-US" w:eastAsia="zh-CN" w:bidi="ar-SA"/>
        </w:rPr>
        <w:t>202</w:t>
      </w:r>
      <w:r>
        <w:rPr>
          <w:rFonts w:hint="eastAsia" w:ascii="Times New Roman" w:hAnsi="Times New Roman" w:eastAsia="仿宋_GB2312" w:cs="Times New Roman"/>
          <w:kern w:val="2"/>
          <w:sz w:val="32"/>
          <w:szCs w:val="32"/>
          <w:lang w:val="en-US" w:eastAsia="zh-CN" w:bidi="ar-SA"/>
        </w:rPr>
        <w:t>5</w:t>
      </w:r>
      <w:r>
        <w:rPr>
          <w:rFonts w:hint="default" w:ascii="Times New Roman" w:hAnsi="Times New Roman" w:eastAsia="仿宋_GB2312" w:cs="Times New Roman"/>
          <w:kern w:val="2"/>
          <w:sz w:val="32"/>
          <w:szCs w:val="32"/>
          <w:lang w:val="en-US" w:eastAsia="zh-CN" w:bidi="ar-SA"/>
        </w:rPr>
        <w:t>年度我院通过部门自评发现</w:t>
      </w:r>
      <w:r>
        <w:rPr>
          <w:rFonts w:hint="eastAsia" w:ascii="Times New Roman" w:hAnsi="Times New Roman" w:eastAsia="仿宋_GB2312" w:cs="Times New Roman"/>
          <w:kern w:val="2"/>
          <w:sz w:val="32"/>
          <w:szCs w:val="32"/>
          <w:lang w:val="en-US" w:eastAsia="zh-CN" w:bidi="ar-SA"/>
        </w:rPr>
        <w:t>年内部分预算执行进度不均衡，执行进度超序时或缓慢</w:t>
      </w:r>
      <w:r>
        <w:rPr>
          <w:rFonts w:hint="default" w:ascii="Times New Roman" w:hAnsi="Times New Roman" w:eastAsia="仿宋_GB2312" w:cs="Times New Roman"/>
          <w:kern w:val="2"/>
          <w:sz w:val="32"/>
          <w:szCs w:val="32"/>
          <w:lang w:val="en-US" w:eastAsia="zh-CN" w:bidi="ar-SA"/>
        </w:rPr>
        <w:t>。在后续资金使用过程中，</w:t>
      </w:r>
      <w:r>
        <w:rPr>
          <w:rFonts w:hint="eastAsia" w:ascii="Times New Roman" w:hAnsi="Times New Roman" w:eastAsia="仿宋_GB2312" w:cs="Times New Roman"/>
          <w:color w:val="000000"/>
          <w:kern w:val="0"/>
          <w:sz w:val="32"/>
          <w:szCs w:val="32"/>
          <w:shd w:val="clear" w:color="auto" w:fill="FFFFFF"/>
          <w:lang w:val="en-US" w:eastAsia="zh-CN"/>
        </w:rPr>
        <w:t>加强预算管理内部控制，通过一体化系统对项目和部门整体支出实施部门自行监控，及时发现执行偏差并调整，提高预算执行精准度。</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eastAsia" w:ascii="方正黑体_GBK" w:eastAsia="方正黑体_GBK"/>
          <w:color w:val="000000"/>
          <w:kern w:val="0"/>
          <w:sz w:val="32"/>
          <w:szCs w:val="32"/>
          <w:highlight w:val="none"/>
          <w:shd w:val="clear" w:color="auto" w:fill="FFFFFF"/>
        </w:rPr>
      </w:pPr>
      <w:r>
        <w:rPr>
          <w:rFonts w:hint="eastAsia" w:ascii="方正黑体_GBK" w:eastAsia="方正黑体_GBK"/>
          <w:color w:val="000000"/>
          <w:kern w:val="0"/>
          <w:sz w:val="32"/>
          <w:szCs w:val="32"/>
          <w:highlight w:val="none"/>
          <w:shd w:val="clear" w:color="auto" w:fill="FFFFFF"/>
          <w:lang w:eastAsia="zh-CN"/>
        </w:rPr>
        <w:t>五、</w:t>
      </w:r>
      <w:r>
        <w:rPr>
          <w:rFonts w:hint="eastAsia" w:ascii="方正黑体_GBK" w:eastAsia="方正黑体_GBK"/>
          <w:color w:val="000000"/>
          <w:kern w:val="0"/>
          <w:sz w:val="32"/>
          <w:szCs w:val="32"/>
          <w:highlight w:val="none"/>
          <w:shd w:val="clear" w:color="auto" w:fill="FFFFFF"/>
        </w:rPr>
        <w:t>评价结论及建议</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eastAsia" w:ascii="方正楷体_GBK" w:eastAsia="方正楷体_GBK"/>
          <w:color w:val="000000"/>
          <w:kern w:val="0"/>
          <w:sz w:val="32"/>
          <w:szCs w:val="32"/>
          <w:highlight w:val="none"/>
          <w:shd w:val="clear" w:color="auto" w:fill="FFFFFF"/>
          <w:lang w:val="zh-CN" w:eastAsia="zh-CN"/>
        </w:rPr>
      </w:pPr>
      <w:r>
        <w:rPr>
          <w:rFonts w:hint="eastAsia" w:ascii="方正楷体_GBK" w:eastAsia="方正楷体_GBK"/>
          <w:color w:val="000000"/>
          <w:kern w:val="0"/>
          <w:sz w:val="32"/>
          <w:szCs w:val="32"/>
          <w:highlight w:val="none"/>
          <w:shd w:val="clear" w:color="auto" w:fill="FFFFFF"/>
          <w:lang w:val="zh-CN" w:eastAsia="zh-CN"/>
        </w:rPr>
        <w:t>（一）评价结论。</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default" w:ascii="Times New Roman" w:hAnsi="Times New Roman" w:eastAsia="方正仿宋_GBK"/>
          <w:b/>
          <w:bCs/>
          <w:color w:val="000000"/>
          <w:kern w:val="0"/>
          <w:sz w:val="32"/>
          <w:szCs w:val="32"/>
          <w:highlight w:val="none"/>
          <w:shd w:val="clear" w:color="auto" w:fill="FFFFFF"/>
          <w:lang w:val="en-US" w:eastAsia="en-US"/>
        </w:rPr>
      </w:pPr>
      <w:r>
        <w:rPr>
          <w:rFonts w:hint="eastAsia" w:ascii="Times New Roman" w:hAnsi="Times New Roman" w:eastAsia="仿宋_GB2312" w:cs="Times New Roman"/>
          <w:color w:val="000000"/>
          <w:kern w:val="0"/>
          <w:sz w:val="32"/>
          <w:szCs w:val="32"/>
          <w:shd w:val="clear" w:color="auto" w:fill="FFFFFF"/>
          <w:lang w:val="zh-CN"/>
        </w:rPr>
        <w:t>本院</w:t>
      </w:r>
      <w:r>
        <w:rPr>
          <w:rFonts w:hint="eastAsia" w:ascii="Times New Roman" w:hAnsi="Times New Roman" w:eastAsia="仿宋_GB2312" w:cs="Times New Roman"/>
          <w:color w:val="000000"/>
          <w:kern w:val="0"/>
          <w:sz w:val="32"/>
          <w:szCs w:val="32"/>
          <w:shd w:val="clear" w:color="auto" w:fill="FFFFFF"/>
          <w:lang w:val="en-US" w:eastAsia="zh-CN"/>
        </w:rPr>
        <w:t>2025年部门整体支出</w:t>
      </w:r>
      <w:r>
        <w:rPr>
          <w:rFonts w:hint="eastAsia" w:ascii="Times New Roman" w:hAnsi="Times New Roman" w:eastAsia="仿宋_GB2312" w:cs="Times New Roman"/>
          <w:color w:val="000000"/>
          <w:kern w:val="0"/>
          <w:sz w:val="32"/>
          <w:szCs w:val="32"/>
          <w:shd w:val="clear" w:color="auto" w:fill="FFFFFF"/>
          <w:lang w:val="zh-CN"/>
        </w:rPr>
        <w:t>绩效完成情况良好，绩效目标设置合理，</w:t>
      </w:r>
      <w:r>
        <w:rPr>
          <w:rFonts w:hint="default" w:ascii="Times New Roman" w:hAnsi="Times New Roman" w:eastAsia="仿宋_GB2312" w:cs="Times New Roman"/>
          <w:color w:val="000000"/>
          <w:kern w:val="0"/>
          <w:sz w:val="32"/>
          <w:szCs w:val="32"/>
          <w:shd w:val="clear" w:color="auto" w:fill="FFFFFF"/>
          <w:lang w:val="en-US" w:eastAsia="zh-CN"/>
        </w:rPr>
        <w:t>预算支出与部门职责相匹配</w:t>
      </w:r>
      <w:r>
        <w:rPr>
          <w:rFonts w:hint="eastAsia" w:ascii="Times New Roman" w:hAnsi="Times New Roman" w:eastAsia="仿宋_GB2312" w:cs="Times New Roman"/>
          <w:color w:val="000000"/>
          <w:kern w:val="0"/>
          <w:sz w:val="32"/>
          <w:szCs w:val="32"/>
          <w:shd w:val="clear" w:color="auto" w:fill="FFFFFF"/>
          <w:lang w:val="en-US" w:eastAsia="zh-CN"/>
        </w:rPr>
        <w:t>，在财政支出中合理设置事前绩效评估，</w:t>
      </w:r>
      <w:r>
        <w:rPr>
          <w:rFonts w:hint="default" w:ascii="Times New Roman" w:hAnsi="Times New Roman" w:eastAsia="仿宋_GB2312" w:cs="Times New Roman"/>
          <w:color w:val="000000"/>
          <w:kern w:val="0"/>
          <w:sz w:val="32"/>
          <w:szCs w:val="32"/>
          <w:shd w:val="clear" w:color="auto" w:fill="FFFFFF"/>
          <w:lang w:val="en-US" w:eastAsia="zh-CN"/>
        </w:rPr>
        <w:t>遵循勤俭办事、量力而为的原则</w:t>
      </w:r>
      <w:r>
        <w:rPr>
          <w:rFonts w:hint="eastAsia" w:ascii="Times New Roman" w:hAnsi="Times New Roman" w:eastAsia="仿宋_GB2312" w:cs="Times New Roman"/>
          <w:color w:val="000000"/>
          <w:kern w:val="0"/>
          <w:sz w:val="32"/>
          <w:szCs w:val="32"/>
          <w:shd w:val="clear" w:color="auto" w:fill="FFFFFF"/>
          <w:lang w:val="en-US" w:eastAsia="zh-CN"/>
        </w:rPr>
        <w:t>，合理使用财政资金，</w:t>
      </w:r>
      <w:r>
        <w:rPr>
          <w:rFonts w:hint="default" w:ascii="Times New Roman" w:hAnsi="Times New Roman" w:eastAsia="仿宋_GB2312" w:cs="Times New Roman"/>
          <w:sz w:val="32"/>
          <w:szCs w:val="32"/>
          <w:lang w:val="zh-CN" w:eastAsia="zh-CN"/>
        </w:rPr>
        <w:t>达到既定效果</w:t>
      </w:r>
      <w:r>
        <w:rPr>
          <w:rFonts w:hint="eastAsia" w:ascii="Times New Roman" w:hAnsi="Times New Roman" w:eastAsia="仿宋_GB2312" w:cs="Times New Roman"/>
          <w:color w:val="000000"/>
          <w:kern w:val="0"/>
          <w:sz w:val="32"/>
          <w:szCs w:val="32"/>
          <w:shd w:val="clear" w:color="auto" w:fill="FFFFFF"/>
          <w:lang w:val="en-US" w:eastAsia="zh-CN"/>
        </w:rPr>
        <w:t>。部门预算绩效自评得分85分。</w:t>
      </w:r>
    </w:p>
    <w:p>
      <w:pPr>
        <w:keepNext w:val="0"/>
        <w:keepLines w:val="0"/>
        <w:pageBreakBefore w:val="0"/>
        <w:widowControl w:val="0"/>
        <w:numPr>
          <w:ilvl w:val="0"/>
          <w:numId w:val="5"/>
        </w:numPr>
        <w:kinsoku/>
        <w:wordWrap/>
        <w:overflowPunct/>
        <w:topLinePunct w:val="0"/>
        <w:autoSpaceDE/>
        <w:autoSpaceDN/>
        <w:bidi w:val="0"/>
        <w:adjustRightInd w:val="0"/>
        <w:snapToGrid w:val="0"/>
        <w:spacing w:line="560" w:lineRule="exact"/>
        <w:ind w:left="0" w:leftChars="0" w:firstLine="640" w:firstLineChars="200"/>
        <w:jc w:val="left"/>
        <w:outlineLvl w:val="9"/>
        <w:rPr>
          <w:rFonts w:hint="eastAsia" w:ascii="方正楷体_GBK" w:eastAsia="方正楷体_GBK"/>
          <w:bCs/>
          <w:color w:val="000000"/>
          <w:kern w:val="0"/>
          <w:sz w:val="32"/>
          <w:szCs w:val="32"/>
          <w:highlight w:val="none"/>
          <w:shd w:val="clear" w:color="auto" w:fill="FFFFFF"/>
          <w:lang w:val="zh-CN" w:eastAsia="zh-CN"/>
        </w:rPr>
      </w:pPr>
      <w:r>
        <w:rPr>
          <w:rFonts w:hint="eastAsia" w:ascii="方正楷体_GBK" w:eastAsia="方正楷体_GBK"/>
          <w:bCs/>
          <w:color w:val="000000"/>
          <w:kern w:val="0"/>
          <w:sz w:val="32"/>
          <w:szCs w:val="32"/>
          <w:highlight w:val="none"/>
          <w:shd w:val="clear" w:color="auto" w:fill="FFFFFF"/>
          <w:lang w:val="zh-CN" w:eastAsia="zh-CN"/>
        </w:rPr>
        <w:t>存在问题。</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jc w:val="left"/>
        <w:outlineLvl w:val="9"/>
        <w:rPr>
          <w:rFonts w:hint="default" w:ascii="Times New Roman" w:hAnsi="Times New Roman" w:eastAsia="仿宋_GB2312" w:cs="Times New Roman"/>
          <w:color w:val="000000"/>
          <w:kern w:val="0"/>
          <w:sz w:val="32"/>
          <w:szCs w:val="32"/>
          <w:shd w:val="clear" w:color="auto" w:fill="FFFFFF"/>
          <w:lang w:val="zh-CN"/>
        </w:rPr>
      </w:pPr>
      <w:r>
        <w:rPr>
          <w:rFonts w:hint="eastAsia" w:ascii="仿宋_GB2312" w:hAnsi="仿宋_GB2312" w:eastAsia="仿宋_GB2312" w:cs="仿宋_GB2312"/>
          <w:color w:val="000000"/>
          <w:kern w:val="0"/>
          <w:sz w:val="32"/>
          <w:szCs w:val="32"/>
          <w:shd w:val="clear" w:color="auto" w:fill="FFFFFF"/>
          <w:lang w:val="zh-CN"/>
        </w:rPr>
        <w:t>1</w:t>
      </w:r>
      <w:r>
        <w:rPr>
          <w:rFonts w:hint="eastAsia" w:ascii="仿宋_GB2312" w:hAnsi="仿宋_GB2312" w:eastAsia="仿宋_GB2312" w:cs="仿宋_GB2312"/>
          <w:color w:val="000000"/>
          <w:kern w:val="0"/>
          <w:sz w:val="32"/>
          <w:szCs w:val="32"/>
          <w:shd w:val="clear" w:color="auto" w:fill="FFFFFF"/>
          <w:lang w:val="en-US" w:eastAsia="zh-CN"/>
        </w:rPr>
        <w:t>.</w:t>
      </w:r>
      <w:r>
        <w:rPr>
          <w:rFonts w:hint="eastAsia" w:ascii="Times New Roman" w:hAnsi="Times New Roman" w:eastAsia="仿宋_GB2312" w:cs="Times New Roman"/>
          <w:color w:val="000000"/>
          <w:kern w:val="0"/>
          <w:sz w:val="32"/>
          <w:szCs w:val="32"/>
          <w:shd w:val="clear" w:color="auto" w:fill="FFFFFF"/>
          <w:lang w:val="en-US" w:eastAsia="zh-CN"/>
        </w:rPr>
        <w:t>部分绩效目标设置指标量化不足</w:t>
      </w:r>
      <w:r>
        <w:rPr>
          <w:rFonts w:hint="default" w:ascii="Times New Roman" w:hAnsi="Times New Roman" w:eastAsia="仿宋_GB2312" w:cs="Times New Roman"/>
          <w:color w:val="000000"/>
          <w:kern w:val="0"/>
          <w:sz w:val="32"/>
          <w:szCs w:val="32"/>
          <w:shd w:val="clear" w:color="auto" w:fill="FFFFFF"/>
          <w:lang w:val="zh-CN"/>
        </w:rPr>
        <w:t>，</w:t>
      </w:r>
      <w:r>
        <w:rPr>
          <w:rFonts w:hint="eastAsia" w:ascii="Times New Roman" w:hAnsi="Times New Roman" w:eastAsia="仿宋_GB2312" w:cs="Times New Roman"/>
          <w:color w:val="000000"/>
          <w:kern w:val="0"/>
          <w:sz w:val="32"/>
          <w:szCs w:val="32"/>
          <w:shd w:val="clear" w:color="auto" w:fill="FFFFFF"/>
          <w:lang w:val="zh-CN"/>
        </w:rPr>
        <w:t>评价缺乏可操作性，未</w:t>
      </w:r>
      <w:r>
        <w:rPr>
          <w:rFonts w:hint="default" w:ascii="Times New Roman" w:hAnsi="Times New Roman" w:eastAsia="仿宋_GB2312" w:cs="Times New Roman"/>
          <w:color w:val="000000"/>
          <w:kern w:val="0"/>
          <w:sz w:val="32"/>
          <w:szCs w:val="32"/>
          <w:shd w:val="clear" w:color="auto" w:fill="FFFFFF"/>
          <w:lang w:val="zh-CN"/>
        </w:rPr>
        <w:t>发挥绩效评价的</w:t>
      </w:r>
      <w:r>
        <w:rPr>
          <w:rFonts w:hint="eastAsia" w:ascii="Times New Roman" w:hAnsi="Times New Roman" w:eastAsia="仿宋_GB2312" w:cs="Times New Roman"/>
          <w:color w:val="000000"/>
          <w:kern w:val="0"/>
          <w:sz w:val="32"/>
          <w:szCs w:val="32"/>
          <w:shd w:val="clear" w:color="auto" w:fill="FFFFFF"/>
          <w:lang w:val="zh-CN"/>
        </w:rPr>
        <w:t>整体</w:t>
      </w:r>
      <w:r>
        <w:rPr>
          <w:rFonts w:hint="default" w:ascii="Times New Roman" w:hAnsi="Times New Roman" w:eastAsia="仿宋_GB2312" w:cs="Times New Roman"/>
          <w:color w:val="000000"/>
          <w:kern w:val="0"/>
          <w:sz w:val="32"/>
          <w:szCs w:val="32"/>
          <w:shd w:val="clear" w:color="auto" w:fill="FFFFFF"/>
          <w:lang w:val="zh-CN"/>
        </w:rPr>
        <w:t>作用；</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outlineLvl w:val="9"/>
        <w:rPr>
          <w:rFonts w:hint="default" w:ascii="Times New Roman" w:hAnsi="Times New Roman" w:eastAsia="方正仿宋_GBK"/>
          <w:b/>
          <w:bCs/>
          <w:color w:val="000000"/>
          <w:kern w:val="0"/>
          <w:sz w:val="32"/>
          <w:szCs w:val="32"/>
          <w:highlight w:val="none"/>
          <w:shd w:val="clear" w:color="auto" w:fill="FFFFFF"/>
          <w:lang w:val="en-US" w:eastAsia="zh-CN"/>
        </w:rPr>
      </w:pPr>
      <w:r>
        <w:rPr>
          <w:rFonts w:hint="default" w:ascii="仿宋_GB2312" w:hAnsi="仿宋_GB2312" w:eastAsia="仿宋_GB2312" w:cs="仿宋_GB2312"/>
          <w:color w:val="000000"/>
          <w:kern w:val="0"/>
          <w:sz w:val="32"/>
          <w:szCs w:val="32"/>
          <w:shd w:val="clear" w:color="auto" w:fill="FFFFFF"/>
          <w:lang w:val="zh-CN"/>
        </w:rPr>
        <w:t>2</w:t>
      </w:r>
      <w:r>
        <w:rPr>
          <w:rFonts w:hint="eastAsia" w:ascii="仿宋_GB2312" w:hAnsi="仿宋_GB2312" w:cs="仿宋_GB2312"/>
          <w:color w:val="000000"/>
          <w:kern w:val="0"/>
          <w:sz w:val="32"/>
          <w:szCs w:val="32"/>
          <w:shd w:val="clear" w:color="auto" w:fill="FFFFFF"/>
          <w:lang w:val="en-US" w:eastAsia="zh-CN"/>
        </w:rPr>
        <w:t>.</w:t>
      </w:r>
      <w:r>
        <w:rPr>
          <w:rFonts w:hint="eastAsia" w:ascii="Times New Roman" w:hAnsi="Times New Roman" w:eastAsia="仿宋_GB2312" w:cs="Times New Roman"/>
          <w:color w:val="000000"/>
          <w:kern w:val="0"/>
          <w:sz w:val="32"/>
          <w:szCs w:val="32"/>
          <w:shd w:val="clear" w:color="auto" w:fill="FFFFFF"/>
          <w:lang w:val="en-US" w:eastAsia="zh-CN"/>
        </w:rPr>
        <w:t>跨部门项目缺乏协同机制，评价结果未形成合力</w:t>
      </w:r>
      <w:r>
        <w:rPr>
          <w:rFonts w:hint="eastAsia" w:ascii="Times New Roman" w:hAnsi="Times New Roman" w:eastAsia="仿宋_GB2312" w:cs="Times New Roman"/>
          <w:color w:val="000000"/>
          <w:kern w:val="0"/>
          <w:sz w:val="32"/>
          <w:szCs w:val="32"/>
          <w:shd w:val="clear" w:color="auto" w:fill="FFFFFF"/>
          <w:lang w:val="zh-CN" w:eastAsia="zh-CN"/>
        </w:rPr>
        <w:t>。</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outlineLvl w:val="9"/>
        <w:rPr>
          <w:rFonts w:hint="eastAsia" w:ascii="方正楷体_GBK" w:eastAsia="方正楷体_GBK"/>
          <w:bCs/>
          <w:color w:val="000000"/>
          <w:kern w:val="0"/>
          <w:sz w:val="32"/>
          <w:szCs w:val="32"/>
          <w:highlight w:val="none"/>
          <w:shd w:val="clear" w:color="auto" w:fill="FFFFFF"/>
          <w:lang w:val="zh-CN" w:eastAsia="zh-CN"/>
        </w:rPr>
      </w:pPr>
      <w:r>
        <w:rPr>
          <w:rFonts w:hint="eastAsia" w:ascii="方正楷体_GBK" w:eastAsia="方正楷体_GBK"/>
          <w:bCs/>
          <w:color w:val="000000"/>
          <w:kern w:val="0"/>
          <w:sz w:val="32"/>
          <w:szCs w:val="32"/>
          <w:highlight w:val="none"/>
          <w:shd w:val="clear" w:color="auto" w:fill="FFFFFF"/>
          <w:lang w:val="zh-CN" w:eastAsia="zh-CN"/>
        </w:rPr>
        <w:t>（三）改进建议。</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outlineLvl w:val="9"/>
        <w:rPr>
          <w:rFonts w:hint="default" w:ascii="仿宋_GB2312" w:hAnsi="仿宋_GB2312" w:eastAsia="仿宋_GB2312" w:cs="仿宋_GB2312"/>
          <w:color w:val="000000"/>
          <w:kern w:val="0"/>
          <w:sz w:val="32"/>
          <w:szCs w:val="32"/>
          <w:shd w:val="clear" w:color="auto" w:fill="FFFFFF"/>
          <w:lang w:val="zh-CN"/>
        </w:rPr>
      </w:pPr>
      <w:r>
        <w:rPr>
          <w:rFonts w:hint="eastAsia" w:ascii="仿宋_GB2312" w:hAnsi="仿宋_GB2312" w:eastAsia="仿宋_GB2312" w:cs="仿宋_GB2312"/>
          <w:color w:val="000000"/>
          <w:kern w:val="0"/>
          <w:sz w:val="32"/>
          <w:szCs w:val="32"/>
          <w:shd w:val="clear" w:color="auto" w:fill="FFFFFF"/>
          <w:lang w:val="en-US" w:eastAsia="zh-CN"/>
        </w:rPr>
        <w:t>1</w:t>
      </w:r>
      <w:r>
        <w:rPr>
          <w:rFonts w:hint="eastAsia" w:ascii="仿宋_GB2312" w:hAnsi="仿宋_GB2312" w:cs="仿宋_GB2312"/>
          <w:color w:val="000000"/>
          <w:kern w:val="0"/>
          <w:sz w:val="32"/>
          <w:szCs w:val="32"/>
          <w:shd w:val="clear" w:color="auto" w:fill="FFFFFF"/>
          <w:lang w:val="en-US" w:eastAsia="zh-CN"/>
        </w:rPr>
        <w:t>.</w:t>
      </w:r>
      <w:r>
        <w:rPr>
          <w:rFonts w:hint="eastAsia" w:ascii="仿宋_GB2312" w:hAnsi="仿宋_GB2312" w:eastAsia="仿宋_GB2312" w:cs="仿宋_GB2312"/>
          <w:color w:val="000000"/>
          <w:kern w:val="0"/>
          <w:sz w:val="32"/>
          <w:szCs w:val="32"/>
          <w:shd w:val="clear" w:color="auto" w:fill="FFFFFF"/>
          <w:lang w:val="zh-CN"/>
        </w:rPr>
        <w:t>完善绩效目标体系，强化指标科学性，细化质量、成本等关键指标。根据资金用途设置个性化指标，确保目标与资金使用方向一致</w:t>
      </w:r>
      <w:r>
        <w:rPr>
          <w:rFonts w:hint="default" w:ascii="仿宋_GB2312" w:hAnsi="仿宋_GB2312" w:eastAsia="仿宋_GB2312" w:cs="仿宋_GB2312"/>
          <w:color w:val="000000"/>
          <w:kern w:val="0"/>
          <w:sz w:val="32"/>
          <w:szCs w:val="32"/>
          <w:shd w:val="clear" w:color="auto" w:fill="FFFFFF"/>
          <w:lang w:val="zh-CN"/>
        </w:rPr>
        <w:t>；</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outlineLvl w:val="9"/>
        <w:rPr>
          <w:rFonts w:hint="eastAsia" w:ascii="Times New Roman" w:hAnsi="Times New Roman" w:cs="Times New Roman"/>
          <w:sz w:val="32"/>
          <w:szCs w:val="32"/>
          <w:highlight w:val="yellow"/>
          <w:lang w:val="zh-CN" w:eastAsia="zh-CN"/>
        </w:rPr>
      </w:pPr>
      <w:r>
        <w:rPr>
          <w:rFonts w:hint="eastAsia" w:ascii="仿宋_GB2312" w:hAnsi="仿宋_GB2312" w:eastAsia="仿宋_GB2312" w:cs="仿宋_GB2312"/>
          <w:color w:val="000000"/>
          <w:kern w:val="0"/>
          <w:sz w:val="32"/>
          <w:szCs w:val="32"/>
          <w:shd w:val="clear" w:color="auto" w:fill="FFFFFF"/>
          <w:lang w:val="en-US" w:eastAsia="zh-CN"/>
        </w:rPr>
        <w:t>2.明确责任主体，构建协同管理机制，绩效目标设置及成果应用实现数据共享、责任共担，强化结果应用</w:t>
      </w:r>
      <w:r>
        <w:rPr>
          <w:rFonts w:hint="default" w:ascii="仿宋_GB2312" w:hAnsi="仿宋_GB2312" w:eastAsia="仿宋_GB2312" w:cs="仿宋_GB2312"/>
          <w:color w:val="000000"/>
          <w:kern w:val="0"/>
          <w:sz w:val="32"/>
          <w:szCs w:val="32"/>
          <w:shd w:val="clear" w:color="auto" w:fill="FFFFFF"/>
          <w:lang w:val="zh-CN"/>
        </w:rPr>
        <w:t>。</w:t>
      </w:r>
    </w:p>
    <w:p>
      <w:pPr>
        <w:pStyle w:val="5"/>
        <w:rPr>
          <w:rFonts w:hint="eastAsia" w:ascii="Times New Roman" w:hAnsi="Times New Roman" w:cs="宋体"/>
          <w:color w:val="FF0000"/>
          <w:kern w:val="0"/>
          <w:sz w:val="32"/>
          <w:szCs w:val="32"/>
          <w:highlight w:val="yellow"/>
          <w:shd w:val="clear" w:color="auto" w:fill="FFFFFF"/>
          <w:lang w:val="zh-CN"/>
        </w:rPr>
      </w:pPr>
    </w:p>
    <w:p>
      <w:pPr>
        <w:rPr>
          <w:rFonts w:hint="eastAsia" w:ascii="Times New Roman" w:hAnsi="Times New Roman" w:eastAsia="黑体" w:cs="黑体"/>
          <w:color w:val="auto"/>
          <w:kern w:val="0"/>
          <w:sz w:val="32"/>
          <w:szCs w:val="32"/>
          <w:highlight w:val="none"/>
          <w:shd w:val="clear" w:color="auto" w:fill="FFFFFF"/>
          <w:lang w:val="zh-CN"/>
        </w:rPr>
        <w:sectPr>
          <w:footerReference r:id="rId6" w:type="first"/>
          <w:footerReference r:id="rId5" w:type="default"/>
          <w:pgSz w:w="11906" w:h="16838"/>
          <w:pgMar w:top="1440" w:right="1800" w:bottom="1440" w:left="1800" w:header="851" w:footer="992" w:gutter="0"/>
          <w:pgNumType w:fmt="numberInDash" w:start="1"/>
          <w:cols w:space="425" w:num="1"/>
          <w:titlePg/>
          <w:docGrid w:type="lines" w:linePitch="312" w:charSpace="0"/>
        </w:sectPr>
      </w:pPr>
    </w:p>
    <w:p>
      <w:pPr>
        <w:pStyle w:val="6"/>
        <w:keepNext/>
        <w:keepLines/>
        <w:pageBreakBefore w:val="0"/>
        <w:widowControl w:val="0"/>
        <w:kinsoku/>
        <w:wordWrap/>
        <w:overflowPunct/>
        <w:topLinePunct w:val="0"/>
        <w:autoSpaceDE/>
        <w:autoSpaceDN/>
        <w:bidi w:val="0"/>
        <w:adjustRightInd/>
        <w:snapToGrid/>
        <w:spacing w:before="20" w:after="20" w:line="600" w:lineRule="exact"/>
        <w:jc w:val="center"/>
        <w:textAlignment w:val="auto"/>
        <w:rPr>
          <w:rFonts w:hint="eastAsia"/>
        </w:rPr>
      </w:pPr>
      <w:bookmarkStart w:id="94" w:name="_Toc15396618"/>
      <w:bookmarkStart w:id="95" w:name="_Toc25732"/>
      <w:r>
        <w:rPr>
          <w:rFonts w:hint="eastAsia"/>
        </w:rPr>
        <w:t>第五部分 附表</w:t>
      </w:r>
      <w:bookmarkEnd w:id="90"/>
      <w:bookmarkEnd w:id="94"/>
      <w:bookmarkEnd w:id="95"/>
      <w:bookmarkStart w:id="96" w:name="_Toc15396619"/>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96"/>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97" w:name="_Toc15396620"/>
      <w:r>
        <w:rPr>
          <w:rFonts w:hint="eastAsia" w:ascii="Times New Roman" w:hAnsi="Times New Roman" w:eastAsia="仿宋_GB2312" w:cs="仿宋_GB2312"/>
          <w:color w:val="auto"/>
          <w:sz w:val="32"/>
          <w:szCs w:val="32"/>
          <w:highlight w:val="none"/>
        </w:rPr>
        <w:t>二、收入决算表</w:t>
      </w:r>
      <w:bookmarkEnd w:id="97"/>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98" w:name="_Toc15396621"/>
      <w:r>
        <w:rPr>
          <w:rFonts w:hint="eastAsia" w:ascii="Times New Roman" w:hAnsi="Times New Roman" w:eastAsia="仿宋_GB2312" w:cs="仿宋_GB2312"/>
          <w:color w:val="auto"/>
          <w:sz w:val="32"/>
          <w:szCs w:val="32"/>
          <w:highlight w:val="none"/>
        </w:rPr>
        <w:t>三、支出决算表</w:t>
      </w:r>
      <w:bookmarkEnd w:id="98"/>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99" w:name="_Toc15396622"/>
      <w:r>
        <w:rPr>
          <w:rFonts w:hint="eastAsia" w:ascii="Times New Roman" w:hAnsi="Times New Roman" w:eastAsia="仿宋_GB2312" w:cs="仿宋_GB2312"/>
          <w:color w:val="auto"/>
          <w:sz w:val="32"/>
          <w:szCs w:val="32"/>
          <w:highlight w:val="none"/>
        </w:rPr>
        <w:t>四、财政拨款收入支出决算总表</w:t>
      </w:r>
      <w:bookmarkEnd w:id="99"/>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00" w:name="_Toc15396623"/>
      <w:r>
        <w:rPr>
          <w:rFonts w:hint="eastAsia" w:ascii="Times New Roman" w:hAnsi="Times New Roman" w:eastAsia="仿宋_GB2312" w:cs="仿宋_GB2312"/>
          <w:color w:val="auto"/>
          <w:sz w:val="32"/>
          <w:szCs w:val="32"/>
          <w:highlight w:val="none"/>
        </w:rPr>
        <w:t>五、财政拨款支出决算明细表</w:t>
      </w:r>
      <w:bookmarkEnd w:id="100"/>
      <w:bookmarkStart w:id="101" w:name="_Toc15396624"/>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101"/>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02" w:name="_Toc15396625"/>
      <w:r>
        <w:rPr>
          <w:rFonts w:hint="eastAsia" w:ascii="Times New Roman" w:hAnsi="Times New Roman" w:eastAsia="仿宋_GB2312" w:cs="仿宋_GB2312"/>
          <w:color w:val="auto"/>
          <w:sz w:val="32"/>
          <w:szCs w:val="32"/>
          <w:highlight w:val="none"/>
        </w:rPr>
        <w:t>七、一般公共预算财政拨款支出决算明细表</w:t>
      </w:r>
      <w:bookmarkEnd w:id="102"/>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03" w:name="_Toc15396626"/>
      <w:r>
        <w:rPr>
          <w:rFonts w:hint="eastAsia" w:ascii="Times New Roman" w:hAnsi="Times New Roman" w:eastAsia="仿宋_GB2312" w:cs="仿宋_GB2312"/>
          <w:color w:val="auto"/>
          <w:sz w:val="32"/>
          <w:szCs w:val="32"/>
          <w:highlight w:val="none"/>
        </w:rPr>
        <w:t>八、一般公共预算财政拨款基本支出决算表</w:t>
      </w:r>
      <w:bookmarkEnd w:id="103"/>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04" w:name="_Toc15396627"/>
      <w:r>
        <w:rPr>
          <w:rFonts w:hint="eastAsia" w:ascii="Times New Roman" w:hAnsi="Times New Roman" w:eastAsia="仿宋_GB2312" w:cs="仿宋_GB2312"/>
          <w:color w:val="auto"/>
          <w:sz w:val="32"/>
          <w:szCs w:val="32"/>
          <w:highlight w:val="none"/>
        </w:rPr>
        <w:t>九、一般公共预算财政拨款项目支出决算表</w:t>
      </w:r>
      <w:bookmarkEnd w:id="104"/>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05" w:name="_Toc15396628"/>
      <w:r>
        <w:rPr>
          <w:rFonts w:hint="eastAsia" w:ascii="Times New Roman" w:hAnsi="Times New Roman" w:eastAsia="仿宋_GB2312" w:cs="仿宋_GB2312"/>
          <w:color w:val="auto"/>
          <w:sz w:val="32"/>
          <w:szCs w:val="32"/>
          <w:highlight w:val="none"/>
        </w:rPr>
        <w:t>十、</w:t>
      </w:r>
      <w:bookmarkEnd w:id="105"/>
      <w:r>
        <w:rPr>
          <w:rFonts w:hint="eastAsia" w:ascii="Times New Roman" w:hAnsi="Times New Roman" w:eastAsia="仿宋_GB2312" w:cs="仿宋_GB2312"/>
          <w:color w:val="auto"/>
          <w:sz w:val="32"/>
          <w:szCs w:val="32"/>
          <w:highlight w:val="none"/>
        </w:rPr>
        <w:t>政府性基金预算财政拨款收入支出决算表</w:t>
      </w:r>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06" w:name="_Toc15396629"/>
      <w:r>
        <w:rPr>
          <w:rFonts w:hint="eastAsia" w:ascii="Times New Roman" w:hAnsi="Times New Roman" w:eastAsia="仿宋_GB2312" w:cs="仿宋_GB2312"/>
          <w:color w:val="auto"/>
          <w:sz w:val="32"/>
          <w:szCs w:val="32"/>
          <w:highlight w:val="none"/>
        </w:rPr>
        <w:t>十一、</w:t>
      </w:r>
      <w:bookmarkEnd w:id="106"/>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07" w:name="_Toc15396630"/>
      <w:r>
        <w:rPr>
          <w:rFonts w:hint="eastAsia" w:ascii="Times New Roman" w:hAnsi="Times New Roman" w:eastAsia="仿宋_GB2312" w:cs="仿宋_GB2312"/>
          <w:color w:val="auto"/>
          <w:sz w:val="32"/>
          <w:szCs w:val="32"/>
          <w:highlight w:val="none"/>
        </w:rPr>
        <w:t>十二、</w:t>
      </w:r>
      <w:bookmarkEnd w:id="107"/>
      <w:r>
        <w:rPr>
          <w:rFonts w:hint="eastAsia" w:ascii="Times New Roman" w:hAnsi="Times New Roman" w:eastAsia="仿宋_GB2312" w:cs="仿宋_GB2312"/>
          <w:color w:val="auto"/>
          <w:sz w:val="32"/>
          <w:szCs w:val="32"/>
          <w:highlight w:val="none"/>
          <w:lang w:eastAsia="zh-CN"/>
        </w:rPr>
        <w:t>国有资本经营预算财政拨款支出决算表</w:t>
      </w:r>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108" w:name="_Toc15396631"/>
      <w:r>
        <w:rPr>
          <w:rFonts w:hint="eastAsia" w:ascii="Times New Roman" w:hAnsi="Times New Roman" w:eastAsia="仿宋_GB2312" w:cs="仿宋_GB2312"/>
          <w:color w:val="auto"/>
          <w:sz w:val="32"/>
          <w:szCs w:val="32"/>
          <w:highlight w:val="none"/>
        </w:rPr>
        <w:t>十三、</w:t>
      </w:r>
      <w:bookmarkEnd w:id="108"/>
      <w:r>
        <w:rPr>
          <w:rFonts w:hint="eastAsia" w:ascii="Times New Roman" w:hAnsi="Times New Roman" w:eastAsia="仿宋_GB2312" w:cs="仿宋_GB2312"/>
          <w:color w:val="auto"/>
          <w:sz w:val="32"/>
          <w:szCs w:val="32"/>
          <w:highlight w:val="none"/>
          <w:lang w:eastAsia="zh-CN"/>
        </w:rPr>
        <w:t>财政拨款“三公”经费支出决算表</w:t>
      </w:r>
    </w:p>
    <w:p>
      <w:pPr>
        <w:rPr>
          <w:rFonts w:hint="eastAsia" w:ascii="Times New Roman" w:hAnsi="Times New Roman"/>
          <w:lang w:eastAsia="zh-CN"/>
        </w:rPr>
      </w:pPr>
    </w:p>
    <w:sectPr>
      <w:pgSz w:w="11906" w:h="16838"/>
      <w:pgMar w:top="1440" w:right="1800" w:bottom="1440" w:left="1800" w:header="851" w:footer="992" w:gutter="0"/>
      <w:pgNumType w:fmt="numberInDash"/>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3000509000000000000"/>
    <w:charset w:val="86"/>
    <w:family w:val="script"/>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楷体_GB2312">
    <w:panose1 w:val="02010609030101010101"/>
    <w:charset w:val="86"/>
    <w:family w:val="auto"/>
    <w:pitch w:val="default"/>
    <w:sig w:usb0="00000001" w:usb1="080E0000" w:usb2="00000000" w:usb3="00000000" w:csb0="00040000" w:csb1="00000000"/>
  </w:font>
  <w:font w:name="方正仿宋_GBK">
    <w:altName w:val="微软雅黑"/>
    <w:panose1 w:val="03000509000000000000"/>
    <w:charset w:val="86"/>
    <w:family w:val="script"/>
    <w:pitch w:val="default"/>
    <w:sig w:usb0="00000000" w:usb1="00000000" w:usb2="00000000" w:usb3="00000000" w:csb0="00040000" w:csb1="00000000"/>
  </w:font>
  <w:font w:name="方正黑体_GBK">
    <w:altName w:val="微软雅黑"/>
    <w:panose1 w:val="02000000000000000000"/>
    <w:charset w:val="86"/>
    <w:family w:val="script"/>
    <w:pitch w:val="default"/>
    <w:sig w:usb0="00000000" w:usb1="00000000" w:usb2="00000000" w:usb3="00000000" w:csb0="00040000" w:csb1="00000000"/>
  </w:font>
  <w:font w:name="方正楷体_GBK">
    <w:altName w:val="微软雅黑"/>
    <w:panose1 w:val="02000000000000000000"/>
    <w:charset w:val="86"/>
    <w:family w:val="script"/>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jc w:val="center"/>
    </w:pPr>
  </w:p>
  <w:p>
    <w:pPr>
      <w:pStyle w:val="1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jc w:val="cente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2"/>
                          </w:pPr>
                          <w:r>
                            <w:fldChar w:fldCharType="begin"/>
                          </w:r>
                          <w:r>
                            <w:instrText xml:space="preserve"> PAGE  \* MERGEFORMAT </w:instrText>
                          </w:r>
                          <w:r>
                            <w:fldChar w:fldCharType="separate"/>
                          </w:r>
                          <w:r>
                            <w:t>- 2 -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pPr>
                      <w:pStyle w:val="12"/>
                    </w:pPr>
                    <w:r>
                      <w:fldChar w:fldCharType="begin"/>
                    </w:r>
                    <w:r>
                      <w:instrText xml:space="preserve"> PAGE  \* MERGEFORMAT </w:instrText>
                    </w:r>
                    <w:r>
                      <w:fldChar w:fldCharType="separate"/>
                    </w:r>
                    <w:r>
                      <w:t>- 2 -</w:t>
                    </w:r>
                    <w:r>
                      <w:fldChar w:fldCharType="end"/>
                    </w:r>
                  </w:p>
                </w:txbxContent>
              </v:textbox>
            </v:shape>
          </w:pict>
        </mc:Fallback>
      </mc:AlternateContent>
    </w:r>
  </w:p>
  <w:p>
    <w:pPr>
      <w:pStyle w:val="1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2"/>
                          </w:pPr>
                          <w:r>
                            <w:fldChar w:fldCharType="begin"/>
                          </w:r>
                          <w:r>
                            <w:instrText xml:space="preserve"> PAGE  \* MERGEFORMAT </w:instrText>
                          </w:r>
                          <w:r>
                            <w:fldChar w:fldCharType="separate"/>
                          </w:r>
                          <w:r>
                            <w:t>- 1 -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pPr>
                      <w:pStyle w:val="12"/>
                    </w:pPr>
                    <w:r>
                      <w:fldChar w:fldCharType="begin"/>
                    </w:r>
                    <w:r>
                      <w:instrText xml:space="preserve"> PAGE  \* MERGEFORMAT </w:instrText>
                    </w:r>
                    <w:r>
                      <w:fldChar w:fldCharType="separate"/>
                    </w:r>
                    <w:r>
                      <w:t>- 1 -</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F647F8F"/>
    <w:multiLevelType w:val="singleLevel"/>
    <w:tmpl w:val="8F647F8F"/>
    <w:lvl w:ilvl="0" w:tentative="0">
      <w:start w:val="12"/>
      <w:numFmt w:val="decimal"/>
      <w:lvlText w:val="%1."/>
      <w:lvlJc w:val="left"/>
      <w:pPr>
        <w:tabs>
          <w:tab w:val="left" w:pos="312"/>
        </w:tabs>
      </w:pPr>
    </w:lvl>
  </w:abstractNum>
  <w:abstractNum w:abstractNumId="1">
    <w:nsid w:val="B99E7FD1"/>
    <w:multiLevelType w:val="singleLevel"/>
    <w:tmpl w:val="B99E7FD1"/>
    <w:lvl w:ilvl="0" w:tentative="0">
      <w:start w:val="1"/>
      <w:numFmt w:val="decimal"/>
      <w:suff w:val="nothing"/>
      <w:lvlText w:val="%1、"/>
      <w:lvlJc w:val="left"/>
      <w:pPr>
        <w:ind w:left="-10"/>
      </w:pPr>
      <w:rPr>
        <w:rFonts w:hint="default" w:ascii="仿宋" w:hAnsi="仿宋" w:eastAsia="仿宋" w:cs="仿宋"/>
        <w:b w:val="0"/>
        <w:bCs w:val="0"/>
        <w:sz w:val="32"/>
        <w:szCs w:val="32"/>
      </w:rPr>
    </w:lvl>
  </w:abstractNum>
  <w:abstractNum w:abstractNumId="2">
    <w:nsid w:val="4998F966"/>
    <w:multiLevelType w:val="singleLevel"/>
    <w:tmpl w:val="4998F966"/>
    <w:lvl w:ilvl="0" w:tentative="0">
      <w:start w:val="2"/>
      <w:numFmt w:val="chineseCounting"/>
      <w:suff w:val="nothing"/>
      <w:lvlText w:val="（%1）"/>
      <w:lvlJc w:val="left"/>
      <w:rPr>
        <w:rFonts w:hint="eastAsia"/>
      </w:rPr>
    </w:lvl>
  </w:abstractNum>
  <w:abstractNum w:abstractNumId="3">
    <w:nsid w:val="4C27B68A"/>
    <w:multiLevelType w:val="singleLevel"/>
    <w:tmpl w:val="4C27B68A"/>
    <w:lvl w:ilvl="0" w:tentative="0">
      <w:start w:val="2"/>
      <w:numFmt w:val="chineseCounting"/>
      <w:suff w:val="nothing"/>
      <w:lvlText w:val="（%1）"/>
      <w:lvlJc w:val="left"/>
      <w:rPr>
        <w:rFonts w:hint="eastAsia"/>
      </w:rPr>
    </w:lvl>
  </w:abstractNum>
  <w:abstractNum w:abstractNumId="4">
    <w:nsid w:val="73E983F6"/>
    <w:multiLevelType w:val="singleLevel"/>
    <w:tmpl w:val="73E983F6"/>
    <w:lvl w:ilvl="0" w:tentative="0">
      <w:start w:val="2"/>
      <w:numFmt w:val="chineseCounting"/>
      <w:suff w:val="nothing"/>
      <w:lvlText w:val="（%1）"/>
      <w:lvlJc w:val="left"/>
      <w:rPr>
        <w:rFonts w:hint="eastAsia"/>
      </w:rPr>
    </w:lvl>
  </w:abstractNum>
  <w:num w:numId="1">
    <w:abstractNumId w:val="0"/>
  </w:num>
  <w:num w:numId="2">
    <w:abstractNumId w:val="3"/>
  </w:num>
  <w:num w:numId="3">
    <w:abstractNumId w:val="1"/>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90D3B"/>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80820"/>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2A5EC2"/>
    <w:rsid w:val="01445CE5"/>
    <w:rsid w:val="01471CEF"/>
    <w:rsid w:val="015975B8"/>
    <w:rsid w:val="02007BB7"/>
    <w:rsid w:val="02A01091"/>
    <w:rsid w:val="02E502B4"/>
    <w:rsid w:val="02FEBE30"/>
    <w:rsid w:val="037F005A"/>
    <w:rsid w:val="04916F1E"/>
    <w:rsid w:val="051310C4"/>
    <w:rsid w:val="055F2A49"/>
    <w:rsid w:val="05626C23"/>
    <w:rsid w:val="0617220C"/>
    <w:rsid w:val="061E35DE"/>
    <w:rsid w:val="066E0107"/>
    <w:rsid w:val="070C44D8"/>
    <w:rsid w:val="07996F6E"/>
    <w:rsid w:val="07DFD8BA"/>
    <w:rsid w:val="085A276B"/>
    <w:rsid w:val="09544BDC"/>
    <w:rsid w:val="09867E8F"/>
    <w:rsid w:val="0A2032A3"/>
    <w:rsid w:val="0AC03176"/>
    <w:rsid w:val="0B3F2AEF"/>
    <w:rsid w:val="0B7D4DB8"/>
    <w:rsid w:val="0C2314F7"/>
    <w:rsid w:val="0C234068"/>
    <w:rsid w:val="0C4A74D4"/>
    <w:rsid w:val="0C7F3DD9"/>
    <w:rsid w:val="0CA8290A"/>
    <w:rsid w:val="0CB96408"/>
    <w:rsid w:val="0D35B1ED"/>
    <w:rsid w:val="0D804980"/>
    <w:rsid w:val="0E164FEE"/>
    <w:rsid w:val="0E254B6B"/>
    <w:rsid w:val="0EF1045E"/>
    <w:rsid w:val="0F98263C"/>
    <w:rsid w:val="101860EC"/>
    <w:rsid w:val="101F47CC"/>
    <w:rsid w:val="10C055FF"/>
    <w:rsid w:val="11694EBD"/>
    <w:rsid w:val="11772AA4"/>
    <w:rsid w:val="118107EC"/>
    <w:rsid w:val="11815D18"/>
    <w:rsid w:val="119314F0"/>
    <w:rsid w:val="12E24EE2"/>
    <w:rsid w:val="139D2B7F"/>
    <w:rsid w:val="13CE5AAB"/>
    <w:rsid w:val="13D50BC4"/>
    <w:rsid w:val="140D768E"/>
    <w:rsid w:val="144001B1"/>
    <w:rsid w:val="14B17F78"/>
    <w:rsid w:val="15584D62"/>
    <w:rsid w:val="15BE4B4E"/>
    <w:rsid w:val="15F70B98"/>
    <w:rsid w:val="165E0673"/>
    <w:rsid w:val="169A085D"/>
    <w:rsid w:val="16B831D5"/>
    <w:rsid w:val="16BB723D"/>
    <w:rsid w:val="17293BB5"/>
    <w:rsid w:val="179A3337"/>
    <w:rsid w:val="17E50567"/>
    <w:rsid w:val="186504BB"/>
    <w:rsid w:val="19A445FC"/>
    <w:rsid w:val="1A3D7EA8"/>
    <w:rsid w:val="1A9F6B69"/>
    <w:rsid w:val="1AD85D09"/>
    <w:rsid w:val="1B196C01"/>
    <w:rsid w:val="1B261D69"/>
    <w:rsid w:val="1BC2419B"/>
    <w:rsid w:val="1BE8440E"/>
    <w:rsid w:val="1C167390"/>
    <w:rsid w:val="1CA70991"/>
    <w:rsid w:val="1CC6347C"/>
    <w:rsid w:val="1D155CEE"/>
    <w:rsid w:val="1D1638FE"/>
    <w:rsid w:val="1D5B0214"/>
    <w:rsid w:val="1E312DEB"/>
    <w:rsid w:val="1E740ACF"/>
    <w:rsid w:val="1F5B33FE"/>
    <w:rsid w:val="1F66553A"/>
    <w:rsid w:val="1FF35744"/>
    <w:rsid w:val="1FF6BC77"/>
    <w:rsid w:val="206B0BAA"/>
    <w:rsid w:val="211D2A28"/>
    <w:rsid w:val="2186353C"/>
    <w:rsid w:val="21CF23E9"/>
    <w:rsid w:val="22786E89"/>
    <w:rsid w:val="229E7CD7"/>
    <w:rsid w:val="22A27BFA"/>
    <w:rsid w:val="22C7544A"/>
    <w:rsid w:val="234026DC"/>
    <w:rsid w:val="23860B96"/>
    <w:rsid w:val="238E2BA1"/>
    <w:rsid w:val="240371BF"/>
    <w:rsid w:val="244F3473"/>
    <w:rsid w:val="24C97D99"/>
    <w:rsid w:val="25001E09"/>
    <w:rsid w:val="259B100B"/>
    <w:rsid w:val="25A718F0"/>
    <w:rsid w:val="25BB59F6"/>
    <w:rsid w:val="260F557C"/>
    <w:rsid w:val="26970054"/>
    <w:rsid w:val="27EE4016"/>
    <w:rsid w:val="281408E2"/>
    <w:rsid w:val="28E726AB"/>
    <w:rsid w:val="2922705C"/>
    <w:rsid w:val="29B52AC4"/>
    <w:rsid w:val="29FD04D3"/>
    <w:rsid w:val="2AA25CA6"/>
    <w:rsid w:val="2AB91311"/>
    <w:rsid w:val="2BFF7BC6"/>
    <w:rsid w:val="2C30340B"/>
    <w:rsid w:val="2C673566"/>
    <w:rsid w:val="2C8A61B5"/>
    <w:rsid w:val="2D572256"/>
    <w:rsid w:val="2DF04E50"/>
    <w:rsid w:val="2E586DFA"/>
    <w:rsid w:val="2E661F81"/>
    <w:rsid w:val="2E7D003D"/>
    <w:rsid w:val="2E873F29"/>
    <w:rsid w:val="2F040D46"/>
    <w:rsid w:val="2F145AD1"/>
    <w:rsid w:val="2F6B035B"/>
    <w:rsid w:val="2F880E44"/>
    <w:rsid w:val="2FA304B5"/>
    <w:rsid w:val="2FAE5751"/>
    <w:rsid w:val="2FB1A395"/>
    <w:rsid w:val="2FD9A7D8"/>
    <w:rsid w:val="2FDBF714"/>
    <w:rsid w:val="2FF005B4"/>
    <w:rsid w:val="30AB6865"/>
    <w:rsid w:val="31414A5E"/>
    <w:rsid w:val="319F7F4E"/>
    <w:rsid w:val="31B12793"/>
    <w:rsid w:val="325E612F"/>
    <w:rsid w:val="329F483E"/>
    <w:rsid w:val="32BD1EF1"/>
    <w:rsid w:val="32E6593F"/>
    <w:rsid w:val="3304709D"/>
    <w:rsid w:val="336E6A16"/>
    <w:rsid w:val="33A773CB"/>
    <w:rsid w:val="349D6851"/>
    <w:rsid w:val="34A277E4"/>
    <w:rsid w:val="34BA7EFE"/>
    <w:rsid w:val="359D7886"/>
    <w:rsid w:val="361E1B63"/>
    <w:rsid w:val="36844827"/>
    <w:rsid w:val="36AA5135"/>
    <w:rsid w:val="36BE0DA7"/>
    <w:rsid w:val="376B6AA6"/>
    <w:rsid w:val="376D39B2"/>
    <w:rsid w:val="37E16F03"/>
    <w:rsid w:val="37F53A3B"/>
    <w:rsid w:val="382925F0"/>
    <w:rsid w:val="389B6C89"/>
    <w:rsid w:val="38D469F0"/>
    <w:rsid w:val="38F92745"/>
    <w:rsid w:val="39627CCD"/>
    <w:rsid w:val="397BAF1F"/>
    <w:rsid w:val="399C6A91"/>
    <w:rsid w:val="3A6F0FF8"/>
    <w:rsid w:val="3AB79AF3"/>
    <w:rsid w:val="3AB947FF"/>
    <w:rsid w:val="3ACF1BE2"/>
    <w:rsid w:val="3AE834C0"/>
    <w:rsid w:val="3B3D451D"/>
    <w:rsid w:val="3B7EF35A"/>
    <w:rsid w:val="3B9FDB6C"/>
    <w:rsid w:val="3BF5BC2F"/>
    <w:rsid w:val="3CEBA265"/>
    <w:rsid w:val="3CEC4F1C"/>
    <w:rsid w:val="3D5833B7"/>
    <w:rsid w:val="3D98207C"/>
    <w:rsid w:val="3DEE7CF3"/>
    <w:rsid w:val="3E740A63"/>
    <w:rsid w:val="3E78745D"/>
    <w:rsid w:val="3EA862F6"/>
    <w:rsid w:val="3EDB1EAC"/>
    <w:rsid w:val="3EE17838"/>
    <w:rsid w:val="3F2D206F"/>
    <w:rsid w:val="3F55381A"/>
    <w:rsid w:val="3F7F7599"/>
    <w:rsid w:val="3FF4CAE0"/>
    <w:rsid w:val="3FF7B227"/>
    <w:rsid w:val="40C5467E"/>
    <w:rsid w:val="4129607E"/>
    <w:rsid w:val="44E268DA"/>
    <w:rsid w:val="450D13D7"/>
    <w:rsid w:val="45506656"/>
    <w:rsid w:val="45611148"/>
    <w:rsid w:val="46153174"/>
    <w:rsid w:val="462A3639"/>
    <w:rsid w:val="4700126F"/>
    <w:rsid w:val="473D551C"/>
    <w:rsid w:val="477F33DA"/>
    <w:rsid w:val="47AE7CCF"/>
    <w:rsid w:val="47E96021"/>
    <w:rsid w:val="486A6C7A"/>
    <w:rsid w:val="48B6702D"/>
    <w:rsid w:val="49087009"/>
    <w:rsid w:val="49C64593"/>
    <w:rsid w:val="4A627F82"/>
    <w:rsid w:val="4AFA1A35"/>
    <w:rsid w:val="4B0E749A"/>
    <w:rsid w:val="4B1F03D7"/>
    <w:rsid w:val="4B2477C4"/>
    <w:rsid w:val="4B4F25DA"/>
    <w:rsid w:val="4B734CF9"/>
    <w:rsid w:val="4BE068DB"/>
    <w:rsid w:val="4BE1448D"/>
    <w:rsid w:val="4C0B44E0"/>
    <w:rsid w:val="4CA11E2B"/>
    <w:rsid w:val="4CAF23A9"/>
    <w:rsid w:val="4CB453FA"/>
    <w:rsid w:val="4D577224"/>
    <w:rsid w:val="4DBF1CEB"/>
    <w:rsid w:val="4DF0007C"/>
    <w:rsid w:val="4EAB630A"/>
    <w:rsid w:val="4ECE2238"/>
    <w:rsid w:val="4F833267"/>
    <w:rsid w:val="4FE9BD67"/>
    <w:rsid w:val="4FFB052F"/>
    <w:rsid w:val="50EC1105"/>
    <w:rsid w:val="51553D7F"/>
    <w:rsid w:val="536F6DD3"/>
    <w:rsid w:val="537E6D0A"/>
    <w:rsid w:val="53ED01C1"/>
    <w:rsid w:val="53ED097B"/>
    <w:rsid w:val="53F74C96"/>
    <w:rsid w:val="549518D3"/>
    <w:rsid w:val="55170BA8"/>
    <w:rsid w:val="553218C9"/>
    <w:rsid w:val="55657CA2"/>
    <w:rsid w:val="55785749"/>
    <w:rsid w:val="567E1AA5"/>
    <w:rsid w:val="56D368FF"/>
    <w:rsid w:val="56D9030D"/>
    <w:rsid w:val="56E47B74"/>
    <w:rsid w:val="57175D52"/>
    <w:rsid w:val="57792910"/>
    <w:rsid w:val="57BD3DD4"/>
    <w:rsid w:val="57CE11E3"/>
    <w:rsid w:val="57D234D7"/>
    <w:rsid w:val="584D1D33"/>
    <w:rsid w:val="58E81B02"/>
    <w:rsid w:val="5A92305F"/>
    <w:rsid w:val="5AB94E2B"/>
    <w:rsid w:val="5AF92295"/>
    <w:rsid w:val="5B146A0A"/>
    <w:rsid w:val="5B250254"/>
    <w:rsid w:val="5B4B2442"/>
    <w:rsid w:val="5BB92BF9"/>
    <w:rsid w:val="5BDD79E6"/>
    <w:rsid w:val="5BF561CA"/>
    <w:rsid w:val="5BF62AB6"/>
    <w:rsid w:val="5BFF5DFC"/>
    <w:rsid w:val="5C4001D5"/>
    <w:rsid w:val="5CD71FC4"/>
    <w:rsid w:val="5D1F11B5"/>
    <w:rsid w:val="5D695134"/>
    <w:rsid w:val="5DAE1B18"/>
    <w:rsid w:val="5DDA0055"/>
    <w:rsid w:val="5DE7D9E5"/>
    <w:rsid w:val="5E4028B4"/>
    <w:rsid w:val="5ECEC941"/>
    <w:rsid w:val="5F3F5FA2"/>
    <w:rsid w:val="5F7046B5"/>
    <w:rsid w:val="5FBF9FF3"/>
    <w:rsid w:val="5FCD4E2C"/>
    <w:rsid w:val="5FEF394A"/>
    <w:rsid w:val="5FF67715"/>
    <w:rsid w:val="60016769"/>
    <w:rsid w:val="60B91EB8"/>
    <w:rsid w:val="60E9228D"/>
    <w:rsid w:val="61E67B52"/>
    <w:rsid w:val="62BF3928"/>
    <w:rsid w:val="63B3701E"/>
    <w:rsid w:val="647F5392"/>
    <w:rsid w:val="648E220C"/>
    <w:rsid w:val="64E04304"/>
    <w:rsid w:val="65317DEA"/>
    <w:rsid w:val="65A543AA"/>
    <w:rsid w:val="65E66580"/>
    <w:rsid w:val="664B1D71"/>
    <w:rsid w:val="664B4E8E"/>
    <w:rsid w:val="666B7416"/>
    <w:rsid w:val="66F5430D"/>
    <w:rsid w:val="67277B67"/>
    <w:rsid w:val="67443375"/>
    <w:rsid w:val="67AA3209"/>
    <w:rsid w:val="68A467A0"/>
    <w:rsid w:val="68BF1E69"/>
    <w:rsid w:val="690F397F"/>
    <w:rsid w:val="698D0931"/>
    <w:rsid w:val="6A7FE5F3"/>
    <w:rsid w:val="6ACE767C"/>
    <w:rsid w:val="6B053271"/>
    <w:rsid w:val="6B111378"/>
    <w:rsid w:val="6B3427F2"/>
    <w:rsid w:val="6BDC302C"/>
    <w:rsid w:val="6BDD78B3"/>
    <w:rsid w:val="6C4A05C8"/>
    <w:rsid w:val="6C8742B8"/>
    <w:rsid w:val="6C8863F4"/>
    <w:rsid w:val="6C981C4C"/>
    <w:rsid w:val="6CB46566"/>
    <w:rsid w:val="6CB878A7"/>
    <w:rsid w:val="6CE51273"/>
    <w:rsid w:val="6D2E73F2"/>
    <w:rsid w:val="6DBF5E93"/>
    <w:rsid w:val="6DFA6BF8"/>
    <w:rsid w:val="6DFF077E"/>
    <w:rsid w:val="6E322E12"/>
    <w:rsid w:val="6E714EF0"/>
    <w:rsid w:val="6E7E3605"/>
    <w:rsid w:val="6E7FDCC7"/>
    <w:rsid w:val="6E8472F1"/>
    <w:rsid w:val="6E8D7652"/>
    <w:rsid w:val="6ED6A62E"/>
    <w:rsid w:val="6EE00B15"/>
    <w:rsid w:val="6F4F1414"/>
    <w:rsid w:val="6F6FB3EB"/>
    <w:rsid w:val="6F8731EA"/>
    <w:rsid w:val="6FCE6052"/>
    <w:rsid w:val="6FD57C00"/>
    <w:rsid w:val="6FEFFFD8"/>
    <w:rsid w:val="6FF5CC65"/>
    <w:rsid w:val="6FFB47EC"/>
    <w:rsid w:val="6FFF034A"/>
    <w:rsid w:val="70484440"/>
    <w:rsid w:val="712A28F1"/>
    <w:rsid w:val="715C0E4B"/>
    <w:rsid w:val="71992E7C"/>
    <w:rsid w:val="71F354B6"/>
    <w:rsid w:val="72233669"/>
    <w:rsid w:val="72734D90"/>
    <w:rsid w:val="73160E6D"/>
    <w:rsid w:val="7332FE48"/>
    <w:rsid w:val="73994ACC"/>
    <w:rsid w:val="73AB61DA"/>
    <w:rsid w:val="73AD73D5"/>
    <w:rsid w:val="73B6EB34"/>
    <w:rsid w:val="73FA497D"/>
    <w:rsid w:val="744731E5"/>
    <w:rsid w:val="74BBD01D"/>
    <w:rsid w:val="74E57DC4"/>
    <w:rsid w:val="74ED5379"/>
    <w:rsid w:val="75DEEEC2"/>
    <w:rsid w:val="75E32345"/>
    <w:rsid w:val="767039B8"/>
    <w:rsid w:val="76E3355F"/>
    <w:rsid w:val="76FF5125"/>
    <w:rsid w:val="7718631B"/>
    <w:rsid w:val="776F6FFA"/>
    <w:rsid w:val="778640A9"/>
    <w:rsid w:val="778769C8"/>
    <w:rsid w:val="77A75DCA"/>
    <w:rsid w:val="77AF566A"/>
    <w:rsid w:val="77DC22F5"/>
    <w:rsid w:val="783E271A"/>
    <w:rsid w:val="78616DE9"/>
    <w:rsid w:val="78C06773"/>
    <w:rsid w:val="78E875D7"/>
    <w:rsid w:val="79086DAD"/>
    <w:rsid w:val="797E6B5F"/>
    <w:rsid w:val="79A166DA"/>
    <w:rsid w:val="79D33BB8"/>
    <w:rsid w:val="79D7FD79"/>
    <w:rsid w:val="79EE5BA4"/>
    <w:rsid w:val="7A894339"/>
    <w:rsid w:val="7AD284E8"/>
    <w:rsid w:val="7AFF7572"/>
    <w:rsid w:val="7B0556E1"/>
    <w:rsid w:val="7B555E04"/>
    <w:rsid w:val="7B6C7DFB"/>
    <w:rsid w:val="7BAA5B35"/>
    <w:rsid w:val="7BBFBED0"/>
    <w:rsid w:val="7BC3E394"/>
    <w:rsid w:val="7C1F3737"/>
    <w:rsid w:val="7C400083"/>
    <w:rsid w:val="7C7377E9"/>
    <w:rsid w:val="7C795BD4"/>
    <w:rsid w:val="7CBD02B6"/>
    <w:rsid w:val="7CBFC87B"/>
    <w:rsid w:val="7CFE0F48"/>
    <w:rsid w:val="7D272ABC"/>
    <w:rsid w:val="7D3E79C1"/>
    <w:rsid w:val="7D7EC23E"/>
    <w:rsid w:val="7DBB271B"/>
    <w:rsid w:val="7E4503FF"/>
    <w:rsid w:val="7E8ADEBF"/>
    <w:rsid w:val="7EEF11D3"/>
    <w:rsid w:val="7EFE4840"/>
    <w:rsid w:val="7F0971A6"/>
    <w:rsid w:val="7F1D62E7"/>
    <w:rsid w:val="7F3F679B"/>
    <w:rsid w:val="7F4FC4EF"/>
    <w:rsid w:val="7F5E4D54"/>
    <w:rsid w:val="7F694AB2"/>
    <w:rsid w:val="7F6E0135"/>
    <w:rsid w:val="7F76450B"/>
    <w:rsid w:val="7F79F205"/>
    <w:rsid w:val="7F9D28EC"/>
    <w:rsid w:val="7FA30C79"/>
    <w:rsid w:val="7FA79C44"/>
    <w:rsid w:val="7FAF8ABF"/>
    <w:rsid w:val="7FB7269E"/>
    <w:rsid w:val="7FBD72C3"/>
    <w:rsid w:val="7FC32B2C"/>
    <w:rsid w:val="7FC96657"/>
    <w:rsid w:val="7FDA9588"/>
    <w:rsid w:val="7FDF220F"/>
    <w:rsid w:val="7FEDC5F7"/>
    <w:rsid w:val="7FEDD9DE"/>
    <w:rsid w:val="7FF5890D"/>
    <w:rsid w:val="7FF93490"/>
    <w:rsid w:val="99FF2014"/>
    <w:rsid w:val="A6DD0D7F"/>
    <w:rsid w:val="ACFF4FBB"/>
    <w:rsid w:val="ADC6F725"/>
    <w:rsid w:val="B7CF06AB"/>
    <w:rsid w:val="B7CFA926"/>
    <w:rsid w:val="B7F8786B"/>
    <w:rsid w:val="BABB6AA1"/>
    <w:rsid w:val="BB2F4199"/>
    <w:rsid w:val="BCFFB442"/>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E9BE81"/>
    <w:rsid w:val="DFFFA9E8"/>
    <w:rsid w:val="E5F4E9DC"/>
    <w:rsid w:val="E70FE695"/>
    <w:rsid w:val="EB2E368B"/>
    <w:rsid w:val="ECFED1BC"/>
    <w:rsid w:val="ED1D69BB"/>
    <w:rsid w:val="ED7FD312"/>
    <w:rsid w:val="EF2E1AC6"/>
    <w:rsid w:val="EF53993F"/>
    <w:rsid w:val="EF6FD633"/>
    <w:rsid w:val="EFBFB2F4"/>
    <w:rsid w:val="EFBFFA21"/>
    <w:rsid w:val="F2BEBCB8"/>
    <w:rsid w:val="F36FB518"/>
    <w:rsid w:val="F3DE1A04"/>
    <w:rsid w:val="F3F722E5"/>
    <w:rsid w:val="F4FBCD07"/>
    <w:rsid w:val="FA5F1E70"/>
    <w:rsid w:val="FA5FDB97"/>
    <w:rsid w:val="FB7F486A"/>
    <w:rsid w:val="FBFF5B2E"/>
    <w:rsid w:val="FD7FFE2B"/>
    <w:rsid w:val="FDEE196B"/>
    <w:rsid w:val="FDFE6575"/>
    <w:rsid w:val="FEDFDDC2"/>
    <w:rsid w:val="FEED32F6"/>
    <w:rsid w:val="FEF781DD"/>
    <w:rsid w:val="FF3F7E3F"/>
    <w:rsid w:val="FFBA12D7"/>
    <w:rsid w:val="FFCBD314"/>
    <w:rsid w:val="FFDFF91C"/>
    <w:rsid w:val="FFDFFAEE"/>
    <w:rsid w:val="FFEF6777"/>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qFormat="1" w:unhideWhenUsed="0" w:uiPriority="0" w:semiHidden="0"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6">
    <w:name w:val="heading 1"/>
    <w:basedOn w:val="1"/>
    <w:next w:val="1"/>
    <w:link w:val="30"/>
    <w:qFormat/>
    <w:uiPriority w:val="9"/>
    <w:pPr>
      <w:keepNext/>
      <w:keepLines/>
      <w:spacing w:before="340" w:after="330" w:line="578" w:lineRule="auto"/>
      <w:outlineLvl w:val="0"/>
    </w:pPr>
    <w:rPr>
      <w:b/>
      <w:bCs/>
      <w:kern w:val="44"/>
      <w:sz w:val="44"/>
      <w:szCs w:val="44"/>
    </w:rPr>
  </w:style>
  <w:style w:type="paragraph" w:styleId="7">
    <w:name w:val="heading 2"/>
    <w:basedOn w:val="1"/>
    <w:next w:val="1"/>
    <w:link w:val="31"/>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8">
    <w:name w:val="heading 3"/>
    <w:basedOn w:val="1"/>
    <w:next w:val="1"/>
    <w:link w:val="34"/>
    <w:unhideWhenUsed/>
    <w:qFormat/>
    <w:uiPriority w:val="9"/>
    <w:pPr>
      <w:keepNext/>
      <w:keepLines/>
      <w:spacing w:before="260" w:after="260" w:line="416" w:lineRule="auto"/>
      <w:outlineLvl w:val="2"/>
    </w:pPr>
    <w:rPr>
      <w:b/>
      <w:bCs/>
      <w:sz w:val="32"/>
      <w:szCs w:val="32"/>
    </w:rPr>
  </w:style>
  <w:style w:type="character" w:default="1" w:styleId="18">
    <w:name w:val="Default Paragraph Font"/>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next w:val="1"/>
    <w:unhideWhenUsed/>
    <w:qFormat/>
    <w:uiPriority w:val="99"/>
    <w:pPr>
      <w:ind w:firstLine="420" w:firstLineChars="200"/>
    </w:pPr>
  </w:style>
  <w:style w:type="paragraph" w:styleId="3">
    <w:name w:val="Body Text Indent"/>
    <w:basedOn w:val="1"/>
    <w:next w:val="4"/>
    <w:qFormat/>
    <w:uiPriority w:val="0"/>
    <w:pPr>
      <w:spacing w:after="120"/>
      <w:ind w:leftChars="200"/>
    </w:pPr>
    <w:rPr>
      <w:rFonts w:ascii="仿宋_GB2312"/>
      <w:szCs w:val="32"/>
    </w:rPr>
  </w:style>
  <w:style w:type="paragraph" w:styleId="4">
    <w:name w:val="Body Text First Indent"/>
    <w:basedOn w:val="5"/>
    <w:qFormat/>
    <w:uiPriority w:val="0"/>
    <w:pPr>
      <w:ind w:firstLine="100" w:firstLineChars="100"/>
    </w:pPr>
  </w:style>
  <w:style w:type="paragraph" w:styleId="5">
    <w:name w:val="Body Text"/>
    <w:basedOn w:val="1"/>
    <w:next w:val="1"/>
    <w:link w:val="27"/>
    <w:qFormat/>
    <w:uiPriority w:val="99"/>
    <w:pPr>
      <w:spacing w:beforeLines="30"/>
    </w:pPr>
    <w:rPr>
      <w:rFonts w:ascii="仿宋_GB2312" w:eastAsia="仿宋_GB2312"/>
      <w:kern w:val="0"/>
      <w:sz w:val="30"/>
    </w:rPr>
  </w:style>
  <w:style w:type="paragraph" w:styleId="9">
    <w:name w:val="HTML Address"/>
    <w:basedOn w:val="1"/>
    <w:qFormat/>
    <w:uiPriority w:val="0"/>
    <w:rPr>
      <w:i/>
      <w:iCs/>
    </w:rPr>
  </w:style>
  <w:style w:type="paragraph" w:styleId="10">
    <w:name w:val="toc 3"/>
    <w:basedOn w:val="1"/>
    <w:next w:val="1"/>
    <w:unhideWhenUsed/>
    <w:qFormat/>
    <w:uiPriority w:val="39"/>
    <w:pPr>
      <w:tabs>
        <w:tab w:val="right" w:leader="dot" w:pos="8296"/>
      </w:tabs>
      <w:ind w:left="840" w:leftChars="400"/>
    </w:pPr>
  </w:style>
  <w:style w:type="paragraph" w:styleId="11">
    <w:name w:val="Balloon Text"/>
    <w:basedOn w:val="1"/>
    <w:link w:val="33"/>
    <w:semiHidden/>
    <w:unhideWhenUsed/>
    <w:qFormat/>
    <w:uiPriority w:val="99"/>
    <w:rPr>
      <w:sz w:val="18"/>
      <w:szCs w:val="18"/>
    </w:rPr>
  </w:style>
  <w:style w:type="paragraph" w:styleId="12">
    <w:name w:val="footer"/>
    <w:basedOn w:val="1"/>
    <w:link w:val="25"/>
    <w:qFormat/>
    <w:uiPriority w:val="99"/>
    <w:pPr>
      <w:tabs>
        <w:tab w:val="center" w:pos="4153"/>
        <w:tab w:val="right" w:pos="8306"/>
      </w:tabs>
      <w:snapToGrid w:val="0"/>
      <w:jc w:val="left"/>
    </w:pPr>
    <w:rPr>
      <w:rFonts w:ascii="Calibri" w:hAnsi="Calibri"/>
      <w:kern w:val="0"/>
      <w:sz w:val="18"/>
      <w:szCs w:val="18"/>
    </w:rPr>
  </w:style>
  <w:style w:type="paragraph" w:styleId="13">
    <w:name w:val="header"/>
    <w:basedOn w:val="1"/>
    <w:link w:val="23"/>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4">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5">
    <w:name w:val="footnote text"/>
    <w:basedOn w:val="1"/>
    <w:next w:val="2"/>
    <w:semiHidden/>
    <w:qFormat/>
    <w:uiPriority w:val="0"/>
    <w:pPr>
      <w:snapToGrid w:val="0"/>
      <w:jc w:val="left"/>
    </w:pPr>
    <w:rPr>
      <w:sz w:val="18"/>
      <w:szCs w:val="18"/>
    </w:rPr>
  </w:style>
  <w:style w:type="paragraph" w:styleId="16">
    <w:name w:val="toc 2"/>
    <w:basedOn w:val="1"/>
    <w:next w:val="1"/>
    <w:unhideWhenUsed/>
    <w:qFormat/>
    <w:uiPriority w:val="39"/>
    <w:pPr>
      <w:tabs>
        <w:tab w:val="right" w:leader="dot" w:pos="8296"/>
      </w:tabs>
      <w:ind w:left="420" w:leftChars="200"/>
    </w:pPr>
  </w:style>
  <w:style w:type="character" w:styleId="19">
    <w:name w:val="Strong"/>
    <w:basedOn w:val="18"/>
    <w:qFormat/>
    <w:uiPriority w:val="99"/>
    <w:rPr>
      <w:b/>
    </w:rPr>
  </w:style>
  <w:style w:type="character" w:styleId="20">
    <w:name w:val="Hyperlink"/>
    <w:basedOn w:val="18"/>
    <w:unhideWhenUsed/>
    <w:qFormat/>
    <w:uiPriority w:val="99"/>
    <w:rPr>
      <w:color w:val="0000FF" w:themeColor="hyperlink"/>
      <w:u w:val="single"/>
      <w14:textFill>
        <w14:solidFill>
          <w14:schemeClr w14:val="hlink"/>
        </w14:solidFill>
      </w14:textFill>
    </w:rPr>
  </w:style>
  <w:style w:type="paragraph" w:customStyle="1" w:styleId="21">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2">
    <w:name w:val="Header Char"/>
    <w:basedOn w:val="18"/>
    <w:semiHidden/>
    <w:qFormat/>
    <w:uiPriority w:val="99"/>
    <w:rPr>
      <w:rFonts w:ascii="Times New Roman" w:hAnsi="Times New Roman"/>
      <w:sz w:val="18"/>
      <w:szCs w:val="18"/>
    </w:rPr>
  </w:style>
  <w:style w:type="character" w:customStyle="1" w:styleId="23">
    <w:name w:val="页眉 Char"/>
    <w:link w:val="13"/>
    <w:semiHidden/>
    <w:qFormat/>
    <w:locked/>
    <w:uiPriority w:val="99"/>
    <w:rPr>
      <w:sz w:val="18"/>
    </w:rPr>
  </w:style>
  <w:style w:type="character" w:customStyle="1" w:styleId="24">
    <w:name w:val="Footer Char"/>
    <w:basedOn w:val="18"/>
    <w:semiHidden/>
    <w:qFormat/>
    <w:uiPriority w:val="99"/>
    <w:rPr>
      <w:rFonts w:ascii="Times New Roman" w:hAnsi="Times New Roman"/>
      <w:sz w:val="18"/>
      <w:szCs w:val="18"/>
    </w:rPr>
  </w:style>
  <w:style w:type="character" w:customStyle="1" w:styleId="25">
    <w:name w:val="页脚 Char"/>
    <w:link w:val="12"/>
    <w:qFormat/>
    <w:locked/>
    <w:uiPriority w:val="99"/>
    <w:rPr>
      <w:sz w:val="18"/>
    </w:rPr>
  </w:style>
  <w:style w:type="character" w:customStyle="1" w:styleId="26">
    <w:name w:val="Body Text Char"/>
    <w:basedOn w:val="18"/>
    <w:semiHidden/>
    <w:qFormat/>
    <w:uiPriority w:val="99"/>
    <w:rPr>
      <w:rFonts w:ascii="Times New Roman" w:hAnsi="Times New Roman"/>
      <w:szCs w:val="24"/>
    </w:rPr>
  </w:style>
  <w:style w:type="character" w:customStyle="1" w:styleId="27">
    <w:name w:val="正文文本 Char"/>
    <w:link w:val="5"/>
    <w:qFormat/>
    <w:locked/>
    <w:uiPriority w:val="99"/>
    <w:rPr>
      <w:rFonts w:ascii="仿宋_GB2312" w:hAnsi="Times New Roman" w:eastAsia="仿宋_GB2312"/>
      <w:sz w:val="24"/>
    </w:rPr>
  </w:style>
  <w:style w:type="paragraph" w:customStyle="1" w:styleId="28">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9">
    <w:name w:val="List Paragraph"/>
    <w:basedOn w:val="1"/>
    <w:qFormat/>
    <w:uiPriority w:val="34"/>
    <w:pPr>
      <w:ind w:firstLine="420" w:firstLineChars="200"/>
    </w:pPr>
  </w:style>
  <w:style w:type="character" w:customStyle="1" w:styleId="30">
    <w:name w:val="标题 1 Char"/>
    <w:basedOn w:val="18"/>
    <w:link w:val="6"/>
    <w:qFormat/>
    <w:uiPriority w:val="9"/>
    <w:rPr>
      <w:rFonts w:ascii="Times New Roman" w:hAnsi="Times New Roman"/>
      <w:b/>
      <w:bCs/>
      <w:kern w:val="44"/>
      <w:sz w:val="44"/>
      <w:szCs w:val="44"/>
    </w:rPr>
  </w:style>
  <w:style w:type="character" w:customStyle="1" w:styleId="31">
    <w:name w:val="标题 2 Char"/>
    <w:basedOn w:val="18"/>
    <w:link w:val="7"/>
    <w:qFormat/>
    <w:uiPriority w:val="9"/>
    <w:rPr>
      <w:rFonts w:asciiTheme="majorHAnsi" w:hAnsiTheme="majorHAnsi" w:eastAsiaTheme="majorEastAsia" w:cstheme="majorBidi"/>
      <w:b/>
      <w:bCs/>
      <w:kern w:val="2"/>
      <w:sz w:val="32"/>
      <w:szCs w:val="32"/>
    </w:rPr>
  </w:style>
  <w:style w:type="paragraph" w:customStyle="1" w:styleId="32">
    <w:name w:val="TOC 标题1"/>
    <w:basedOn w:val="6"/>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3">
    <w:name w:val="批注框文本 Char"/>
    <w:basedOn w:val="18"/>
    <w:link w:val="11"/>
    <w:semiHidden/>
    <w:qFormat/>
    <w:uiPriority w:val="99"/>
    <w:rPr>
      <w:rFonts w:ascii="Times New Roman" w:hAnsi="Times New Roman"/>
      <w:kern w:val="2"/>
      <w:sz w:val="18"/>
      <w:szCs w:val="18"/>
    </w:rPr>
  </w:style>
  <w:style w:type="character" w:customStyle="1" w:styleId="34">
    <w:name w:val="标题 3 Char"/>
    <w:basedOn w:val="18"/>
    <w:link w:val="8"/>
    <w:qFormat/>
    <w:uiPriority w:val="9"/>
    <w:rPr>
      <w:rFonts w:ascii="Times New Roman" w:hAnsi="Times New Roman"/>
      <w:b/>
      <w:bCs/>
      <w:kern w:val="2"/>
      <w:sz w:val="32"/>
      <w:szCs w:val="32"/>
    </w:rPr>
  </w:style>
  <w:style w:type="paragraph" w:customStyle="1" w:styleId="35">
    <w:name w:val="TOC Heading"/>
    <w:basedOn w:val="6"/>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6">
    <w:name w:val="四号正文"/>
    <w:basedOn w:val="1"/>
    <w:qFormat/>
    <w:uiPriority w:val="0"/>
    <w:pPr>
      <w:spacing w:line="360" w:lineRule="auto"/>
    </w:pPr>
    <w:rPr>
      <w:rFonts w:ascii="??" w:hAnsi="??" w:eastAsia="宋体"/>
      <w:color w:val="000000"/>
      <w:kern w:val="0"/>
      <w:sz w:val="28"/>
      <w:szCs w:val="21"/>
      <w:lang w:val="zh-CN" w:eastAsia="zh-CN"/>
    </w:rPr>
  </w:style>
  <w:style w:type="paragraph" w:customStyle="1" w:styleId="37">
    <w:name w:val="p"/>
    <w:basedOn w:val="1"/>
    <w:qFormat/>
    <w:uiPriority w:val="99"/>
    <w:pPr>
      <w:widowControl/>
      <w:spacing w:before="100" w:beforeAutospacing="1" w:after="100" w:afterAutospacing="1"/>
      <w:jc w:val="left"/>
    </w:pPr>
    <w:rPr>
      <w:kern w:val="0"/>
      <w:sz w:val="24"/>
      <w:lang w:val="en-US" w:eastAsia="zh-CN" w:bidi="ar"/>
    </w:rPr>
  </w:style>
  <w:style w:type="paragraph" w:customStyle="1" w:styleId="38">
    <w:name w:val="15"/>
    <w:basedOn w:val="1"/>
    <w:qFormat/>
    <w:uiPriority w:val="99"/>
    <w:pPr>
      <w:widowControl/>
      <w:spacing w:before="100" w:beforeAutospacing="1" w:after="100" w:afterAutospacing="1"/>
      <w:jc w:val="left"/>
    </w:pPr>
    <w:rPr>
      <w:rFonts w:ascii="宋体" w:hAnsi="宋体" w:eastAsia="宋体" w:cs="宋体"/>
      <w:kern w:val="0"/>
      <w:sz w:val="24"/>
    </w:rPr>
  </w:style>
</w:styles>
</file>

<file path=word/_rels/document.xml.rels><?xml version="1.0" encoding="UTF-8" standalone="yes"?>
<Relationships xmlns="http://schemas.openxmlformats.org/package/2006/relationships"><Relationship Id="rId9" Type="http://schemas.openxmlformats.org/officeDocument/2006/relationships/chart" Target="charts/chart2.xml"/><Relationship Id="rId8" Type="http://schemas.openxmlformats.org/officeDocument/2006/relationships/chart" Target="charts/chart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chart" Target="charts/chart7.xml"/><Relationship Id="rId13" Type="http://schemas.openxmlformats.org/officeDocument/2006/relationships/chart" Target="charts/chart6.xml"/><Relationship Id="rId12" Type="http://schemas.openxmlformats.org/officeDocument/2006/relationships/chart" Target="charts/chart5.xml"/><Relationship Id="rId11" Type="http://schemas.openxmlformats.org/officeDocument/2006/relationships/chart" Target="charts/chart4.xml"/><Relationship Id="rId10" Type="http://schemas.openxmlformats.org/officeDocument/2006/relationships/chart" Target="charts/chart3.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3.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4.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5.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6.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package" Target="../embeddings/Workbook6.xlsx"/></Relationships>
</file>

<file path=word/charts/_rels/chart7.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package" Target="../embeddings/Workbook7.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1540761411202"/>
          <c:y val="0.173901535203812"/>
          <c:w val="0.882479569463823"/>
          <c:h val="0.716622551614611"/>
        </c:manualLayout>
      </c:layout>
      <c:barChart>
        <c:barDir val="col"/>
        <c:grouping val="clustered"/>
        <c:varyColors val="0"/>
        <c:ser>
          <c:idx val="0"/>
          <c:order val="0"/>
          <c:tx>
            <c:strRef>
              <c:f>Sheet1!$B$1</c:f>
              <c:strCache>
                <c:ptCount val="1"/>
                <c:pt idx="0">
                  <c:v>2024年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xmlns:c15="http://schemas.microsoft.com/office/drawing/2012/chart" uri="{02D57815-91ED-43cb-92C2-25804820EDAC}">
                  <c15:fullRef>
                    <c15:sqref>Sheet1!$A$3:$A$4</c15:sqref>
                  </c15:fullRef>
                </c:ext>
              </c:extLst>
              <c:f>Sheet1!$A$3:$A$4</c:f>
              <c:strCache>
                <c:ptCount val="2"/>
                <c:pt idx="0">
                  <c:v>收入决算</c:v>
                </c:pt>
                <c:pt idx="1">
                  <c:v>支出决算</c:v>
                </c:pt>
              </c:strCache>
            </c:strRef>
          </c:cat>
          <c:val>
            <c:numRef>
              <c:extLst>
                <c:ext xmlns:c15="http://schemas.microsoft.com/office/drawing/2012/chart" uri="{02D57815-91ED-43cb-92C2-25804820EDAC}">
                  <c15:fullRef>
                    <c15:sqref>Sheet1!$B$3:$B$4</c15:sqref>
                  </c15:fullRef>
                </c:ext>
              </c:extLst>
              <c:f>Sheet1!$B$3:$B$4</c:f>
              <c:numCache>
                <c:formatCode>General</c:formatCode>
                <c:ptCount val="2"/>
                <c:pt idx="0">
                  <c:v>1825.3</c:v>
                </c:pt>
                <c:pt idx="1">
                  <c:v>1825.3</c:v>
                </c:pt>
              </c:numCache>
            </c:numRef>
          </c:val>
        </c:ser>
        <c:ser>
          <c:idx val="1"/>
          <c:order val="1"/>
          <c:tx>
            <c:strRef>
              <c:f>Sheet1!$C$1</c:f>
              <c:strCache>
                <c:ptCount val="1"/>
                <c:pt idx="0">
                  <c:v>2025年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xmlns:c15="http://schemas.microsoft.com/office/drawing/2012/chart" uri="{02D57815-91ED-43cb-92C2-25804820EDAC}">
                  <c15:fullRef>
                    <c15:sqref>Sheet1!$A$3:$A$4</c15:sqref>
                  </c15:fullRef>
                </c:ext>
              </c:extLst>
              <c:f>Sheet1!$A$3:$A$4</c:f>
              <c:strCache>
                <c:ptCount val="2"/>
                <c:pt idx="0">
                  <c:v>收入决算</c:v>
                </c:pt>
                <c:pt idx="1">
                  <c:v>支出决算</c:v>
                </c:pt>
              </c:strCache>
            </c:strRef>
          </c:cat>
          <c:val>
            <c:numRef>
              <c:extLst>
                <c:ext xmlns:c15="http://schemas.microsoft.com/office/drawing/2012/chart" uri="{02D57815-91ED-43cb-92C2-25804820EDAC}">
                  <c15:fullRef>
                    <c15:sqref>Sheet1!$C$3:$C$4</c15:sqref>
                  </c15:fullRef>
                </c:ext>
              </c:extLst>
              <c:f>Sheet1!$C$3:$C$4</c:f>
              <c:numCache>
                <c:formatCode>General</c:formatCode>
                <c:ptCount val="2"/>
                <c:pt idx="0">
                  <c:v>1698.23</c:v>
                </c:pt>
                <c:pt idx="1">
                  <c:v>1698.23</c:v>
                </c:pt>
              </c:numCache>
            </c:numRef>
          </c:val>
        </c:ser>
        <c:dLbls>
          <c:showLegendKey val="0"/>
          <c:showVal val="1"/>
          <c:showCatName val="0"/>
          <c:showSerName val="0"/>
          <c:showPercent val="0"/>
          <c:showBubbleSize val="0"/>
        </c:dLbls>
        <c:gapWidth val="219"/>
        <c:overlap val="-27"/>
        <c:axId val="957856381"/>
        <c:axId val="698653391"/>
        <c:extLst>
          <c:ext xmlns:c15="http://schemas.microsoft.com/office/drawing/2012/chart" uri="{02D57815-91ED-43cb-92C2-25804820EDAC}">
            <c15:filteredBarSeries>
              <c15:ser>
                <c:idx val="2"/>
                <c:order val="2"/>
                <c:tx>
                  <c:strRef>
                    <c:extLst>
                      <c:ext uri="{02D57815-91ED-43cb-92C2-25804820EDAC}">
                        <c15:formulaRef>
                          <c15:sqref>Sheet1!$D$1</c15:sqref>
                        </c15:formulaRef>
                      </c:ext>
                    </c:extLst>
                    <c:strCache>
                      <c:ptCount val="1"/>
                      <c:pt idx="0">
                        <c:v>系列 3</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Sheet1!$A$3:$A$4</c15:sqref>
                        </c15:fullRef>
                        <c15:formulaRef>
                          <c15:sqref>Sheet1!$A$3:$A$4</c15:sqref>
                        </c15:formulaRef>
                      </c:ext>
                    </c:extLst>
                    <c:strCache>
                      <c:ptCount val="2"/>
                      <c:pt idx="0">
                        <c:v>收入决算</c:v>
                      </c:pt>
                      <c:pt idx="1">
                        <c:v>支出决算</c:v>
                      </c:pt>
                    </c:strCache>
                  </c:strRef>
                </c:cat>
                <c:val>
                  <c:numRef>
                    <c:extLst>
                      <c:ext uri="{02D57815-91ED-43cb-92C2-25804820EDAC}">
                        <c15:fullRef>
                          <c15:sqref>Sheet1!$D$3:$D$4</c15:sqref>
                        </c15:fullRef>
                        <c15:formulaRef>
                          <c15:sqref>Sheet1!$D$3:$D$4</c15:sqref>
                        </c15:formulaRef>
                      </c:ext>
                    </c:extLst>
                    <c:numCache>
                      <c:formatCode>General</c:formatCode>
                      <c:ptCount val="2"/>
                      <c:pt idx="0">
                        <c:v>2</c:v>
                      </c:pt>
                    </c:numCache>
                  </c:numRef>
                </c:val>
              </c15:ser>
            </c15:filteredBarSeries>
          </c:ext>
        </c:extLst>
      </c:barChart>
      <c:catAx>
        <c:axId val="957856381"/>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8653391"/>
        <c:crosses val="autoZero"/>
        <c:auto val="1"/>
        <c:lblAlgn val="ctr"/>
        <c:lblOffset val="100"/>
        <c:noMultiLvlLbl val="0"/>
      </c:catAx>
      <c:valAx>
        <c:axId val="69865339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57856381"/>
        <c:crosses val="autoZero"/>
        <c:crossBetween val="between"/>
      </c:valAx>
      <c:spPr>
        <a:noFill/>
        <a:ln>
          <a:noFill/>
        </a:ln>
        <a:effectLst/>
      </c:spPr>
    </c:plotArea>
    <c:legend>
      <c:legendPos val="r"/>
      <c:layout>
        <c:manualLayout>
          <c:xMode val="edge"/>
          <c:yMode val="edge"/>
          <c:x val="0.826988239984054"/>
          <c:y val="0.00712758374910905"/>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pieChart>
        <c:varyColors val="1"/>
        <c:ser>
          <c:idx val="0"/>
          <c:order val="0"/>
          <c:tx>
            <c:strRef>
              <c:f>Sheet1!$B$1</c:f>
              <c:strCache>
                <c:ptCount val="1"/>
                <c:pt idx="0">
                  <c:v>收入决算结构图</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xmlns:c15="http://schemas.microsoft.com/office/drawing/2012/chart" uri="{02D57815-91ED-43cb-92C2-25804820EDAC}">
                  <c15:fullRef>
                    <c15:sqref>Sheet1!$A$2:$A$5</c15:sqref>
                  </c15:fullRef>
                </c:ext>
              </c:extLst>
              <c:f>Sheet1!$A$2:$A$3</c:f>
              <c:strCache>
                <c:ptCount val="2"/>
                <c:pt idx="0">
                  <c:v>一般公共预算财政拨款预算司改</c:v>
                </c:pt>
                <c:pt idx="1">
                  <c:v>其他</c:v>
                </c:pt>
              </c:strCache>
            </c:strRef>
          </c:cat>
          <c:val>
            <c:numRef>
              <c:extLst>
                <c:ext xmlns:c15="http://schemas.microsoft.com/office/drawing/2012/chart" uri="{02D57815-91ED-43cb-92C2-25804820EDAC}">
                  <c15:fullRef>
                    <c15:sqref>Sheet1!$B$2:$B$5</c15:sqref>
                  </c15:fullRef>
                </c:ext>
              </c:extLst>
              <c:f>Sheet1!$B$2:$B$3</c:f>
              <c:numCache>
                <c:formatCode>General</c:formatCode>
                <c:ptCount val="2"/>
                <c:pt idx="0">
                  <c:v>100</c:v>
                </c:pt>
                <c:pt idx="1">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600" b="1" i="0" u="none" strike="noStrike" kern="1200" cap="all" baseline="0">
              <a:solidFill>
                <a:schemeClr val="tx1">
                  <a:lumMod val="65000"/>
                  <a:lumOff val="35000"/>
                </a:schemeClr>
              </a:solidFill>
              <a:latin typeface="+mn-lt"/>
              <a:ea typeface="+mn-ea"/>
              <a:cs typeface="+mn-cs"/>
            </a:defRPr>
          </a:pPr>
        </a:p>
      </c:txPr>
    </c:title>
    <c:autoTitleDeleted val="0"/>
    <c:plotArea>
      <c:layout/>
      <c:pieChart>
        <c:varyColors val="1"/>
        <c:ser>
          <c:idx val="0"/>
          <c:order val="0"/>
          <c:tx>
            <c:strRef>
              <c:f>Sheet1!$B$1</c:f>
              <c:strCache>
                <c:ptCount val="1"/>
                <c:pt idx="0">
                  <c:v>支出情况</c:v>
                </c:pt>
              </c:strCache>
            </c:strRef>
          </c:tx>
          <c:spPr/>
          <c:explosion val="0"/>
          <c:dPt>
            <c:idx val="0"/>
            <c:bubble3D val="0"/>
            <c:spPr>
              <a:solidFill>
                <a:schemeClr val="accent1"/>
              </a:solidFill>
              <a:ln>
                <a:noFill/>
              </a:ln>
              <a:effectLst>
                <a:outerShdw blurRad="63500" sx="102000" sy="102000" algn="ctr" rotWithShape="0">
                  <a:prstClr val="black">
                    <a:alpha val="20000"/>
                  </a:prstClr>
                </a:outerShdw>
              </a:effectLst>
            </c:spPr>
          </c:dPt>
          <c:dPt>
            <c:idx val="1"/>
            <c:bubble3D val="0"/>
            <c:spPr>
              <a:solidFill>
                <a:schemeClr val="accent2"/>
              </a:solidFill>
              <a:ln>
                <a:noFill/>
              </a:ln>
              <a:effectLst>
                <a:outerShdw blurRad="63500" sx="102000" sy="102000" algn="ctr" rotWithShape="0">
                  <a:prstClr val="black">
                    <a:alpha val="20000"/>
                  </a:prstClr>
                </a:outerShdw>
              </a:effectLst>
            </c:spPr>
          </c:dPt>
          <c:dLbls>
            <c:dLbl>
              <c:idx val="0"/>
              <c:layout/>
              <c:numFmt formatCode="General" sourceLinked="1"/>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1"/>
                      </a:solidFill>
                      <a:latin typeface="+mn-lt"/>
                      <a:ea typeface="+mn-ea"/>
                      <a:cs typeface="+mn-cs"/>
                    </a:defRPr>
                  </a:pPr>
                </a:p>
              </c:txPr>
              <c:dLblPos val="outEnd"/>
              <c:showLegendKey val="0"/>
              <c:showVal val="1"/>
              <c:showCatName val="1"/>
              <c:showSerName val="0"/>
              <c:showPercent val="0"/>
              <c:showBubbleSize val="0"/>
              <c:extLst>
                <c:ext xmlns:c15="http://schemas.microsoft.com/office/drawing/2012/chart" uri="{CE6537A1-D6FC-4f65-9D91-7224C49458BB}"/>
              </c:extLst>
            </c:dLbl>
            <c:dLbl>
              <c:idx val="1"/>
              <c:layout/>
              <c:numFmt formatCode="General" sourceLinked="1"/>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2"/>
                      </a:solidFill>
                      <a:latin typeface="+mn-lt"/>
                      <a:ea typeface="+mn-ea"/>
                      <a:cs typeface="+mn-cs"/>
                    </a:defRPr>
                  </a:pPr>
                </a:p>
              </c:txPr>
              <c:dLblPos val="outEnd"/>
              <c:showLegendKey val="0"/>
              <c:showVal val="1"/>
              <c:showCatName val="1"/>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1"/>
                    </a:solidFill>
                    <a:latin typeface="+mn-lt"/>
                    <a:ea typeface="+mn-ea"/>
                    <a:cs typeface="+mn-cs"/>
                  </a:defRPr>
                </a:pPr>
              </a:p>
            </c:txPr>
            <c:dLblPos val="outEnd"/>
            <c:showLegendKey val="0"/>
            <c:showVal val="1"/>
            <c:showCatName val="1"/>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xmlns:c15="http://schemas.microsoft.com/office/drawing/2012/chart" uri="{02D57815-91ED-43cb-92C2-25804820EDAC}">
                  <c15:fullRef>
                    <c15:sqref>Sheet1!$A$2:$A$5</c15:sqref>
                  </c15:fullRef>
                </c:ext>
              </c:extLst>
              <c:f>Sheet1!$A$2:$A$3</c:f>
              <c:strCache>
                <c:ptCount val="2"/>
                <c:pt idx="0">
                  <c:v>基本支出</c:v>
                </c:pt>
                <c:pt idx="1">
                  <c:v>项目支出</c:v>
                </c:pt>
              </c:strCache>
            </c:strRef>
          </c:cat>
          <c:val>
            <c:numRef>
              <c:extLst>
                <c:ext xmlns:c15="http://schemas.microsoft.com/office/drawing/2012/chart" uri="{02D57815-91ED-43cb-92C2-25804820EDAC}">
                  <c15:fullRef>
                    <c15:sqref>Sheet1!$B$2:$B$5</c15:sqref>
                  </c15:fullRef>
                </c:ext>
              </c:extLst>
              <c:f>Sheet1!$B$2:$B$3</c:f>
              <c:numCache>
                <c:formatCode>General</c:formatCode>
                <c:ptCount val="2"/>
                <c:pt idx="0">
                  <c:v>1316.68</c:v>
                </c:pt>
                <c:pt idx="1">
                  <c:v>381.55</c:v>
                </c:pt>
              </c:numCache>
            </c:numRef>
          </c:val>
        </c:ser>
        <c:dLbls>
          <c:showLegendKey val="0"/>
          <c:showVal val="1"/>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2024</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xmlns:c15="http://schemas.microsoft.com/office/drawing/2012/chart" uri="{02D57815-91ED-43cb-92C2-25804820EDAC}">
                  <c15:fullRef>
                    <c15:sqref>Sheet1!$A$2:$A$5</c15:sqref>
                  </c15:fullRef>
                </c:ext>
              </c:extLst>
              <c:f>Sheet1!$A$2:$A$3</c:f>
              <c:strCache>
                <c:ptCount val="2"/>
                <c:pt idx="0">
                  <c:v>财政拨款收入</c:v>
                </c:pt>
                <c:pt idx="1">
                  <c:v>财政拨款支出</c:v>
                </c:pt>
              </c:strCache>
            </c:strRef>
          </c:cat>
          <c:val>
            <c:numRef>
              <c:extLst>
                <c:ext xmlns:c15="http://schemas.microsoft.com/office/drawing/2012/chart" uri="{02D57815-91ED-43cb-92C2-25804820EDAC}">
                  <c15:fullRef>
                    <c15:sqref>Sheet1!$B$2:$B$5</c15:sqref>
                  </c15:fullRef>
                </c:ext>
              </c:extLst>
              <c:f>Sheet1!$B$2:$B$3</c:f>
              <c:numCache>
                <c:formatCode>General</c:formatCode>
                <c:ptCount val="2"/>
                <c:pt idx="0">
                  <c:v>1825.3</c:v>
                </c:pt>
                <c:pt idx="1">
                  <c:v>1825.3</c:v>
                </c:pt>
              </c:numCache>
            </c:numRef>
          </c:val>
        </c:ser>
        <c:ser>
          <c:idx val="1"/>
          <c:order val="1"/>
          <c:tx>
            <c:strRef>
              <c:f>Sheet1!$C$1</c:f>
              <c:strCache>
                <c:ptCount val="1"/>
                <c:pt idx="0">
                  <c:v>2025</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xmlns:c15="http://schemas.microsoft.com/office/drawing/2012/chart" uri="{02D57815-91ED-43cb-92C2-25804820EDAC}">
                  <c15:fullRef>
                    <c15:sqref>Sheet1!$A$2:$A$5</c15:sqref>
                  </c15:fullRef>
                </c:ext>
              </c:extLst>
              <c:f>Sheet1!$A$2:$A$3</c:f>
              <c:strCache>
                <c:ptCount val="2"/>
                <c:pt idx="0">
                  <c:v>财政拨款收入</c:v>
                </c:pt>
                <c:pt idx="1">
                  <c:v>财政拨款支出</c:v>
                </c:pt>
              </c:strCache>
            </c:strRef>
          </c:cat>
          <c:val>
            <c:numRef>
              <c:extLst>
                <c:ext xmlns:c15="http://schemas.microsoft.com/office/drawing/2012/chart" uri="{02D57815-91ED-43cb-92C2-25804820EDAC}">
                  <c15:fullRef>
                    <c15:sqref>Sheet1!$C$2:$C$5</c15:sqref>
                  </c15:fullRef>
                </c:ext>
              </c:extLst>
              <c:f>Sheet1!$C$2:$C$3</c:f>
              <c:numCache>
                <c:formatCode>General</c:formatCode>
                <c:ptCount val="2"/>
                <c:pt idx="0">
                  <c:v>1698.23</c:v>
                </c:pt>
                <c:pt idx="1">
                  <c:v>1698.23</c:v>
                </c:pt>
              </c:numCache>
            </c:numRef>
          </c:val>
        </c:ser>
        <c:dLbls>
          <c:showLegendKey val="0"/>
          <c:showVal val="1"/>
          <c:showCatName val="0"/>
          <c:showSerName val="0"/>
          <c:showPercent val="0"/>
          <c:showBubbleSize val="0"/>
        </c:dLbls>
        <c:gapWidth val="219"/>
        <c:overlap val="-27"/>
        <c:axId val="79278068"/>
        <c:axId val="38801073"/>
        <c:extLst>
          <c:ext xmlns:c15="http://schemas.microsoft.com/office/drawing/2012/chart" uri="{02D57815-91ED-43cb-92C2-25804820EDAC}">
            <c15:filteredBarSeries>
              <c15:ser>
                <c:idx val="2"/>
                <c:order val="2"/>
                <c:tx>
                  <c:strRef>
                    <c:extLst>
                      <c:ext uri="{02D57815-91ED-43cb-92C2-25804820EDAC}">
                        <c15:formulaRef>
                          <c15:sqref>Sheet1!$D$1</c15:sqref>
                        </c15:formulaRef>
                      </c:ext>
                    </c:extLst>
                    <c:strCache>
                      <c:ptCount val="1"/>
                      <c:pt idx="0">
                        <c:v>系列 3</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Sheet1!$A$2:$A$5</c15:sqref>
                        </c15:fullRef>
                        <c15:formulaRef>
                          <c15:sqref>Sheet1!$A$2:$A$3</c15:sqref>
                        </c15:formulaRef>
                      </c:ext>
                    </c:extLst>
                    <c:strCache>
                      <c:ptCount val="2"/>
                      <c:pt idx="0">
                        <c:v>财政拨款收入</c:v>
                      </c:pt>
                      <c:pt idx="1">
                        <c:v>财政拨款支出</c:v>
                      </c:pt>
                    </c:strCache>
                  </c:strRef>
                </c:cat>
                <c:val>
                  <c:numRef>
                    <c:extLst>
                      <c:ext uri="{02D57815-91ED-43cb-92C2-25804820EDAC}">
                        <c15:fullRef>
                          <c15:sqref>Sheet1!$D$2:$D$5</c15:sqref>
                        </c15:fullRef>
                        <c15:formulaRef>
                          <c15:sqref>Sheet1!$D$2:$D$3</c15:sqref>
                        </c15:formulaRef>
                      </c:ext>
                    </c:extLst>
                    <c:numCache>
                      <c:formatCode>General</c:formatCode>
                      <c:ptCount val="2"/>
                      <c:pt idx="0">
                        <c:v>2</c:v>
                      </c:pt>
                      <c:pt idx="1">
                        <c:v>2</c:v>
                      </c:pt>
                    </c:numCache>
                  </c:numRef>
                </c:val>
              </c15:ser>
            </c15:filteredBarSeries>
          </c:ext>
        </c:extLst>
      </c:barChart>
      <c:catAx>
        <c:axId val="79278068"/>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8801073"/>
        <c:crosses val="autoZero"/>
        <c:auto val="1"/>
        <c:lblAlgn val="ctr"/>
        <c:lblOffset val="100"/>
        <c:noMultiLvlLbl val="0"/>
      </c:catAx>
      <c:valAx>
        <c:axId val="38801073"/>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9278068"/>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4171366199745"/>
          <c:y val="0.0867722006948825"/>
          <c:w val="0.845442968892123"/>
          <c:h val="0.603360768175583"/>
        </c:manualLayout>
      </c:layout>
      <c:barChart>
        <c:barDir val="col"/>
        <c:grouping val="clustered"/>
        <c:varyColors val="0"/>
        <c:ser>
          <c:idx val="0"/>
          <c:order val="0"/>
          <c:tx>
            <c:strRef>
              <c:f>Sheet1!$B$1</c:f>
              <c:strCache>
                <c:ptCount val="1"/>
                <c:pt idx="0">
                  <c:v>一般公共预算财政拨款支出</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extLst>
                <c:ext xmlns:c15="http://schemas.microsoft.com/office/drawing/2012/chart" uri="{02D57815-91ED-43cb-92C2-25804820EDAC}">
                  <c15:fullRef>
                    <c15:sqref>Sheet1!$A$2:$A$5</c15:sqref>
                  </c15:fullRef>
                </c:ext>
              </c:extLst>
              <c:f>Sheet1!$A$2:$A$3</c:f>
              <c:numCache>
                <c:formatCode>General</c:formatCode>
                <c:ptCount val="2"/>
                <c:pt idx="0">
                  <c:v>2024</c:v>
                </c:pt>
                <c:pt idx="1">
                  <c:v>2025</c:v>
                </c:pt>
              </c:numCache>
            </c:numRef>
          </c:cat>
          <c:val>
            <c:numRef>
              <c:extLst>
                <c:ext xmlns:c15="http://schemas.microsoft.com/office/drawing/2012/chart" uri="{02D57815-91ED-43cb-92C2-25804820EDAC}">
                  <c15:fullRef>
                    <c15:sqref>Sheet1!$B$2:$B$5</c15:sqref>
                  </c15:fullRef>
                </c:ext>
              </c:extLst>
              <c:f>Sheet1!$B$2:$B$3</c:f>
              <c:numCache>
                <c:formatCode>General</c:formatCode>
                <c:ptCount val="2"/>
                <c:pt idx="0">
                  <c:v>1825.3</c:v>
                </c:pt>
                <c:pt idx="1">
                  <c:v>1698.23</c:v>
                </c:pt>
              </c:numCache>
            </c:numRef>
          </c:val>
        </c:ser>
        <c:dLbls>
          <c:showLegendKey val="0"/>
          <c:showVal val="1"/>
          <c:showCatName val="0"/>
          <c:showSerName val="0"/>
          <c:showPercent val="0"/>
          <c:showBubbleSize val="0"/>
        </c:dLbls>
        <c:gapWidth val="219"/>
        <c:overlap val="-27"/>
        <c:axId val="340482642"/>
        <c:axId val="804514613"/>
        <c:extLst>
          <c:ext xmlns:c15="http://schemas.microsoft.com/office/drawing/2012/chart" uri="{02D57815-91ED-43cb-92C2-25804820EDAC}">
            <c15:filteredBarSeries>
              <c15:ser>
                <c:idx val="1"/>
                <c:order val="1"/>
                <c:tx>
                  <c:strRef>
                    <c:extLst>
                      <c:ext uri="{02D57815-91ED-43cb-92C2-25804820EDAC}">
                        <c15:formulaRef>
                          <c15:sqref>Sheet1!$C$1</c15:sqref>
                        </c15:formulaRef>
                      </c:ext>
                    </c:extLst>
                    <c:strCache>
                      <c:ptCount val="1"/>
                      <c:pt idx="0">
                        <c:v>系列 2</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extLst>
                      <c:ext uri="{02D57815-91ED-43cb-92C2-25804820EDAC}">
                        <c15:fullRef>
                          <c15:sqref>Sheet1!$A$2:$A$5</c15:sqref>
                        </c15:fullRef>
                        <c15:formulaRef>
                          <c15:sqref>Sheet1!$A$2:$A$3</c15:sqref>
                        </c15:formulaRef>
                      </c:ext>
                    </c:extLst>
                    <c:numCache>
                      <c:formatCode>General</c:formatCode>
                      <c:ptCount val="2"/>
                      <c:pt idx="0">
                        <c:v>2024</c:v>
                      </c:pt>
                      <c:pt idx="1">
                        <c:v>2025</c:v>
                      </c:pt>
                    </c:numCache>
                  </c:numRef>
                </c:cat>
                <c:val>
                  <c:numRef>
                    <c:extLst>
                      <c:ext uri="{02D57815-91ED-43cb-92C2-25804820EDAC}">
                        <c15:fullRef>
                          <c15:sqref>Sheet1!$C$2:$C$5</c15:sqref>
                        </c15:fullRef>
                        <c15:formulaRef>
                          <c15:sqref>Sheet1!$C$2:$C$3</c15:sqref>
                        </c15:formulaRef>
                      </c:ext>
                    </c:extLst>
                    <c:numCache>
                      <c:formatCode>General</c:formatCode>
                      <c:ptCount val="2"/>
                      <c:pt idx="0">
                        <c:v>2.4</c:v>
                      </c:pt>
                      <c:pt idx="1">
                        <c:v>4.4</c:v>
                      </c:pt>
                    </c:numCache>
                  </c:numRef>
                </c:val>
              </c15:ser>
            </c15:filteredBarSeries>
            <c15:filteredBarSeries>
              <c15:ser>
                <c:idx val="2"/>
                <c:order val="2"/>
                <c:tx>
                  <c:strRef>
                    <c:extLst>
                      <c:ext uri="{02D57815-91ED-43cb-92C2-25804820EDAC}">
                        <c15:formulaRef>
                          <c15:sqref>Sheet1!$D$1</c15:sqref>
                        </c15:formulaRef>
                      </c:ext>
                    </c:extLst>
                    <c:strCache>
                      <c:ptCount val="1"/>
                      <c:pt idx="0">
                        <c:v>系列 3</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extLst>
                      <c:ext uri="{02D57815-91ED-43cb-92C2-25804820EDAC}">
                        <c15:fullRef>
                          <c15:sqref>Sheet1!$A$2:$A$5</c15:sqref>
                        </c15:fullRef>
                        <c15:formulaRef>
                          <c15:sqref>Sheet1!$A$2:$A$3</c15:sqref>
                        </c15:formulaRef>
                      </c:ext>
                    </c:extLst>
                    <c:numCache>
                      <c:formatCode>General</c:formatCode>
                      <c:ptCount val="2"/>
                      <c:pt idx="0">
                        <c:v>2024</c:v>
                      </c:pt>
                      <c:pt idx="1">
                        <c:v>2025</c:v>
                      </c:pt>
                    </c:numCache>
                  </c:numRef>
                </c:cat>
                <c:val>
                  <c:numRef>
                    <c:extLst>
                      <c:ext uri="{02D57815-91ED-43cb-92C2-25804820EDAC}">
                        <c15:fullRef>
                          <c15:sqref>Sheet1!$D$2:$D$5</c15:sqref>
                        </c15:fullRef>
                        <c15:formulaRef>
                          <c15:sqref>Sheet1!$D$2:$D$3</c15:sqref>
                        </c15:formulaRef>
                      </c:ext>
                    </c:extLst>
                    <c:numCache>
                      <c:formatCode>General</c:formatCode>
                      <c:ptCount val="2"/>
                      <c:pt idx="0">
                        <c:v>2</c:v>
                      </c:pt>
                      <c:pt idx="1">
                        <c:v>2</c:v>
                      </c:pt>
                    </c:numCache>
                  </c:numRef>
                </c:val>
              </c15:ser>
            </c15:filteredBarSeries>
          </c:ext>
        </c:extLst>
      </c:barChart>
      <c:catAx>
        <c:axId val="340482642"/>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04514613"/>
        <c:crosses val="autoZero"/>
        <c:auto val="1"/>
        <c:lblAlgn val="ctr"/>
        <c:lblOffset val="100"/>
        <c:noMultiLvlLbl val="0"/>
      </c:catAx>
      <c:valAx>
        <c:axId val="804514613"/>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40482642"/>
        <c:crosses val="autoZero"/>
        <c:crossBetween val="between"/>
      </c:valAx>
      <c:spPr>
        <a:noFill/>
        <a:ln>
          <a:noFill/>
        </a:ln>
        <a:effectLst/>
      </c:spPr>
    </c:plotArea>
    <c:legend>
      <c:legendPos val="b"/>
      <c:layout>
        <c:manualLayout>
          <c:xMode val="edge"/>
          <c:yMode val="edge"/>
          <c:x val="0.269782848730217"/>
          <c:y val="0.825780089153046"/>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一般公共预算财政拨款支出</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一般公共安全支出</c:v>
                </c:pt>
                <c:pt idx="1">
                  <c:v>社会保障和就业支出</c:v>
                </c:pt>
                <c:pt idx="2">
                  <c:v>卫生健康支出</c:v>
                </c:pt>
                <c:pt idx="3">
                  <c:v>住房保障支出</c:v>
                </c:pt>
              </c:strCache>
            </c:strRef>
          </c:cat>
          <c:val>
            <c:numRef>
              <c:f>Sheet1!$B$2:$B$5</c:f>
              <c:numCache>
                <c:formatCode>General</c:formatCode>
                <c:ptCount val="4"/>
                <c:pt idx="0">
                  <c:v>1436.55</c:v>
                </c:pt>
                <c:pt idx="1">
                  <c:v>127.51</c:v>
                </c:pt>
                <c:pt idx="2">
                  <c:v>57.93</c:v>
                </c:pt>
                <c:pt idx="3">
                  <c:v>76.24</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manualLayout>
          <c:xMode val="edge"/>
          <c:yMode val="edge"/>
          <c:x val="0.12785161674271"/>
          <c:y val="0.00857632933104631"/>
        </c:manualLayout>
      </c:layout>
      <c:overlay val="0"/>
      <c:spPr>
        <a:noFill/>
        <a:ln>
          <a:noFill/>
        </a:ln>
        <a:effectLst/>
      </c:spPr>
      <c:txPr>
        <a:bodyPr rot="0" spcFirstLastPara="0" vertOverflow="ellipsis" vert="horz" wrap="square" anchor="ctr" anchorCtr="1"/>
        <a:lstStyle/>
        <a:p>
          <a:pPr>
            <a:defRPr lang="zh-CN" sz="1800" b="1" i="0" u="none" strike="noStrike" kern="1200" baseline="0">
              <a:solidFill>
                <a:schemeClr val="dk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“三公”经费财政拨款支出结构</c:v>
                </c:pt>
              </c:strCache>
            </c:strRef>
          </c:tx>
          <c:spPr/>
          <c:explosion val="0"/>
          <c:dPt>
            <c:idx val="0"/>
            <c:bubble3D val="0"/>
            <c:spPr>
              <a:solidFill>
                <a:schemeClr val="accent1"/>
              </a:solidFill>
              <a:ln>
                <a:noFill/>
              </a:ln>
              <a:effectLst>
                <a:outerShdw blurRad="254000" sx="102000" sy="102000" algn="ctr" rotWithShape="0">
                  <a:prstClr val="black">
                    <a:alpha val="20000"/>
                  </a:prstClr>
                </a:outerShdw>
              </a:effectLst>
            </c:spPr>
          </c:dPt>
          <c:dPt>
            <c:idx val="1"/>
            <c:bubble3D val="0"/>
            <c:spPr>
              <a:solidFill>
                <a:schemeClr val="accent2"/>
              </a:solidFill>
              <a:ln>
                <a:noFill/>
              </a:ln>
              <a:effectLst>
                <a:outerShdw blurRad="254000" sx="102000" sy="102000" algn="ctr" rotWithShape="0">
                  <a:prstClr val="black">
                    <a:alpha val="20000"/>
                  </a:prstClr>
                </a:outerShdw>
              </a:effectLst>
            </c:spPr>
          </c:dPt>
          <c:dPt>
            <c:idx val="2"/>
            <c:bubble3D val="0"/>
            <c:spPr>
              <a:solidFill>
                <a:schemeClr val="accent3"/>
              </a:solidFill>
              <a:ln>
                <a:noFill/>
              </a:ln>
              <a:effectLst>
                <a:outerShdw blurRad="254000" sx="102000" sy="102000" algn="ctr" rotWithShape="0">
                  <a:prstClr val="black">
                    <a:alpha val="20000"/>
                  </a:prstClr>
                </a:outerShdw>
              </a:effectLst>
            </c:spPr>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0" vertOverflow="ellipsis" vert="horz" wrap="square" lIns="38100" tIns="19050" rIns="38100" bIns="19050" anchor="ctr" anchorCtr="1"/>
              <a:lstStyle/>
              <a:p>
                <a:pPr>
                  <a:defRPr lang="zh-CN" sz="1000" b="1" i="0" u="none" strike="noStrike" kern="1200" baseline="0">
                    <a:solidFill>
                      <a:schemeClr val="lt1"/>
                    </a:solidFill>
                    <a:latin typeface="+mn-lt"/>
                    <a:ea typeface="+mn-ea"/>
                    <a:cs typeface="+mn-cs"/>
                  </a:defRPr>
                </a:pPr>
              </a:p>
            </c:txPr>
            <c:dLblPos val="ctr"/>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strRef>
              <c:extLst>
                <c:ext xmlns:c15="http://schemas.microsoft.com/office/drawing/2012/chart" uri="{02D57815-91ED-43cb-92C2-25804820EDAC}">
                  <c15:fullRef>
                    <c15:sqref>Sheet1!$A$2:$A$5</c15:sqref>
                  </c15:fullRef>
                </c:ext>
              </c:extLst>
              <c:f>Sheet1!$A$2:$A$4</c:f>
              <c:strCache>
                <c:ptCount val="3"/>
                <c:pt idx="0">
                  <c:v>因公出国（境）费支出</c:v>
                </c:pt>
                <c:pt idx="1">
                  <c:v>公务用车运行维护费支出</c:v>
                </c:pt>
                <c:pt idx="2">
                  <c:v>公务接待费支出</c:v>
                </c:pt>
              </c:strCache>
            </c:strRef>
          </c:cat>
          <c:val>
            <c:numRef>
              <c:extLst>
                <c:ext xmlns:c15="http://schemas.microsoft.com/office/drawing/2012/chart" uri="{02D57815-91ED-43cb-92C2-25804820EDAC}">
                  <c15:fullRef>
                    <c15:sqref>Sheet1!$B$2:$B$5</c15:sqref>
                  </c15:fullRef>
                </c:ext>
              </c:extLst>
              <c:f>Sheet1!$B$2:$B$4</c:f>
              <c:numCache>
                <c:formatCode>General</c:formatCode>
                <c:ptCount val="3"/>
                <c:pt idx="0">
                  <c:v>0</c:v>
                </c:pt>
                <c:pt idx="1">
                  <c:v>15.4</c:v>
                </c:pt>
                <c:pt idx="2">
                  <c:v>0.6</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r"/>
      <c:layout/>
      <c:overlay val="0"/>
      <c:spPr>
        <a:solidFill>
          <a:schemeClr val="lt1">
            <a:lumMod val="95000"/>
            <a:alpha val="39000"/>
          </a:schemeClr>
        </a:solidFill>
        <a:ln>
          <a:noFill/>
        </a:ln>
        <a:effectLst/>
      </c:spPr>
      <c:txPr>
        <a:bodyPr rot="0" spcFirstLastPara="0" vertOverflow="ellipsis" vert="horz" wrap="square" anchor="ctr" anchorCtr="1"/>
        <a:lstStyle/>
        <a:p>
          <a:pPr>
            <a:defRPr lang="zh-CN" sz="900" b="0" i="0" u="none" strike="noStrike" kern="1200" baseline="0">
              <a:solidFill>
                <a:schemeClr val="dk1">
                  <a:lumMod val="75000"/>
                  <a:lumOff val="25000"/>
                </a:schemeClr>
              </a:solidFill>
              <a:latin typeface="+mn-lt"/>
              <a:ea typeface="+mn-ea"/>
              <a:cs typeface="+mn-cs"/>
            </a:defRPr>
          </a:pPr>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gradFill>
    <a:ln w="9525" cap="flat" cmpd="sng" algn="ctr">
      <a:solidFill>
        <a:schemeClr val="dk1">
          <a:lumMod val="25000"/>
          <a:lumOff val="7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22</Pages>
  <Words>3672</Words>
  <Characters>4009</Characters>
  <Lines>61</Lines>
  <Paragraphs>17</Paragraphs>
  <TotalTime>0</TotalTime>
  <ScaleCrop>false</ScaleCrop>
  <LinksUpToDate>false</LinksUpToDate>
  <CharactersWithSpaces>4024</CharactersWithSpaces>
  <Application>WPS Office_11.8.2.11716_F1E327BC-269C-435d-A152-05C5408002CA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2020-08-09T09:49:00Z</dcterms:created>
  <dc:creator>曹颖</dc:creator>
  <cp:lastModifiedBy>Administrator</cp:lastModifiedBy>
  <cp:lastPrinted>2026-09-16T03:13:00Z</cp:lastPrinted>
  <dcterms:modified xsi:type="dcterms:W3CDTF">2026-09-16T03:49:23Z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2052-11.8.2.11716</vt:lpwstr>
  </property>
  <property fmtid="{D5CDD505-2E9C-101B-9397-08002B2CF9AE}" pid="3" name="ICV">
    <vt:lpwstr>04787F2533EB45DC91BCDE4AB213247F</vt:lpwstr>
  </property>
  <property fmtid="{D5CDD505-2E9C-101B-9397-08002B2CF9AE}" pid="4" name="KSOTemplateDocerSaveRecord">
    <vt:lpwstr>eyJoZGlkIjoiNTEwZjczMTk5N2RhMDczZjdlZWQzZWEyOTI3ODdiZjIiLCJ1c2VySWQiOiIyMzQ4MDE3OTMifQ==</vt:lpwstr>
  </property>
</Properties>
</file>