
<file path=[Content_Types].xml><?xml version="1.0" encoding="utf-8"?>
<Types xmlns="http://schemas.openxmlformats.org/package/2006/content-types">
  <Default Extension="xml" ContentType="application/xml"/>
  <Default Extension="xlsx" ContentType="application/vnd.openxmlformats-officedocument.spreadsheetml.sheet"/>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C985BF6">
      <w:pPr>
        <w:rPr>
          <w:rFonts w:ascii="Times New Roman" w:hAnsi="Times New Roman" w:eastAsia="宋体" w:cs="Times New Roman"/>
        </w:rPr>
      </w:pPr>
      <w:bookmarkStart w:id="0" w:name="_Toc15377204"/>
      <w:bookmarkStart w:id="1" w:name="_Toc15396602"/>
    </w:p>
    <w:p w14:paraId="4FD899AE">
      <w:pPr>
        <w:widowControl w:val="0"/>
        <w:spacing w:beforeLines="30"/>
        <w:jc w:val="center"/>
        <w:rPr>
          <w:rFonts w:hint="eastAsia" w:ascii="Times New Roman" w:hAnsi="Times New Roman" w:eastAsia="方正小标宋简体" w:cs="Times New Roman"/>
          <w:color w:val="auto"/>
          <w:kern w:val="2"/>
          <w:sz w:val="44"/>
          <w:szCs w:val="44"/>
          <w:highlight w:val="none"/>
          <w:lang w:val="en-US" w:eastAsia="zh-CN" w:bidi="ar-SA"/>
        </w:rPr>
      </w:pPr>
    </w:p>
    <w:p w14:paraId="1AED00D5">
      <w:pPr>
        <w:widowControl w:val="0"/>
        <w:spacing w:beforeLines="30"/>
        <w:jc w:val="center"/>
        <w:rPr>
          <w:rFonts w:hint="eastAsia" w:ascii="Times New Roman" w:hAnsi="Times New Roman" w:eastAsia="方正小标宋简体" w:cs="Times New Roman"/>
          <w:color w:val="auto"/>
          <w:kern w:val="2"/>
          <w:sz w:val="44"/>
          <w:szCs w:val="44"/>
          <w:highlight w:val="none"/>
          <w:lang w:val="en-US" w:eastAsia="zh-CN" w:bidi="ar-SA"/>
        </w:rPr>
      </w:pPr>
    </w:p>
    <w:p w14:paraId="2FD3F806">
      <w:pPr>
        <w:widowControl w:val="0"/>
        <w:spacing w:beforeLines="30"/>
        <w:jc w:val="center"/>
        <w:rPr>
          <w:rFonts w:hint="eastAsia" w:ascii="Times New Roman" w:hAnsi="Times New Roman" w:eastAsia="方正小标宋简体" w:cs="Times New Roman"/>
          <w:color w:val="auto"/>
          <w:kern w:val="2"/>
          <w:sz w:val="44"/>
          <w:szCs w:val="44"/>
          <w:highlight w:val="none"/>
          <w:lang w:val="en-US" w:eastAsia="zh-CN" w:bidi="ar-SA"/>
        </w:rPr>
      </w:pPr>
    </w:p>
    <w:p w14:paraId="456C120F">
      <w:pPr>
        <w:widowControl w:val="0"/>
        <w:spacing w:beforeLines="30"/>
        <w:jc w:val="center"/>
        <w:rPr>
          <w:rFonts w:hint="eastAsia" w:ascii="Times New Roman" w:hAnsi="Times New Roman" w:eastAsia="方正小标宋简体" w:cs="Times New Roman"/>
          <w:color w:val="auto"/>
          <w:kern w:val="2"/>
          <w:sz w:val="44"/>
          <w:szCs w:val="44"/>
          <w:highlight w:val="none"/>
          <w:lang w:val="en-US" w:eastAsia="zh-CN" w:bidi="ar-SA"/>
        </w:rPr>
      </w:pPr>
    </w:p>
    <w:p w14:paraId="22941490">
      <w:pPr>
        <w:widowControl w:val="0"/>
        <w:spacing w:beforeLines="30"/>
        <w:jc w:val="center"/>
        <w:rPr>
          <w:rFonts w:hint="eastAsia" w:ascii="宋体" w:hAnsi="宋体" w:eastAsia="宋体" w:cs="宋体"/>
          <w:b/>
          <w:bCs/>
          <w:color w:val="auto"/>
          <w:kern w:val="2"/>
          <w:sz w:val="52"/>
          <w:szCs w:val="52"/>
          <w:highlight w:val="none"/>
          <w:lang w:val="en-US" w:eastAsia="zh-CN" w:bidi="ar-SA"/>
        </w:rPr>
      </w:pPr>
      <w:bookmarkStart w:id="2" w:name="_Toc15396476"/>
      <w:bookmarkStart w:id="3" w:name="_Toc15378442"/>
      <w:bookmarkStart w:id="4" w:name="_Toc15377194"/>
      <w:bookmarkStart w:id="5" w:name="_Toc15377426"/>
      <w:bookmarkStart w:id="6" w:name="_Toc15396598"/>
      <w:r>
        <w:rPr>
          <w:rFonts w:hint="eastAsia" w:ascii="宋体" w:hAnsi="宋体" w:eastAsia="宋体" w:cs="宋体"/>
          <w:b/>
          <w:bCs/>
          <w:color w:val="auto"/>
          <w:kern w:val="2"/>
          <w:sz w:val="52"/>
          <w:szCs w:val="52"/>
          <w:highlight w:val="none"/>
          <w:lang w:val="en-US" w:eastAsia="zh-CN" w:bidi="ar-SA"/>
        </w:rPr>
        <w:t>202</w:t>
      </w:r>
      <w:r>
        <w:rPr>
          <w:rFonts w:hint="eastAsia" w:ascii="宋体" w:hAnsi="宋体" w:cs="宋体"/>
          <w:b/>
          <w:bCs/>
          <w:color w:val="auto"/>
          <w:kern w:val="2"/>
          <w:sz w:val="52"/>
          <w:szCs w:val="52"/>
          <w:highlight w:val="none"/>
          <w:lang w:val="en-US" w:eastAsia="zh-CN" w:bidi="ar-SA"/>
        </w:rPr>
        <w:t>5</w:t>
      </w:r>
      <w:r>
        <w:rPr>
          <w:rFonts w:hint="eastAsia" w:ascii="宋体" w:hAnsi="宋体" w:eastAsia="宋体" w:cs="宋体"/>
          <w:b/>
          <w:bCs/>
          <w:color w:val="auto"/>
          <w:kern w:val="2"/>
          <w:sz w:val="52"/>
          <w:szCs w:val="52"/>
          <w:highlight w:val="none"/>
          <w:lang w:val="en-US" w:eastAsia="zh-CN" w:bidi="ar-SA"/>
        </w:rPr>
        <w:t>年度</w:t>
      </w:r>
    </w:p>
    <w:p w14:paraId="4DA437AA">
      <w:pPr>
        <w:widowControl w:val="0"/>
        <w:spacing w:beforeLines="30"/>
        <w:jc w:val="center"/>
        <w:rPr>
          <w:rFonts w:hint="eastAsia" w:ascii="宋体" w:hAnsi="宋体" w:eastAsia="宋体" w:cs="宋体"/>
          <w:b/>
          <w:bCs/>
          <w:color w:val="auto"/>
          <w:kern w:val="2"/>
          <w:sz w:val="52"/>
          <w:szCs w:val="52"/>
          <w:highlight w:val="none"/>
          <w:lang w:val="en-US" w:eastAsia="zh-CN" w:bidi="ar-SA"/>
        </w:rPr>
      </w:pPr>
      <w:r>
        <w:rPr>
          <w:rFonts w:hint="eastAsia" w:ascii="宋体" w:hAnsi="宋体" w:eastAsia="宋体" w:cs="宋体"/>
          <w:b/>
          <w:bCs/>
          <w:color w:val="auto"/>
          <w:kern w:val="2"/>
          <w:sz w:val="52"/>
          <w:szCs w:val="52"/>
          <w:highlight w:val="none"/>
          <w:lang w:val="en-US" w:eastAsia="zh-CN" w:bidi="ar-SA"/>
        </w:rPr>
        <w:t>四川省</w:t>
      </w:r>
      <w:bookmarkStart w:id="7" w:name="_Toc15306268"/>
      <w:r>
        <w:rPr>
          <w:rFonts w:hint="eastAsia" w:ascii="宋体" w:hAnsi="宋体" w:eastAsia="宋体" w:cs="宋体"/>
          <w:b/>
          <w:bCs/>
          <w:color w:val="auto"/>
          <w:kern w:val="2"/>
          <w:sz w:val="52"/>
          <w:szCs w:val="52"/>
          <w:highlight w:val="none"/>
          <w:lang w:val="en-US" w:eastAsia="zh-CN" w:bidi="ar-SA"/>
        </w:rPr>
        <w:t>南江县人民检察院</w:t>
      </w:r>
    </w:p>
    <w:p w14:paraId="1AB3ADDB">
      <w:pPr>
        <w:widowControl w:val="0"/>
        <w:spacing w:beforeLines="30"/>
        <w:jc w:val="center"/>
        <w:rPr>
          <w:rFonts w:hint="eastAsia" w:ascii="宋体" w:hAnsi="宋体" w:eastAsia="宋体" w:cs="宋体"/>
          <w:color w:val="auto"/>
          <w:kern w:val="2"/>
          <w:sz w:val="52"/>
          <w:szCs w:val="52"/>
          <w:highlight w:val="none"/>
          <w:lang w:val="en-US" w:eastAsia="zh-CN" w:bidi="ar-SA"/>
        </w:rPr>
      </w:pPr>
      <w:r>
        <w:rPr>
          <w:rFonts w:hint="eastAsia" w:ascii="宋体" w:hAnsi="宋体" w:eastAsia="宋体" w:cs="宋体"/>
          <w:b/>
          <w:bCs/>
          <w:color w:val="auto"/>
          <w:kern w:val="2"/>
          <w:sz w:val="52"/>
          <w:szCs w:val="52"/>
          <w:highlight w:val="none"/>
          <w:lang w:val="en-US" w:eastAsia="zh-CN" w:bidi="ar-SA"/>
        </w:rPr>
        <w:t>部门（单位）决算</w:t>
      </w:r>
      <w:bookmarkEnd w:id="2"/>
      <w:bookmarkEnd w:id="3"/>
      <w:bookmarkEnd w:id="4"/>
      <w:bookmarkEnd w:id="5"/>
      <w:bookmarkEnd w:id="6"/>
      <w:bookmarkEnd w:id="7"/>
    </w:p>
    <w:p w14:paraId="0B52759F">
      <w:pPr>
        <w:widowControl/>
        <w:jc w:val="center"/>
        <w:rPr>
          <w:rFonts w:hint="eastAsia" w:ascii="Times New Roman" w:hAnsi="Times New Roman" w:eastAsia="黑体" w:cs="Times New Roman"/>
          <w:color w:val="auto"/>
          <w:sz w:val="48"/>
          <w:szCs w:val="48"/>
          <w:highlight w:val="none"/>
        </w:rPr>
      </w:pPr>
    </w:p>
    <w:p w14:paraId="31C35742">
      <w:pPr>
        <w:widowControl/>
        <w:jc w:val="center"/>
        <w:rPr>
          <w:rFonts w:hint="eastAsia" w:ascii="Times New Roman" w:hAnsi="Times New Roman" w:eastAsia="黑体" w:cs="Times New Roman"/>
          <w:color w:val="auto"/>
          <w:sz w:val="48"/>
          <w:szCs w:val="48"/>
          <w:highlight w:val="none"/>
        </w:rPr>
      </w:pPr>
    </w:p>
    <w:p w14:paraId="483E496C">
      <w:pPr>
        <w:widowControl/>
        <w:jc w:val="center"/>
        <w:rPr>
          <w:rFonts w:hint="eastAsia" w:ascii="Times New Roman" w:hAnsi="Times New Roman" w:eastAsia="黑体" w:cs="Times New Roman"/>
          <w:color w:val="auto"/>
          <w:sz w:val="48"/>
          <w:szCs w:val="48"/>
          <w:highlight w:val="none"/>
        </w:rPr>
      </w:pPr>
    </w:p>
    <w:p w14:paraId="2287B333">
      <w:pPr>
        <w:widowControl/>
        <w:jc w:val="center"/>
        <w:rPr>
          <w:rFonts w:hint="eastAsia" w:ascii="Times New Roman" w:hAnsi="Times New Roman" w:eastAsia="黑体" w:cs="Times New Roman"/>
          <w:color w:val="auto"/>
          <w:sz w:val="48"/>
          <w:szCs w:val="48"/>
          <w:highlight w:val="none"/>
        </w:rPr>
      </w:pPr>
    </w:p>
    <w:p w14:paraId="090AEF71">
      <w:pPr>
        <w:widowControl/>
        <w:jc w:val="center"/>
        <w:rPr>
          <w:rFonts w:hint="eastAsia" w:ascii="Times New Roman" w:hAnsi="Times New Roman" w:eastAsia="黑体" w:cs="Times New Roman"/>
          <w:color w:val="auto"/>
          <w:sz w:val="48"/>
          <w:szCs w:val="48"/>
          <w:highlight w:val="none"/>
        </w:rPr>
      </w:pPr>
    </w:p>
    <w:p w14:paraId="5F75452F">
      <w:pPr>
        <w:widowControl/>
        <w:jc w:val="center"/>
        <w:rPr>
          <w:rFonts w:hint="eastAsia" w:ascii="Times New Roman" w:hAnsi="Times New Roman" w:eastAsia="黑体" w:cs="Times New Roman"/>
          <w:color w:val="auto"/>
          <w:sz w:val="48"/>
          <w:szCs w:val="48"/>
          <w:highlight w:val="none"/>
        </w:rPr>
      </w:pPr>
    </w:p>
    <w:p w14:paraId="3BE9C2C7">
      <w:pPr>
        <w:widowControl/>
        <w:jc w:val="center"/>
        <w:rPr>
          <w:rFonts w:hint="eastAsia" w:ascii="Times New Roman" w:hAnsi="Times New Roman" w:eastAsia="黑体" w:cs="Times New Roman"/>
          <w:color w:val="auto"/>
          <w:sz w:val="48"/>
          <w:szCs w:val="48"/>
          <w:highlight w:val="none"/>
        </w:rPr>
      </w:pPr>
    </w:p>
    <w:p w14:paraId="4D1451A8">
      <w:pPr>
        <w:widowControl/>
        <w:jc w:val="center"/>
        <w:rPr>
          <w:rFonts w:hint="eastAsia" w:ascii="Times New Roman" w:hAnsi="Times New Roman" w:eastAsia="黑体" w:cs="Times New Roman"/>
          <w:color w:val="auto"/>
          <w:sz w:val="48"/>
          <w:szCs w:val="48"/>
          <w:highlight w:val="none"/>
        </w:rPr>
      </w:pPr>
    </w:p>
    <w:p w14:paraId="390E33CE">
      <w:pPr>
        <w:widowControl/>
        <w:jc w:val="center"/>
        <w:rPr>
          <w:rFonts w:hint="eastAsia" w:ascii="Times New Roman" w:hAnsi="Times New Roman" w:eastAsia="黑体" w:cs="Times New Roman"/>
          <w:color w:val="auto"/>
          <w:sz w:val="48"/>
          <w:szCs w:val="48"/>
          <w:highlight w:val="none"/>
        </w:rPr>
      </w:pPr>
    </w:p>
    <w:p w14:paraId="7E2486BB">
      <w:pPr>
        <w:widowControl/>
        <w:jc w:val="center"/>
        <w:rPr>
          <w:rFonts w:hint="eastAsia" w:ascii="Times New Roman" w:hAnsi="Times New Roman" w:eastAsia="黑体" w:cs="Times New Roman"/>
          <w:color w:val="auto"/>
          <w:sz w:val="48"/>
          <w:szCs w:val="48"/>
          <w:highlight w:val="none"/>
        </w:rPr>
      </w:pPr>
    </w:p>
    <w:p w14:paraId="1AD6F0C1">
      <w:pPr>
        <w:widowControl/>
        <w:jc w:val="center"/>
        <w:rPr>
          <w:rFonts w:hint="eastAsia" w:ascii="Times New Roman" w:hAnsi="Times New Roman" w:eastAsia="黑体" w:cs="Times New Roman"/>
          <w:color w:val="auto"/>
          <w:sz w:val="48"/>
          <w:szCs w:val="48"/>
          <w:highlight w:val="none"/>
        </w:rPr>
      </w:pPr>
    </w:p>
    <w:p w14:paraId="06400B03">
      <w:pPr>
        <w:widowControl/>
        <w:jc w:val="both"/>
        <w:rPr>
          <w:rFonts w:hint="eastAsia" w:ascii="Times New Roman" w:hAnsi="Times New Roman" w:eastAsia="黑体" w:cs="Times New Roman"/>
          <w:color w:val="auto"/>
          <w:sz w:val="48"/>
          <w:szCs w:val="48"/>
          <w:highlight w:val="none"/>
        </w:rPr>
      </w:pPr>
    </w:p>
    <w:p w14:paraId="609FC778">
      <w:pPr>
        <w:widowControl/>
        <w:jc w:val="center"/>
        <w:rPr>
          <w:rFonts w:hint="eastAsia" w:ascii="Times New Roman" w:hAnsi="Times New Roman" w:eastAsia="黑体" w:cs="Times New Roman"/>
          <w:color w:val="auto"/>
          <w:sz w:val="48"/>
          <w:szCs w:val="48"/>
          <w:highlight w:val="none"/>
        </w:rPr>
        <w:sectPr>
          <w:headerReference r:id="rId3" w:type="default"/>
          <w:footerReference r:id="rId4" w:type="default"/>
          <w:pgSz w:w="11906" w:h="16838"/>
          <w:pgMar w:top="1440" w:right="1800" w:bottom="1440" w:left="1800" w:header="851" w:footer="992" w:gutter="0"/>
          <w:pgNumType w:fmt="decimal"/>
          <w:cols w:space="425" w:num="1"/>
          <w:titlePg/>
          <w:docGrid w:type="lines" w:linePitch="312" w:charSpace="0"/>
        </w:sectPr>
      </w:pPr>
    </w:p>
    <w:p w14:paraId="21133F81">
      <w:pPr>
        <w:widowControl/>
        <w:jc w:val="center"/>
        <w:rPr>
          <w:rFonts w:ascii="Times New Roman" w:hAnsi="Times New Roman" w:eastAsia="黑体" w:cs="Times New Roman"/>
          <w:color w:val="auto"/>
          <w:sz w:val="48"/>
          <w:szCs w:val="48"/>
          <w:highlight w:val="none"/>
        </w:rPr>
      </w:pPr>
      <w:r>
        <w:rPr>
          <w:rFonts w:hint="eastAsia" w:ascii="Times New Roman" w:hAnsi="Times New Roman" w:eastAsia="黑体" w:cs="Times New Roman"/>
          <w:color w:val="auto"/>
          <w:sz w:val="48"/>
          <w:szCs w:val="48"/>
          <w:highlight w:val="none"/>
        </w:rPr>
        <w:t>目录</w:t>
      </w:r>
    </w:p>
    <w:p w14:paraId="720CAC3A">
      <w:pPr>
        <w:widowControl/>
        <w:jc w:val="center"/>
        <w:rPr>
          <w:rFonts w:ascii="Times New Roman" w:hAnsi="Times New Roman" w:eastAsia="黑体" w:cstheme="minorBidi"/>
          <w:color w:val="auto"/>
          <w:sz w:val="28"/>
          <w:szCs w:val="28"/>
          <w:highlight w:val="none"/>
        </w:rPr>
      </w:pPr>
    </w:p>
    <w:p w14:paraId="2C8DD67F">
      <w:pPr>
        <w:widowControl w:val="0"/>
        <w:spacing w:before="93"/>
        <w:jc w:val="center"/>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公开时间：202</w:t>
      </w:r>
      <w:r>
        <w:rPr>
          <w:rFonts w:hint="eastAsia" w:eastAsia="仿宋_GB2312" w:cs="仿宋_GB2312"/>
          <w:color w:val="auto"/>
          <w:kern w:val="2"/>
          <w:sz w:val="32"/>
          <w:szCs w:val="32"/>
          <w:highlight w:val="none"/>
          <w:lang w:val="en-US" w:eastAsia="zh-CN" w:bidi="ar-SA"/>
        </w:rPr>
        <w:t>6</w:t>
      </w:r>
      <w:r>
        <w:rPr>
          <w:rFonts w:hint="eastAsia" w:ascii="Times New Roman" w:hAnsi="Times New Roman" w:eastAsia="仿宋_GB2312" w:cs="仿宋_GB2312"/>
          <w:color w:val="auto"/>
          <w:kern w:val="2"/>
          <w:sz w:val="32"/>
          <w:szCs w:val="32"/>
          <w:highlight w:val="none"/>
          <w:lang w:val="en-US" w:eastAsia="zh-CN" w:bidi="ar-SA"/>
        </w:rPr>
        <w:t xml:space="preserve">年 </w:t>
      </w:r>
      <w:r>
        <w:rPr>
          <w:rFonts w:hint="eastAsia" w:eastAsia="仿宋_GB2312" w:cs="仿宋_GB2312"/>
          <w:color w:val="auto"/>
          <w:kern w:val="2"/>
          <w:sz w:val="32"/>
          <w:szCs w:val="32"/>
          <w:highlight w:val="none"/>
          <w:lang w:val="en-US" w:eastAsia="zh-CN" w:bidi="ar-SA"/>
        </w:rPr>
        <w:t>9</w:t>
      </w:r>
      <w:r>
        <w:rPr>
          <w:rFonts w:hint="eastAsia" w:ascii="Times New Roman" w:hAnsi="Times New Roman" w:eastAsia="仿宋_GB2312" w:cs="仿宋_GB2312"/>
          <w:color w:val="auto"/>
          <w:kern w:val="2"/>
          <w:sz w:val="32"/>
          <w:szCs w:val="32"/>
          <w:highlight w:val="none"/>
          <w:lang w:val="en-US" w:eastAsia="zh-CN" w:bidi="ar-SA"/>
        </w:rPr>
        <w:t xml:space="preserve"> 月 </w:t>
      </w:r>
      <w:r>
        <w:rPr>
          <w:rFonts w:hint="eastAsia" w:eastAsia="仿宋_GB2312" w:cs="仿宋_GB2312"/>
          <w:color w:val="auto"/>
          <w:kern w:val="2"/>
          <w:sz w:val="32"/>
          <w:szCs w:val="32"/>
          <w:highlight w:val="none"/>
          <w:lang w:val="en-US" w:eastAsia="zh-CN" w:bidi="ar-SA"/>
        </w:rPr>
        <w:t>18</w:t>
      </w:r>
      <w:r>
        <w:rPr>
          <w:rFonts w:hint="eastAsia" w:ascii="Times New Roman" w:hAnsi="Times New Roman" w:eastAsia="仿宋_GB2312" w:cs="仿宋_GB2312"/>
          <w:color w:val="auto"/>
          <w:kern w:val="2"/>
          <w:sz w:val="32"/>
          <w:szCs w:val="32"/>
          <w:highlight w:val="none"/>
          <w:lang w:val="en-US" w:eastAsia="zh-CN" w:bidi="ar-SA"/>
        </w:rPr>
        <w:t xml:space="preserve"> 日</w:t>
      </w:r>
    </w:p>
    <w:sdt>
      <w:sdtPr>
        <w:rPr>
          <w:rFonts w:ascii="宋体" w:hAnsi="宋体" w:eastAsia="宋体" w:cs="Times New Roman"/>
          <w:kern w:val="2"/>
          <w:sz w:val="21"/>
          <w:szCs w:val="24"/>
          <w:lang w:val="en-US" w:eastAsia="zh-CN" w:bidi="ar-SA"/>
        </w:rPr>
        <w:id w:val="147481474"/>
        <w15:color w:val="DBDBDB"/>
        <w:docPartObj>
          <w:docPartGallery w:val="Table of Contents"/>
          <w:docPartUnique/>
        </w:docPartObj>
      </w:sdtPr>
      <w:sdtEndPr>
        <w:rPr>
          <w:rFonts w:ascii="Times New Roman" w:hAnsi="Times New Roman" w:eastAsia="宋体" w:cs="Times New Roman"/>
          <w:color w:val="auto"/>
          <w:kern w:val="2"/>
          <w:sz w:val="21"/>
          <w:szCs w:val="24"/>
          <w:highlight w:val="none"/>
          <w:lang w:val="en-US" w:eastAsia="zh-CN" w:bidi="ar-SA"/>
        </w:rPr>
      </w:sdtEndPr>
      <w:sdtContent>
        <w:p w14:paraId="5EA360EB">
          <w:pPr>
            <w:spacing w:before="0" w:beforeLines="0" w:after="0" w:afterLines="0" w:line="240" w:lineRule="auto"/>
            <w:ind w:left="0" w:leftChars="0" w:right="0" w:rightChars="0" w:firstLine="0" w:firstLineChars="0"/>
            <w:jc w:val="center"/>
          </w:pPr>
        </w:p>
        <w:p w14:paraId="43F21205">
          <w:pPr>
            <w:pStyle w:val="14"/>
            <w:tabs>
              <w:tab w:val="right" w:leader="dot" w:pos="8306"/>
              <w:tab w:val="clear" w:pos="8296"/>
            </w:tabs>
          </w:pPr>
          <w:r>
            <w:rPr>
              <w:rFonts w:ascii="Times New Roman" w:hAnsi="Times New Roman" w:eastAsia="宋体" w:cs="Times New Roman"/>
              <w:color w:val="auto"/>
              <w:highlight w:val="none"/>
            </w:rPr>
            <w:fldChar w:fldCharType="begin"/>
          </w:r>
          <w:r>
            <w:rPr>
              <w:rFonts w:ascii="Times New Roman" w:hAnsi="Times New Roman" w:eastAsia="宋体" w:cs="Times New Roman"/>
              <w:color w:val="auto"/>
              <w:highlight w:val="none"/>
            </w:rPr>
            <w:instrText xml:space="preserve">TOC \o "1-1" \h \u </w:instrText>
          </w:r>
          <w:r>
            <w:rPr>
              <w:rFonts w:ascii="Times New Roman" w:hAnsi="Times New Roman" w:eastAsia="宋体" w:cs="Times New Roman"/>
              <w:color w:val="auto"/>
              <w:highlight w:val="none"/>
            </w:rPr>
            <w:fldChar w:fldCharType="separate"/>
          </w:r>
          <w:r>
            <w:rPr>
              <w:rFonts w:ascii="Times New Roman" w:hAnsi="Times New Roman" w:eastAsia="宋体" w:cs="Times New Roman"/>
              <w:color w:val="auto"/>
              <w:highlight w:val="none"/>
            </w:rPr>
            <w:fldChar w:fldCharType="begin"/>
          </w:r>
          <w:r>
            <w:rPr>
              <w:rFonts w:ascii="Times New Roman" w:hAnsi="Times New Roman" w:eastAsia="宋体" w:cs="Times New Roman"/>
              <w:highlight w:val="none"/>
            </w:rPr>
            <w:instrText xml:space="preserve"> HYPERLINK \l _Toc29322 </w:instrText>
          </w:r>
          <w:r>
            <w:rPr>
              <w:rFonts w:ascii="Times New Roman" w:hAnsi="Times New Roman" w:eastAsia="宋体" w:cs="Times New Roman"/>
              <w:highlight w:val="none"/>
            </w:rPr>
            <w:fldChar w:fldCharType="separate"/>
          </w:r>
          <w:r>
            <w:rPr>
              <w:rFonts w:hint="eastAsia" w:ascii="Times New Roman" w:hAnsi="Times New Roman" w:eastAsia="方正小标宋简体" w:cs="方正小标宋简体"/>
              <w:bCs/>
              <w:kern w:val="44"/>
              <w:szCs w:val="44"/>
              <w:highlight w:val="none"/>
              <w:lang w:val="en-US" w:eastAsia="zh-CN" w:bidi="ar-SA"/>
            </w:rPr>
            <w:t xml:space="preserve">第一部分  </w:t>
          </w:r>
          <w:r>
            <w:rPr>
              <w:rFonts w:hint="eastAsia" w:ascii="Times New Roman" w:hAnsi="Times New Roman" w:eastAsia="方正小标宋简体" w:cs="方正小标宋简体"/>
              <w:bCs w:val="0"/>
              <w:kern w:val="44"/>
              <w:szCs w:val="44"/>
              <w:highlight w:val="none"/>
              <w:lang w:val="en-US" w:eastAsia="zh-CN" w:bidi="ar-SA"/>
            </w:rPr>
            <w:t>部门概况</w:t>
          </w:r>
          <w:r>
            <w:tab/>
          </w:r>
          <w:r>
            <w:fldChar w:fldCharType="begin"/>
          </w:r>
          <w:r>
            <w:instrText xml:space="preserve"> PAGEREF _Toc29322 \h </w:instrText>
          </w:r>
          <w:r>
            <w:fldChar w:fldCharType="separate"/>
          </w:r>
          <w:r>
            <w:t>1</w:t>
          </w:r>
          <w:r>
            <w:fldChar w:fldCharType="end"/>
          </w:r>
          <w:r>
            <w:rPr>
              <w:rFonts w:ascii="Times New Roman" w:hAnsi="Times New Roman" w:eastAsia="宋体" w:cs="Times New Roman"/>
              <w:color w:val="auto"/>
              <w:highlight w:val="none"/>
            </w:rPr>
            <w:fldChar w:fldCharType="end"/>
          </w:r>
        </w:p>
        <w:p w14:paraId="50EAA708">
          <w:pPr>
            <w:pStyle w:val="14"/>
            <w:tabs>
              <w:tab w:val="right" w:leader="dot" w:pos="8306"/>
              <w:tab w:val="clear" w:pos="8296"/>
            </w:tabs>
          </w:pPr>
          <w:r>
            <w:rPr>
              <w:rFonts w:ascii="Times New Roman" w:hAnsi="Times New Roman" w:eastAsia="宋体" w:cs="Times New Roman"/>
              <w:color w:val="auto"/>
              <w:highlight w:val="none"/>
            </w:rPr>
            <w:fldChar w:fldCharType="begin"/>
          </w:r>
          <w:r>
            <w:rPr>
              <w:rFonts w:ascii="Times New Roman" w:hAnsi="Times New Roman" w:eastAsia="宋体" w:cs="Times New Roman"/>
              <w:highlight w:val="none"/>
            </w:rPr>
            <w:instrText xml:space="preserve"> HYPERLINK \l _Toc31872 </w:instrText>
          </w:r>
          <w:r>
            <w:rPr>
              <w:rFonts w:ascii="Times New Roman" w:hAnsi="Times New Roman" w:eastAsia="宋体" w:cs="Times New Roman"/>
              <w:highlight w:val="none"/>
            </w:rPr>
            <w:fldChar w:fldCharType="separate"/>
          </w:r>
          <w:r>
            <w:rPr>
              <w:rFonts w:hint="eastAsia" w:ascii="Times New Roman" w:hAnsi="Times New Roman" w:eastAsia="黑体"/>
              <w:highlight w:val="none"/>
            </w:rPr>
            <w:t>一、</w:t>
          </w:r>
          <w:r>
            <w:rPr>
              <w:rFonts w:hint="eastAsia" w:ascii="Times New Roman" w:hAnsi="Times New Roman" w:eastAsia="黑体"/>
              <w:highlight w:val="none"/>
              <w:lang w:eastAsia="zh-CN"/>
            </w:rPr>
            <w:t>部门职责</w:t>
          </w:r>
          <w:r>
            <w:tab/>
          </w:r>
          <w:r>
            <w:fldChar w:fldCharType="begin"/>
          </w:r>
          <w:r>
            <w:instrText xml:space="preserve"> PAGEREF _Toc31872 \h </w:instrText>
          </w:r>
          <w:r>
            <w:fldChar w:fldCharType="separate"/>
          </w:r>
          <w:r>
            <w:t>1</w:t>
          </w:r>
          <w:r>
            <w:fldChar w:fldCharType="end"/>
          </w:r>
          <w:r>
            <w:rPr>
              <w:rFonts w:ascii="Times New Roman" w:hAnsi="Times New Roman" w:eastAsia="宋体" w:cs="Times New Roman"/>
              <w:color w:val="auto"/>
              <w:highlight w:val="none"/>
            </w:rPr>
            <w:fldChar w:fldCharType="end"/>
          </w:r>
        </w:p>
        <w:p w14:paraId="0F62079C">
          <w:pPr>
            <w:pStyle w:val="14"/>
            <w:tabs>
              <w:tab w:val="right" w:leader="dot" w:pos="8306"/>
              <w:tab w:val="clear" w:pos="8296"/>
            </w:tabs>
          </w:pPr>
          <w:r>
            <w:rPr>
              <w:rFonts w:ascii="Times New Roman" w:hAnsi="Times New Roman" w:eastAsia="宋体" w:cs="Times New Roman"/>
              <w:color w:val="auto"/>
              <w:highlight w:val="none"/>
            </w:rPr>
            <w:fldChar w:fldCharType="begin"/>
          </w:r>
          <w:r>
            <w:rPr>
              <w:rFonts w:ascii="Times New Roman" w:hAnsi="Times New Roman" w:eastAsia="宋体" w:cs="Times New Roman"/>
              <w:highlight w:val="none"/>
            </w:rPr>
            <w:instrText xml:space="preserve"> HYPERLINK \l _Toc10763 </w:instrText>
          </w:r>
          <w:r>
            <w:rPr>
              <w:rFonts w:ascii="Times New Roman" w:hAnsi="Times New Roman" w:eastAsia="宋体" w:cs="Times New Roman"/>
              <w:highlight w:val="none"/>
            </w:rPr>
            <w:fldChar w:fldCharType="separate"/>
          </w:r>
          <w:r>
            <w:rPr>
              <w:rFonts w:hint="eastAsia" w:ascii="Times New Roman" w:hAnsi="Times New Roman" w:eastAsia="黑体"/>
              <w:highlight w:val="none"/>
            </w:rPr>
            <w:t>二、机</w:t>
          </w:r>
          <w:r>
            <w:rPr>
              <w:rFonts w:hint="eastAsia" w:ascii="Times New Roman" w:hAnsi="Times New Roman" w:eastAsia="黑体"/>
              <w:bCs w:val="0"/>
              <w:highlight w:val="none"/>
            </w:rPr>
            <w:t>构设置</w:t>
          </w:r>
          <w:r>
            <w:tab/>
          </w:r>
          <w:r>
            <w:fldChar w:fldCharType="begin"/>
          </w:r>
          <w:r>
            <w:instrText xml:space="preserve"> PAGEREF _Toc10763 \h </w:instrText>
          </w:r>
          <w:r>
            <w:fldChar w:fldCharType="separate"/>
          </w:r>
          <w:r>
            <w:t>1</w:t>
          </w:r>
          <w:r>
            <w:fldChar w:fldCharType="end"/>
          </w:r>
          <w:r>
            <w:rPr>
              <w:rFonts w:ascii="Times New Roman" w:hAnsi="Times New Roman" w:eastAsia="宋体" w:cs="Times New Roman"/>
              <w:color w:val="auto"/>
              <w:highlight w:val="none"/>
            </w:rPr>
            <w:fldChar w:fldCharType="end"/>
          </w:r>
        </w:p>
        <w:p w14:paraId="362797F5">
          <w:pPr>
            <w:pStyle w:val="14"/>
            <w:tabs>
              <w:tab w:val="right" w:leader="dot" w:pos="8306"/>
              <w:tab w:val="clear" w:pos="8296"/>
            </w:tabs>
          </w:pPr>
          <w:r>
            <w:rPr>
              <w:rFonts w:ascii="Times New Roman" w:hAnsi="Times New Roman" w:eastAsia="宋体" w:cs="Times New Roman"/>
              <w:color w:val="auto"/>
              <w:highlight w:val="none"/>
            </w:rPr>
            <w:fldChar w:fldCharType="begin"/>
          </w:r>
          <w:r>
            <w:rPr>
              <w:rFonts w:ascii="Times New Roman" w:hAnsi="Times New Roman" w:eastAsia="宋体" w:cs="Times New Roman"/>
              <w:highlight w:val="none"/>
            </w:rPr>
            <w:instrText xml:space="preserve"> HYPERLINK \l _Toc13776 </w:instrText>
          </w:r>
          <w:r>
            <w:rPr>
              <w:rFonts w:ascii="Times New Roman" w:hAnsi="Times New Roman" w:eastAsia="宋体" w:cs="Times New Roman"/>
              <w:highlight w:val="none"/>
            </w:rPr>
            <w:fldChar w:fldCharType="separate"/>
          </w:r>
          <w:r>
            <w:rPr>
              <w:rFonts w:hint="default" w:ascii="Times New Roman" w:hAnsi="Times New Roman" w:eastAsia="黑体" w:cs="Times New Roman"/>
              <w:bCs/>
            </w:rPr>
            <w:t xml:space="preserve">第二部分 </w:t>
          </w:r>
          <w:r>
            <w:rPr>
              <w:rFonts w:hint="eastAsia" w:ascii="黑体" w:hAnsi="黑体" w:eastAsia="黑体" w:cs="黑体"/>
              <w:bCs/>
            </w:rPr>
            <w:t>202</w:t>
          </w:r>
          <w:r>
            <w:rPr>
              <w:rFonts w:hint="eastAsia" w:ascii="黑体" w:hAnsi="黑体" w:eastAsia="黑体" w:cs="黑体"/>
              <w:bCs/>
              <w:lang w:val="en-US" w:eastAsia="zh-CN"/>
            </w:rPr>
            <w:t>5</w:t>
          </w:r>
          <w:r>
            <w:rPr>
              <w:rFonts w:hint="default" w:ascii="Times New Roman" w:hAnsi="Times New Roman" w:eastAsia="黑体" w:cs="Times New Roman"/>
              <w:bCs/>
            </w:rPr>
            <w:t>年度</w:t>
          </w:r>
          <w:r>
            <w:rPr>
              <w:rFonts w:hint="default" w:ascii="Times New Roman" w:hAnsi="Times New Roman" w:eastAsia="黑体" w:cs="Times New Roman"/>
              <w:bCs/>
              <w:lang w:eastAsia="zh-CN"/>
            </w:rPr>
            <w:t>部门</w:t>
          </w:r>
          <w:r>
            <w:rPr>
              <w:rFonts w:hint="default" w:ascii="Times New Roman" w:hAnsi="Times New Roman" w:eastAsia="黑体" w:cs="Times New Roman"/>
              <w:bCs/>
            </w:rPr>
            <w:t>决算情况说明</w:t>
          </w:r>
          <w:r>
            <w:tab/>
          </w:r>
          <w:r>
            <w:fldChar w:fldCharType="begin"/>
          </w:r>
          <w:r>
            <w:instrText xml:space="preserve"> PAGEREF _Toc13776 \h </w:instrText>
          </w:r>
          <w:r>
            <w:fldChar w:fldCharType="separate"/>
          </w:r>
          <w:r>
            <w:t>2</w:t>
          </w:r>
          <w:r>
            <w:fldChar w:fldCharType="end"/>
          </w:r>
          <w:r>
            <w:rPr>
              <w:rFonts w:ascii="Times New Roman" w:hAnsi="Times New Roman" w:eastAsia="宋体" w:cs="Times New Roman"/>
              <w:color w:val="auto"/>
              <w:highlight w:val="none"/>
            </w:rPr>
            <w:fldChar w:fldCharType="end"/>
          </w:r>
        </w:p>
        <w:p w14:paraId="700FBDD4">
          <w:pPr>
            <w:pStyle w:val="14"/>
            <w:tabs>
              <w:tab w:val="right" w:leader="dot" w:pos="8306"/>
              <w:tab w:val="clear" w:pos="8296"/>
            </w:tabs>
          </w:pPr>
          <w:r>
            <w:rPr>
              <w:rFonts w:ascii="Times New Roman" w:hAnsi="Times New Roman" w:eastAsia="宋体" w:cs="Times New Roman"/>
              <w:color w:val="auto"/>
              <w:highlight w:val="none"/>
            </w:rPr>
            <w:fldChar w:fldCharType="begin"/>
          </w:r>
          <w:r>
            <w:rPr>
              <w:rFonts w:ascii="Times New Roman" w:hAnsi="Times New Roman" w:eastAsia="宋体" w:cs="Times New Roman"/>
              <w:highlight w:val="none"/>
            </w:rPr>
            <w:instrText xml:space="preserve"> HYPERLINK \l _Toc12606 </w:instrText>
          </w:r>
          <w:r>
            <w:rPr>
              <w:rFonts w:ascii="Times New Roman" w:hAnsi="Times New Roman" w:eastAsia="宋体" w:cs="Times New Roman"/>
              <w:highlight w:val="none"/>
            </w:rPr>
            <w:fldChar w:fldCharType="separate"/>
          </w:r>
          <w:r>
            <w:rPr>
              <w:rFonts w:hint="default" w:ascii="Times New Roman" w:hAnsi="Times New Roman" w:eastAsia="黑体" w:cs="Times New Roman"/>
            </w:rPr>
            <w:t xml:space="preserve">一、 </w:t>
          </w:r>
          <w:r>
            <w:rPr>
              <w:rFonts w:hint="default" w:ascii="Times New Roman" w:hAnsi="Times New Roman" w:eastAsia="黑体" w:cs="Times New Roman"/>
              <w:szCs w:val="32"/>
            </w:rPr>
            <w:t>收</w:t>
          </w:r>
          <w:r>
            <w:rPr>
              <w:rFonts w:hint="default" w:ascii="Times New Roman" w:hAnsi="Times New Roman" w:eastAsia="黑体" w:cs="Times New Roman"/>
            </w:rPr>
            <w:t>入支出决算总体情况说明</w:t>
          </w:r>
          <w:r>
            <w:tab/>
          </w:r>
          <w:r>
            <w:fldChar w:fldCharType="begin"/>
          </w:r>
          <w:r>
            <w:instrText xml:space="preserve"> PAGEREF _Toc12606 \h </w:instrText>
          </w:r>
          <w:r>
            <w:fldChar w:fldCharType="separate"/>
          </w:r>
          <w:r>
            <w:t>2</w:t>
          </w:r>
          <w:r>
            <w:fldChar w:fldCharType="end"/>
          </w:r>
          <w:r>
            <w:rPr>
              <w:rFonts w:ascii="Times New Roman" w:hAnsi="Times New Roman" w:eastAsia="宋体" w:cs="Times New Roman"/>
              <w:color w:val="auto"/>
              <w:highlight w:val="none"/>
            </w:rPr>
            <w:fldChar w:fldCharType="end"/>
          </w:r>
        </w:p>
        <w:p w14:paraId="36798A79">
          <w:pPr>
            <w:pStyle w:val="14"/>
            <w:tabs>
              <w:tab w:val="right" w:leader="dot" w:pos="8306"/>
              <w:tab w:val="clear" w:pos="8296"/>
            </w:tabs>
          </w:pPr>
          <w:r>
            <w:rPr>
              <w:rFonts w:ascii="Times New Roman" w:hAnsi="Times New Roman" w:eastAsia="宋体" w:cs="Times New Roman"/>
              <w:color w:val="auto"/>
              <w:highlight w:val="none"/>
            </w:rPr>
            <w:fldChar w:fldCharType="begin"/>
          </w:r>
          <w:r>
            <w:rPr>
              <w:rFonts w:ascii="Times New Roman" w:hAnsi="Times New Roman" w:eastAsia="宋体" w:cs="Times New Roman"/>
              <w:highlight w:val="none"/>
            </w:rPr>
            <w:instrText xml:space="preserve"> HYPERLINK \l _Toc3820 </w:instrText>
          </w:r>
          <w:r>
            <w:rPr>
              <w:rFonts w:ascii="Times New Roman" w:hAnsi="Times New Roman" w:eastAsia="宋体" w:cs="Times New Roman"/>
              <w:highlight w:val="none"/>
            </w:rPr>
            <w:fldChar w:fldCharType="separate"/>
          </w:r>
          <w:r>
            <w:rPr>
              <w:rFonts w:hint="default" w:ascii="黑体" w:hAnsi="黑体" w:eastAsia="黑体"/>
            </w:rPr>
            <w:t xml:space="preserve">二、 </w:t>
          </w:r>
          <w:r>
            <w:rPr>
              <w:rFonts w:hint="eastAsia" w:ascii="黑体" w:hAnsi="黑体" w:eastAsia="黑体"/>
              <w:szCs w:val="32"/>
            </w:rPr>
            <w:t>收</w:t>
          </w:r>
          <w:r>
            <w:rPr>
              <w:rFonts w:hint="eastAsia" w:ascii="黑体" w:hAnsi="黑体" w:eastAsia="黑体"/>
            </w:rPr>
            <w:t>入决算情况说明</w:t>
          </w:r>
          <w:r>
            <w:tab/>
          </w:r>
          <w:r>
            <w:fldChar w:fldCharType="begin"/>
          </w:r>
          <w:r>
            <w:instrText xml:space="preserve"> PAGEREF _Toc3820 \h </w:instrText>
          </w:r>
          <w:r>
            <w:fldChar w:fldCharType="separate"/>
          </w:r>
          <w:r>
            <w:t>2</w:t>
          </w:r>
          <w:r>
            <w:fldChar w:fldCharType="end"/>
          </w:r>
          <w:r>
            <w:rPr>
              <w:rFonts w:ascii="Times New Roman" w:hAnsi="Times New Roman" w:eastAsia="宋体" w:cs="Times New Roman"/>
              <w:color w:val="auto"/>
              <w:highlight w:val="none"/>
            </w:rPr>
            <w:fldChar w:fldCharType="end"/>
          </w:r>
        </w:p>
        <w:p w14:paraId="7C883E5D">
          <w:pPr>
            <w:pStyle w:val="14"/>
            <w:tabs>
              <w:tab w:val="right" w:leader="dot" w:pos="8306"/>
              <w:tab w:val="clear" w:pos="8296"/>
            </w:tabs>
          </w:pPr>
          <w:r>
            <w:rPr>
              <w:rFonts w:ascii="Times New Roman" w:hAnsi="Times New Roman" w:eastAsia="宋体" w:cs="Times New Roman"/>
              <w:color w:val="auto"/>
              <w:highlight w:val="none"/>
            </w:rPr>
            <w:fldChar w:fldCharType="begin"/>
          </w:r>
          <w:r>
            <w:rPr>
              <w:rFonts w:ascii="Times New Roman" w:hAnsi="Times New Roman" w:eastAsia="宋体" w:cs="Times New Roman"/>
              <w:highlight w:val="none"/>
            </w:rPr>
            <w:instrText xml:space="preserve"> HYPERLINK \l _Toc16746 </w:instrText>
          </w:r>
          <w:r>
            <w:rPr>
              <w:rFonts w:ascii="Times New Roman" w:hAnsi="Times New Roman" w:eastAsia="宋体" w:cs="Times New Roman"/>
              <w:highlight w:val="none"/>
            </w:rPr>
            <w:fldChar w:fldCharType="separate"/>
          </w:r>
          <w:r>
            <w:rPr>
              <w:rFonts w:hint="default" w:ascii="Times New Roman" w:hAnsi="Times New Roman" w:eastAsia="黑体" w:cs="Times New Roman"/>
            </w:rPr>
            <w:t xml:space="preserve">三、 </w:t>
          </w:r>
          <w:r>
            <w:rPr>
              <w:rFonts w:hint="default" w:ascii="Times New Roman" w:hAnsi="Times New Roman" w:eastAsia="黑体" w:cs="Times New Roman"/>
              <w:szCs w:val="32"/>
            </w:rPr>
            <w:t>支</w:t>
          </w:r>
          <w:r>
            <w:rPr>
              <w:rFonts w:hint="default" w:ascii="Times New Roman" w:hAnsi="Times New Roman" w:eastAsia="黑体" w:cs="Times New Roman"/>
            </w:rPr>
            <w:t>出决算情况说明</w:t>
          </w:r>
          <w:r>
            <w:tab/>
          </w:r>
          <w:r>
            <w:fldChar w:fldCharType="begin"/>
          </w:r>
          <w:r>
            <w:instrText xml:space="preserve"> PAGEREF _Toc16746 \h </w:instrText>
          </w:r>
          <w:r>
            <w:fldChar w:fldCharType="separate"/>
          </w:r>
          <w:r>
            <w:t>3</w:t>
          </w:r>
          <w:r>
            <w:fldChar w:fldCharType="end"/>
          </w:r>
          <w:r>
            <w:rPr>
              <w:rFonts w:ascii="Times New Roman" w:hAnsi="Times New Roman" w:eastAsia="宋体" w:cs="Times New Roman"/>
              <w:color w:val="auto"/>
              <w:highlight w:val="none"/>
            </w:rPr>
            <w:fldChar w:fldCharType="end"/>
          </w:r>
        </w:p>
        <w:p w14:paraId="2B757AF4">
          <w:pPr>
            <w:pStyle w:val="14"/>
            <w:tabs>
              <w:tab w:val="right" w:leader="dot" w:pos="8306"/>
              <w:tab w:val="clear" w:pos="8296"/>
            </w:tabs>
          </w:pPr>
          <w:r>
            <w:rPr>
              <w:rFonts w:ascii="Times New Roman" w:hAnsi="Times New Roman" w:eastAsia="宋体" w:cs="Times New Roman"/>
              <w:color w:val="auto"/>
              <w:highlight w:val="none"/>
            </w:rPr>
            <w:fldChar w:fldCharType="begin"/>
          </w:r>
          <w:r>
            <w:rPr>
              <w:rFonts w:ascii="Times New Roman" w:hAnsi="Times New Roman" w:eastAsia="宋体" w:cs="Times New Roman"/>
              <w:highlight w:val="none"/>
            </w:rPr>
            <w:instrText xml:space="preserve"> HYPERLINK \l _Toc21770 </w:instrText>
          </w:r>
          <w:r>
            <w:rPr>
              <w:rFonts w:ascii="Times New Roman" w:hAnsi="Times New Roman" w:eastAsia="宋体" w:cs="Times New Roman"/>
              <w:highlight w:val="none"/>
            </w:rPr>
            <w:fldChar w:fldCharType="separate"/>
          </w:r>
          <w:r>
            <w:rPr>
              <w:rFonts w:hint="default" w:ascii="Times New Roman" w:hAnsi="Times New Roman" w:eastAsia="黑体" w:cs="Times New Roman"/>
              <w:szCs w:val="32"/>
            </w:rPr>
            <w:t>四、财</w:t>
          </w:r>
          <w:r>
            <w:rPr>
              <w:rFonts w:hint="default" w:ascii="Times New Roman" w:hAnsi="Times New Roman" w:eastAsia="黑体" w:cs="Times New Roman"/>
            </w:rPr>
            <w:t>政拨款收入支出决算总体情况说明</w:t>
          </w:r>
          <w:r>
            <w:tab/>
          </w:r>
          <w:r>
            <w:fldChar w:fldCharType="begin"/>
          </w:r>
          <w:r>
            <w:instrText xml:space="preserve"> PAGEREF _Toc21770 \h </w:instrText>
          </w:r>
          <w:r>
            <w:fldChar w:fldCharType="separate"/>
          </w:r>
          <w:r>
            <w:t>3</w:t>
          </w:r>
          <w:r>
            <w:fldChar w:fldCharType="end"/>
          </w:r>
          <w:r>
            <w:rPr>
              <w:rFonts w:ascii="Times New Roman" w:hAnsi="Times New Roman" w:eastAsia="宋体" w:cs="Times New Roman"/>
              <w:color w:val="auto"/>
              <w:highlight w:val="none"/>
            </w:rPr>
            <w:fldChar w:fldCharType="end"/>
          </w:r>
        </w:p>
        <w:p w14:paraId="3D7980E0">
          <w:pPr>
            <w:pStyle w:val="14"/>
            <w:tabs>
              <w:tab w:val="right" w:leader="dot" w:pos="8306"/>
              <w:tab w:val="clear" w:pos="8296"/>
            </w:tabs>
          </w:pPr>
          <w:r>
            <w:rPr>
              <w:rFonts w:ascii="Times New Roman" w:hAnsi="Times New Roman" w:eastAsia="宋体" w:cs="Times New Roman"/>
              <w:color w:val="auto"/>
              <w:highlight w:val="none"/>
            </w:rPr>
            <w:fldChar w:fldCharType="begin"/>
          </w:r>
          <w:r>
            <w:rPr>
              <w:rFonts w:ascii="Times New Roman" w:hAnsi="Times New Roman" w:eastAsia="宋体" w:cs="Times New Roman"/>
              <w:highlight w:val="none"/>
            </w:rPr>
            <w:instrText xml:space="preserve"> HYPERLINK \l _Toc12239 </w:instrText>
          </w:r>
          <w:r>
            <w:rPr>
              <w:rFonts w:ascii="Times New Roman" w:hAnsi="Times New Roman" w:eastAsia="宋体" w:cs="Times New Roman"/>
              <w:highlight w:val="none"/>
            </w:rPr>
            <w:fldChar w:fldCharType="separate"/>
          </w:r>
          <w:r>
            <w:rPr>
              <w:rFonts w:hint="default" w:ascii="Times New Roman" w:hAnsi="Times New Roman" w:eastAsia="黑体" w:cs="Times New Roman"/>
              <w:szCs w:val="32"/>
            </w:rPr>
            <w:t>五、一</w:t>
          </w:r>
          <w:r>
            <w:rPr>
              <w:rFonts w:hint="default" w:ascii="Times New Roman" w:hAnsi="Times New Roman" w:eastAsia="黑体" w:cs="Times New Roman"/>
            </w:rPr>
            <w:t>般公共预算财政拨款支出决算情况说明</w:t>
          </w:r>
          <w:r>
            <w:tab/>
          </w:r>
          <w:r>
            <w:fldChar w:fldCharType="begin"/>
          </w:r>
          <w:r>
            <w:instrText xml:space="preserve"> PAGEREF _Toc12239 \h </w:instrText>
          </w:r>
          <w:r>
            <w:fldChar w:fldCharType="separate"/>
          </w:r>
          <w:r>
            <w:t>4</w:t>
          </w:r>
          <w:r>
            <w:fldChar w:fldCharType="end"/>
          </w:r>
          <w:r>
            <w:rPr>
              <w:rFonts w:ascii="Times New Roman" w:hAnsi="Times New Roman" w:eastAsia="宋体" w:cs="Times New Roman"/>
              <w:color w:val="auto"/>
              <w:highlight w:val="none"/>
            </w:rPr>
            <w:fldChar w:fldCharType="end"/>
          </w:r>
        </w:p>
        <w:p w14:paraId="1B0A188F">
          <w:pPr>
            <w:pStyle w:val="14"/>
            <w:tabs>
              <w:tab w:val="right" w:leader="dot" w:pos="8306"/>
              <w:tab w:val="clear" w:pos="8296"/>
            </w:tabs>
          </w:pPr>
          <w:r>
            <w:rPr>
              <w:rFonts w:ascii="Times New Roman" w:hAnsi="Times New Roman" w:eastAsia="宋体" w:cs="Times New Roman"/>
              <w:color w:val="auto"/>
              <w:highlight w:val="none"/>
            </w:rPr>
            <w:fldChar w:fldCharType="begin"/>
          </w:r>
          <w:r>
            <w:rPr>
              <w:rFonts w:ascii="Times New Roman" w:hAnsi="Times New Roman" w:eastAsia="宋体" w:cs="Times New Roman"/>
              <w:highlight w:val="none"/>
            </w:rPr>
            <w:instrText xml:space="preserve"> HYPERLINK \l _Toc22978 </w:instrText>
          </w:r>
          <w:r>
            <w:rPr>
              <w:rFonts w:ascii="Times New Roman" w:hAnsi="Times New Roman" w:eastAsia="宋体" w:cs="Times New Roman"/>
              <w:highlight w:val="none"/>
            </w:rPr>
            <w:fldChar w:fldCharType="separate"/>
          </w:r>
          <w:r>
            <w:rPr>
              <w:rFonts w:hint="default" w:ascii="Times New Roman" w:hAnsi="Times New Roman" w:eastAsia="黑体" w:cs="Times New Roman"/>
              <w:szCs w:val="32"/>
            </w:rPr>
            <w:t>六、一</w:t>
          </w:r>
          <w:r>
            <w:rPr>
              <w:rFonts w:hint="default" w:ascii="Times New Roman" w:hAnsi="Times New Roman" w:eastAsia="黑体" w:cs="Times New Roman"/>
            </w:rPr>
            <w:t>般公共预算财政拨款基本支出决算情况说明</w:t>
          </w:r>
          <w:r>
            <w:tab/>
          </w:r>
          <w:r>
            <w:fldChar w:fldCharType="begin"/>
          </w:r>
          <w:r>
            <w:instrText xml:space="preserve"> PAGEREF _Toc22978 \h </w:instrText>
          </w:r>
          <w:r>
            <w:fldChar w:fldCharType="separate"/>
          </w:r>
          <w:r>
            <w:t>7</w:t>
          </w:r>
          <w:r>
            <w:fldChar w:fldCharType="end"/>
          </w:r>
          <w:r>
            <w:rPr>
              <w:rFonts w:ascii="Times New Roman" w:hAnsi="Times New Roman" w:eastAsia="宋体" w:cs="Times New Roman"/>
              <w:color w:val="auto"/>
              <w:highlight w:val="none"/>
            </w:rPr>
            <w:fldChar w:fldCharType="end"/>
          </w:r>
        </w:p>
        <w:p w14:paraId="08EA89AC">
          <w:pPr>
            <w:pStyle w:val="14"/>
            <w:tabs>
              <w:tab w:val="right" w:leader="dot" w:pos="8306"/>
              <w:tab w:val="clear" w:pos="8296"/>
            </w:tabs>
          </w:pPr>
          <w:r>
            <w:rPr>
              <w:rFonts w:ascii="Times New Roman" w:hAnsi="Times New Roman" w:eastAsia="宋体" w:cs="Times New Roman"/>
              <w:color w:val="auto"/>
              <w:highlight w:val="none"/>
            </w:rPr>
            <w:fldChar w:fldCharType="begin"/>
          </w:r>
          <w:r>
            <w:rPr>
              <w:rFonts w:ascii="Times New Roman" w:hAnsi="Times New Roman" w:eastAsia="宋体" w:cs="Times New Roman"/>
              <w:highlight w:val="none"/>
            </w:rPr>
            <w:instrText xml:space="preserve"> HYPERLINK \l _Toc31638 </w:instrText>
          </w:r>
          <w:r>
            <w:rPr>
              <w:rFonts w:ascii="Times New Roman" w:hAnsi="Times New Roman" w:eastAsia="宋体" w:cs="Times New Roman"/>
              <w:highlight w:val="none"/>
            </w:rPr>
            <w:fldChar w:fldCharType="separate"/>
          </w:r>
          <w:r>
            <w:rPr>
              <w:rFonts w:hint="default" w:ascii="Times New Roman" w:hAnsi="Times New Roman" w:eastAsia="黑体" w:cs="Times New Roman"/>
              <w:szCs w:val="32"/>
            </w:rPr>
            <w:t>七、</w:t>
          </w:r>
          <w:r>
            <w:rPr>
              <w:rFonts w:hint="default" w:ascii="Times New Roman" w:hAnsi="Times New Roman" w:eastAsia="黑体" w:cs="Times New Roman"/>
            </w:rPr>
            <w:t>财政拨款“三公”经费支出决算情况说明</w:t>
          </w:r>
          <w:r>
            <w:tab/>
          </w:r>
          <w:r>
            <w:fldChar w:fldCharType="begin"/>
          </w:r>
          <w:r>
            <w:instrText xml:space="preserve"> PAGEREF _Toc31638 \h </w:instrText>
          </w:r>
          <w:r>
            <w:fldChar w:fldCharType="separate"/>
          </w:r>
          <w:r>
            <w:t>8</w:t>
          </w:r>
          <w:r>
            <w:fldChar w:fldCharType="end"/>
          </w:r>
          <w:r>
            <w:rPr>
              <w:rFonts w:ascii="Times New Roman" w:hAnsi="Times New Roman" w:eastAsia="宋体" w:cs="Times New Roman"/>
              <w:color w:val="auto"/>
              <w:highlight w:val="none"/>
            </w:rPr>
            <w:fldChar w:fldCharType="end"/>
          </w:r>
        </w:p>
        <w:p w14:paraId="077CF5EE">
          <w:pPr>
            <w:pStyle w:val="14"/>
            <w:tabs>
              <w:tab w:val="right" w:leader="dot" w:pos="8306"/>
              <w:tab w:val="clear" w:pos="8296"/>
            </w:tabs>
          </w:pPr>
          <w:r>
            <w:rPr>
              <w:rFonts w:ascii="Times New Roman" w:hAnsi="Times New Roman" w:eastAsia="宋体" w:cs="Times New Roman"/>
              <w:color w:val="auto"/>
              <w:highlight w:val="none"/>
            </w:rPr>
            <w:fldChar w:fldCharType="begin"/>
          </w:r>
          <w:r>
            <w:rPr>
              <w:rFonts w:ascii="Times New Roman" w:hAnsi="Times New Roman" w:eastAsia="宋体" w:cs="Times New Roman"/>
              <w:highlight w:val="none"/>
            </w:rPr>
            <w:instrText xml:space="preserve"> HYPERLINK \l _Toc3011 </w:instrText>
          </w:r>
          <w:r>
            <w:rPr>
              <w:rFonts w:ascii="Times New Roman" w:hAnsi="Times New Roman" w:eastAsia="宋体" w:cs="Times New Roman"/>
              <w:highlight w:val="none"/>
            </w:rPr>
            <w:fldChar w:fldCharType="separate"/>
          </w:r>
          <w:r>
            <w:rPr>
              <w:rFonts w:hint="default" w:ascii="Times New Roman" w:hAnsi="Times New Roman" w:eastAsia="黑体" w:cs="Times New Roman"/>
              <w:szCs w:val="32"/>
            </w:rPr>
            <w:t>八、</w:t>
          </w:r>
          <w:r>
            <w:rPr>
              <w:rFonts w:hint="default" w:ascii="Times New Roman" w:hAnsi="Times New Roman" w:eastAsia="黑体" w:cs="Times New Roman"/>
            </w:rPr>
            <w:t>政府性基金预算支出决算情况说明</w:t>
          </w:r>
          <w:r>
            <w:tab/>
          </w:r>
          <w:r>
            <w:fldChar w:fldCharType="begin"/>
          </w:r>
          <w:r>
            <w:instrText xml:space="preserve"> PAGEREF _Toc3011 \h </w:instrText>
          </w:r>
          <w:r>
            <w:fldChar w:fldCharType="separate"/>
          </w:r>
          <w:r>
            <w:t>10</w:t>
          </w:r>
          <w:r>
            <w:fldChar w:fldCharType="end"/>
          </w:r>
          <w:r>
            <w:rPr>
              <w:rFonts w:ascii="Times New Roman" w:hAnsi="Times New Roman" w:eastAsia="宋体" w:cs="Times New Roman"/>
              <w:color w:val="auto"/>
              <w:highlight w:val="none"/>
            </w:rPr>
            <w:fldChar w:fldCharType="end"/>
          </w:r>
        </w:p>
        <w:p w14:paraId="69A3ED20">
          <w:pPr>
            <w:pStyle w:val="14"/>
            <w:tabs>
              <w:tab w:val="right" w:leader="dot" w:pos="8306"/>
              <w:tab w:val="clear" w:pos="8296"/>
            </w:tabs>
          </w:pPr>
          <w:r>
            <w:rPr>
              <w:rFonts w:ascii="Times New Roman" w:hAnsi="Times New Roman" w:eastAsia="宋体" w:cs="Times New Roman"/>
              <w:color w:val="auto"/>
              <w:highlight w:val="none"/>
            </w:rPr>
            <w:fldChar w:fldCharType="begin"/>
          </w:r>
          <w:r>
            <w:rPr>
              <w:rFonts w:ascii="Times New Roman" w:hAnsi="Times New Roman" w:eastAsia="宋体" w:cs="Times New Roman"/>
              <w:highlight w:val="none"/>
            </w:rPr>
            <w:instrText xml:space="preserve"> HYPERLINK \l _Toc15411 </w:instrText>
          </w:r>
          <w:r>
            <w:rPr>
              <w:rFonts w:ascii="Times New Roman" w:hAnsi="Times New Roman" w:eastAsia="宋体" w:cs="Times New Roman"/>
              <w:highlight w:val="none"/>
            </w:rPr>
            <w:fldChar w:fldCharType="separate"/>
          </w:r>
          <w:r>
            <w:rPr>
              <w:rFonts w:hint="eastAsia" w:ascii="Times New Roman" w:hAnsi="Times New Roman" w:eastAsia="黑体" w:cs="Times New Roman"/>
            </w:rPr>
            <w:t xml:space="preserve">九、 </w:t>
          </w:r>
          <w:r>
            <w:rPr>
              <w:rFonts w:hint="default" w:ascii="Times New Roman" w:hAnsi="Times New Roman" w:eastAsia="黑体" w:cs="Times New Roman"/>
            </w:rPr>
            <w:t>国有资本经营预算支出决算情况说明</w:t>
          </w:r>
          <w:r>
            <w:tab/>
          </w:r>
          <w:r>
            <w:fldChar w:fldCharType="begin"/>
          </w:r>
          <w:r>
            <w:instrText xml:space="preserve"> PAGEREF _Toc15411 \h </w:instrText>
          </w:r>
          <w:r>
            <w:fldChar w:fldCharType="separate"/>
          </w:r>
          <w:r>
            <w:t>10</w:t>
          </w:r>
          <w:r>
            <w:fldChar w:fldCharType="end"/>
          </w:r>
          <w:r>
            <w:rPr>
              <w:rFonts w:ascii="Times New Roman" w:hAnsi="Times New Roman" w:eastAsia="宋体" w:cs="Times New Roman"/>
              <w:color w:val="auto"/>
              <w:highlight w:val="none"/>
            </w:rPr>
            <w:fldChar w:fldCharType="end"/>
          </w:r>
        </w:p>
        <w:p w14:paraId="1217A6CD">
          <w:pPr>
            <w:pStyle w:val="14"/>
            <w:tabs>
              <w:tab w:val="right" w:leader="dot" w:pos="8306"/>
              <w:tab w:val="clear" w:pos="8296"/>
            </w:tabs>
          </w:pPr>
          <w:r>
            <w:rPr>
              <w:rFonts w:ascii="Times New Roman" w:hAnsi="Times New Roman" w:eastAsia="宋体" w:cs="Times New Roman"/>
              <w:color w:val="auto"/>
              <w:highlight w:val="none"/>
            </w:rPr>
            <w:fldChar w:fldCharType="begin"/>
          </w:r>
          <w:r>
            <w:rPr>
              <w:rFonts w:ascii="Times New Roman" w:hAnsi="Times New Roman" w:eastAsia="宋体" w:cs="Times New Roman"/>
              <w:highlight w:val="none"/>
            </w:rPr>
            <w:instrText xml:space="preserve"> HYPERLINK \l _Toc552 </w:instrText>
          </w:r>
          <w:r>
            <w:rPr>
              <w:rFonts w:ascii="Times New Roman" w:hAnsi="Times New Roman" w:eastAsia="宋体" w:cs="Times New Roman"/>
              <w:highlight w:val="none"/>
            </w:rPr>
            <w:fldChar w:fldCharType="separate"/>
          </w:r>
          <w:r>
            <w:rPr>
              <w:rFonts w:hint="eastAsia" w:ascii="Times New Roman" w:hAnsi="Times New Roman" w:eastAsia="黑体" w:cs="Times New Roman"/>
            </w:rPr>
            <w:t xml:space="preserve">十、 </w:t>
          </w:r>
          <w:r>
            <w:rPr>
              <w:rFonts w:hint="default" w:ascii="Times New Roman" w:hAnsi="Times New Roman" w:eastAsia="黑体" w:cs="Times New Roman"/>
            </w:rPr>
            <w:t>其他重要事项的情况说明</w:t>
          </w:r>
          <w:r>
            <w:tab/>
          </w:r>
          <w:r>
            <w:fldChar w:fldCharType="begin"/>
          </w:r>
          <w:r>
            <w:instrText xml:space="preserve"> PAGEREF _Toc552 \h </w:instrText>
          </w:r>
          <w:r>
            <w:fldChar w:fldCharType="separate"/>
          </w:r>
          <w:r>
            <w:t>10</w:t>
          </w:r>
          <w:r>
            <w:fldChar w:fldCharType="end"/>
          </w:r>
          <w:r>
            <w:rPr>
              <w:rFonts w:ascii="Times New Roman" w:hAnsi="Times New Roman" w:eastAsia="宋体" w:cs="Times New Roman"/>
              <w:color w:val="auto"/>
              <w:highlight w:val="none"/>
            </w:rPr>
            <w:fldChar w:fldCharType="end"/>
          </w:r>
        </w:p>
        <w:p w14:paraId="66F7913F">
          <w:pPr>
            <w:pStyle w:val="14"/>
            <w:tabs>
              <w:tab w:val="right" w:leader="dot" w:pos="8306"/>
              <w:tab w:val="clear" w:pos="8296"/>
            </w:tabs>
          </w:pPr>
          <w:r>
            <w:rPr>
              <w:rFonts w:ascii="Times New Roman" w:hAnsi="Times New Roman" w:eastAsia="宋体" w:cs="Times New Roman"/>
              <w:color w:val="auto"/>
              <w:highlight w:val="none"/>
            </w:rPr>
            <w:fldChar w:fldCharType="begin"/>
          </w:r>
          <w:r>
            <w:rPr>
              <w:rFonts w:ascii="Times New Roman" w:hAnsi="Times New Roman" w:eastAsia="宋体" w:cs="Times New Roman"/>
              <w:highlight w:val="none"/>
            </w:rPr>
            <w:instrText xml:space="preserve"> HYPERLINK \l _Toc31722 </w:instrText>
          </w:r>
          <w:r>
            <w:rPr>
              <w:rFonts w:ascii="Times New Roman" w:hAnsi="Times New Roman" w:eastAsia="宋体" w:cs="Times New Roman"/>
              <w:highlight w:val="none"/>
            </w:rPr>
            <w:fldChar w:fldCharType="separate"/>
          </w:r>
          <w:r>
            <w:rPr>
              <w:rFonts w:hint="eastAsia" w:ascii="黑体" w:hAnsi="黑体" w:eastAsia="黑体" w:cs="黑体"/>
              <w:szCs w:val="44"/>
            </w:rPr>
            <w:t xml:space="preserve">第三部分 </w:t>
          </w:r>
          <w:r>
            <w:rPr>
              <w:rFonts w:hint="eastAsia" w:ascii="黑体" w:hAnsi="黑体" w:eastAsia="黑体"/>
              <w:szCs w:val="44"/>
            </w:rPr>
            <w:t>名</w:t>
          </w:r>
          <w:r>
            <w:rPr>
              <w:rFonts w:hint="eastAsia" w:ascii="黑体" w:hAnsi="黑体" w:eastAsia="黑体"/>
            </w:rPr>
            <w:t>词解释</w:t>
          </w:r>
          <w:r>
            <w:tab/>
          </w:r>
          <w:r>
            <w:fldChar w:fldCharType="begin"/>
          </w:r>
          <w:r>
            <w:instrText xml:space="preserve"> PAGEREF _Toc31722 \h </w:instrText>
          </w:r>
          <w:r>
            <w:fldChar w:fldCharType="separate"/>
          </w:r>
          <w:r>
            <w:t>12</w:t>
          </w:r>
          <w:r>
            <w:fldChar w:fldCharType="end"/>
          </w:r>
          <w:r>
            <w:rPr>
              <w:rFonts w:ascii="Times New Roman" w:hAnsi="Times New Roman" w:eastAsia="宋体" w:cs="Times New Roman"/>
              <w:color w:val="auto"/>
              <w:highlight w:val="none"/>
            </w:rPr>
            <w:fldChar w:fldCharType="end"/>
          </w:r>
        </w:p>
        <w:p w14:paraId="7BD8E1D5">
          <w:pPr>
            <w:pStyle w:val="14"/>
            <w:tabs>
              <w:tab w:val="right" w:leader="dot" w:pos="8306"/>
              <w:tab w:val="clear" w:pos="8296"/>
            </w:tabs>
          </w:pPr>
          <w:r>
            <w:rPr>
              <w:rFonts w:ascii="Times New Roman" w:hAnsi="Times New Roman" w:eastAsia="宋体" w:cs="Times New Roman"/>
              <w:color w:val="auto"/>
              <w:highlight w:val="none"/>
            </w:rPr>
            <w:fldChar w:fldCharType="begin"/>
          </w:r>
          <w:r>
            <w:rPr>
              <w:rFonts w:ascii="Times New Roman" w:hAnsi="Times New Roman" w:eastAsia="宋体" w:cs="Times New Roman"/>
              <w:highlight w:val="none"/>
            </w:rPr>
            <w:instrText xml:space="preserve"> HYPERLINK \l _Toc30581 </w:instrText>
          </w:r>
          <w:r>
            <w:rPr>
              <w:rFonts w:ascii="Times New Roman" w:hAnsi="Times New Roman" w:eastAsia="宋体" w:cs="Times New Roman"/>
              <w:highlight w:val="none"/>
            </w:rPr>
            <w:fldChar w:fldCharType="separate"/>
          </w:r>
          <w:r>
            <w:rPr>
              <w:rFonts w:hint="eastAsia" w:ascii="黑体" w:hAnsi="黑体" w:eastAsia="黑体"/>
              <w:szCs w:val="44"/>
            </w:rPr>
            <w:t>第</w:t>
          </w:r>
          <w:r>
            <w:rPr>
              <w:rFonts w:hint="eastAsia" w:ascii="黑体" w:hAnsi="黑体" w:eastAsia="黑体"/>
            </w:rPr>
            <w:t>四部分 附件</w:t>
          </w:r>
          <w:r>
            <w:tab/>
          </w:r>
          <w:r>
            <w:fldChar w:fldCharType="begin"/>
          </w:r>
          <w:r>
            <w:instrText xml:space="preserve"> PAGEREF _Toc30581 \h </w:instrText>
          </w:r>
          <w:r>
            <w:fldChar w:fldCharType="separate"/>
          </w:r>
          <w:r>
            <w:t>16</w:t>
          </w:r>
          <w:r>
            <w:fldChar w:fldCharType="end"/>
          </w:r>
          <w:r>
            <w:rPr>
              <w:rFonts w:ascii="Times New Roman" w:hAnsi="Times New Roman" w:eastAsia="宋体" w:cs="Times New Roman"/>
              <w:color w:val="auto"/>
              <w:highlight w:val="none"/>
            </w:rPr>
            <w:fldChar w:fldCharType="end"/>
          </w:r>
        </w:p>
        <w:p w14:paraId="34752ED2">
          <w:pPr>
            <w:pStyle w:val="14"/>
            <w:tabs>
              <w:tab w:val="right" w:leader="dot" w:pos="8306"/>
              <w:tab w:val="clear" w:pos="8296"/>
            </w:tabs>
          </w:pPr>
          <w:r>
            <w:rPr>
              <w:rFonts w:ascii="Times New Roman" w:hAnsi="Times New Roman" w:eastAsia="宋体" w:cs="Times New Roman"/>
              <w:color w:val="auto"/>
              <w:highlight w:val="none"/>
            </w:rPr>
            <w:fldChar w:fldCharType="begin"/>
          </w:r>
          <w:r>
            <w:rPr>
              <w:rFonts w:ascii="Times New Roman" w:hAnsi="Times New Roman" w:eastAsia="宋体" w:cs="Times New Roman"/>
              <w:highlight w:val="none"/>
            </w:rPr>
            <w:instrText xml:space="preserve"> HYPERLINK \l _Toc10062 </w:instrText>
          </w:r>
          <w:r>
            <w:rPr>
              <w:rFonts w:ascii="Times New Roman" w:hAnsi="Times New Roman" w:eastAsia="宋体" w:cs="Times New Roman"/>
              <w:highlight w:val="none"/>
            </w:rPr>
            <w:fldChar w:fldCharType="separate"/>
          </w:r>
          <w:r>
            <w:rPr>
              <w:rFonts w:hint="eastAsia" w:ascii="黑体" w:hAnsi="黑体" w:eastAsia="黑体" w:cs="黑体"/>
              <w:szCs w:val="32"/>
              <w:highlight w:val="none"/>
            </w:rPr>
            <w:t>附件</w:t>
          </w:r>
          <w:r>
            <w:rPr>
              <w:rFonts w:hint="eastAsia" w:ascii="黑体" w:hAnsi="黑体" w:eastAsia="黑体" w:cs="黑体"/>
              <w:szCs w:val="32"/>
              <w:highlight w:val="none"/>
              <w:lang w:val="en-US" w:eastAsia="zh-CN"/>
            </w:rPr>
            <w:t>1</w:t>
          </w:r>
          <w:r>
            <w:tab/>
          </w:r>
          <w:r>
            <w:fldChar w:fldCharType="begin"/>
          </w:r>
          <w:r>
            <w:instrText xml:space="preserve"> PAGEREF _Toc10062 \h </w:instrText>
          </w:r>
          <w:r>
            <w:fldChar w:fldCharType="separate"/>
          </w:r>
          <w:r>
            <w:t>16</w:t>
          </w:r>
          <w:r>
            <w:fldChar w:fldCharType="end"/>
          </w:r>
          <w:r>
            <w:rPr>
              <w:rFonts w:ascii="Times New Roman" w:hAnsi="Times New Roman" w:eastAsia="宋体" w:cs="Times New Roman"/>
              <w:color w:val="auto"/>
              <w:highlight w:val="none"/>
            </w:rPr>
            <w:fldChar w:fldCharType="end"/>
          </w:r>
        </w:p>
        <w:p w14:paraId="0A83E800">
          <w:pPr>
            <w:pStyle w:val="14"/>
            <w:tabs>
              <w:tab w:val="right" w:leader="dot" w:pos="8306"/>
              <w:tab w:val="clear" w:pos="8296"/>
            </w:tabs>
          </w:pPr>
          <w:r>
            <w:rPr>
              <w:rFonts w:ascii="Times New Roman" w:hAnsi="Times New Roman" w:eastAsia="宋体" w:cs="Times New Roman"/>
              <w:color w:val="auto"/>
              <w:highlight w:val="none"/>
            </w:rPr>
            <w:fldChar w:fldCharType="begin"/>
          </w:r>
          <w:r>
            <w:rPr>
              <w:rFonts w:ascii="Times New Roman" w:hAnsi="Times New Roman" w:eastAsia="宋体" w:cs="Times New Roman"/>
              <w:highlight w:val="none"/>
            </w:rPr>
            <w:instrText xml:space="preserve"> HYPERLINK \l _Toc22920 </w:instrText>
          </w:r>
          <w:r>
            <w:rPr>
              <w:rFonts w:ascii="Times New Roman" w:hAnsi="Times New Roman" w:eastAsia="宋体" w:cs="Times New Roman"/>
              <w:highlight w:val="none"/>
            </w:rPr>
            <w:fldChar w:fldCharType="separate"/>
          </w:r>
          <w:r>
            <w:rPr>
              <w:rFonts w:hint="eastAsia" w:ascii="Times New Roman" w:hAnsi="Times New Roman" w:eastAsia="仿宋_GB2312" w:cs="Times New Roman"/>
              <w:kern w:val="2"/>
              <w:szCs w:val="32"/>
              <w:lang w:val="zh-CN" w:eastAsia="zh-CN" w:bidi="ar"/>
            </w:rPr>
            <w:t>附表：</w:t>
          </w:r>
          <w:r>
            <w:rPr>
              <w:rFonts w:hint="eastAsia" w:ascii="Times New Roman" w:hAnsi="Times New Roman" w:eastAsia="仿宋_GB2312" w:cs="Times New Roman"/>
              <w:kern w:val="2"/>
              <w:szCs w:val="32"/>
              <w:lang w:val="en-US" w:eastAsia="zh-CN" w:bidi="ar"/>
            </w:rPr>
            <w:t>部门预算项目支出绩效自评表（2025年度）</w:t>
          </w:r>
          <w:r>
            <w:tab/>
          </w:r>
          <w:r>
            <w:fldChar w:fldCharType="begin"/>
          </w:r>
          <w:r>
            <w:instrText xml:space="preserve"> PAGEREF _Toc22920 \h </w:instrText>
          </w:r>
          <w:r>
            <w:fldChar w:fldCharType="separate"/>
          </w:r>
          <w:r>
            <w:t>24</w:t>
          </w:r>
          <w:r>
            <w:fldChar w:fldCharType="end"/>
          </w:r>
          <w:r>
            <w:rPr>
              <w:rFonts w:ascii="Times New Roman" w:hAnsi="Times New Roman" w:eastAsia="宋体" w:cs="Times New Roman"/>
              <w:color w:val="auto"/>
              <w:highlight w:val="none"/>
            </w:rPr>
            <w:fldChar w:fldCharType="end"/>
          </w:r>
        </w:p>
        <w:p w14:paraId="7A8319A4">
          <w:pPr>
            <w:pStyle w:val="14"/>
            <w:tabs>
              <w:tab w:val="right" w:leader="dot" w:pos="8306"/>
              <w:tab w:val="clear" w:pos="8296"/>
            </w:tabs>
          </w:pPr>
          <w:r>
            <w:rPr>
              <w:rFonts w:ascii="Times New Roman" w:hAnsi="Times New Roman" w:eastAsia="宋体" w:cs="Times New Roman"/>
              <w:color w:val="auto"/>
              <w:highlight w:val="none"/>
            </w:rPr>
            <w:fldChar w:fldCharType="begin"/>
          </w:r>
          <w:r>
            <w:rPr>
              <w:rFonts w:ascii="Times New Roman" w:hAnsi="Times New Roman" w:eastAsia="宋体" w:cs="Times New Roman"/>
              <w:highlight w:val="none"/>
            </w:rPr>
            <w:instrText xml:space="preserve"> HYPERLINK \l _Toc16888 </w:instrText>
          </w:r>
          <w:r>
            <w:rPr>
              <w:rFonts w:ascii="Times New Roman" w:hAnsi="Times New Roman" w:eastAsia="宋体" w:cs="Times New Roman"/>
              <w:highlight w:val="none"/>
            </w:rPr>
            <w:fldChar w:fldCharType="separate"/>
          </w:r>
          <w:r>
            <w:rPr>
              <w:rFonts w:hint="eastAsia" w:ascii="黑体" w:hAnsi="黑体" w:eastAsia="黑体"/>
              <w:szCs w:val="44"/>
              <w:highlight w:val="none"/>
            </w:rPr>
            <w:t>第</w:t>
          </w:r>
          <w:r>
            <w:rPr>
              <w:rFonts w:hint="eastAsia" w:ascii="黑体" w:hAnsi="黑体" w:eastAsia="黑体"/>
              <w:highlight w:val="none"/>
            </w:rPr>
            <w:t>五部分 附表</w:t>
          </w:r>
          <w:r>
            <w:tab/>
          </w:r>
          <w:r>
            <w:fldChar w:fldCharType="begin"/>
          </w:r>
          <w:r>
            <w:instrText xml:space="preserve"> PAGEREF _Toc16888 \h </w:instrText>
          </w:r>
          <w:r>
            <w:fldChar w:fldCharType="separate"/>
          </w:r>
          <w:r>
            <w:t>32</w:t>
          </w:r>
          <w:r>
            <w:fldChar w:fldCharType="end"/>
          </w:r>
          <w:r>
            <w:rPr>
              <w:rFonts w:ascii="Times New Roman" w:hAnsi="Times New Roman" w:eastAsia="宋体" w:cs="Times New Roman"/>
              <w:color w:val="auto"/>
              <w:highlight w:val="none"/>
            </w:rPr>
            <w:fldChar w:fldCharType="end"/>
          </w:r>
        </w:p>
        <w:p w14:paraId="4480A708">
          <w:pPr>
            <w:rPr>
              <w:rFonts w:ascii="Times New Roman" w:hAnsi="Times New Roman" w:eastAsia="宋体" w:cs="Times New Roman"/>
              <w:color w:val="auto"/>
              <w:kern w:val="2"/>
              <w:sz w:val="21"/>
              <w:szCs w:val="24"/>
              <w:highlight w:val="none"/>
              <w:lang w:val="en-US" w:eastAsia="zh-CN" w:bidi="ar-SA"/>
            </w:rPr>
            <w:sectPr>
              <w:footerReference r:id="rId6" w:type="first"/>
              <w:footerReference r:id="rId5" w:type="default"/>
              <w:pgSz w:w="11906" w:h="16838"/>
              <w:pgMar w:top="1440" w:right="1800" w:bottom="1440" w:left="1800" w:header="851" w:footer="992" w:gutter="0"/>
              <w:pgNumType w:fmt="decimal"/>
              <w:cols w:space="425" w:num="1"/>
              <w:titlePg/>
              <w:docGrid w:type="lines" w:linePitch="312" w:charSpace="0"/>
            </w:sectPr>
          </w:pPr>
          <w:r>
            <w:rPr>
              <w:rFonts w:ascii="Times New Roman" w:hAnsi="Times New Roman" w:eastAsia="宋体" w:cs="Times New Roman"/>
              <w:color w:val="auto"/>
              <w:highlight w:val="none"/>
            </w:rPr>
            <w:fldChar w:fldCharType="end"/>
          </w:r>
        </w:p>
      </w:sdtContent>
    </w:sdt>
    <w:p w14:paraId="1DB24019">
      <w:pPr>
        <w:keepNext/>
        <w:keepLines/>
        <w:widowControl w:val="0"/>
        <w:spacing w:before="340" w:after="330" w:line="578" w:lineRule="auto"/>
        <w:jc w:val="center"/>
        <w:outlineLvl w:val="0"/>
        <w:rPr>
          <w:rFonts w:hint="eastAsia" w:ascii="Times New Roman" w:hAnsi="Times New Roman" w:eastAsia="方正小标宋简体" w:cs="方正小标宋简体"/>
          <w:b/>
          <w:bCs w:val="0"/>
          <w:color w:val="auto"/>
          <w:kern w:val="44"/>
          <w:sz w:val="44"/>
          <w:szCs w:val="44"/>
          <w:highlight w:val="none"/>
          <w:lang w:val="en-US" w:eastAsia="zh-CN" w:bidi="ar-SA"/>
        </w:rPr>
      </w:pPr>
      <w:bookmarkStart w:id="8" w:name="_Toc29322"/>
      <w:bookmarkStart w:id="9" w:name="_Toc15377196"/>
      <w:bookmarkStart w:id="10" w:name="_Toc15396599"/>
      <w:r>
        <w:rPr>
          <w:rFonts w:hint="eastAsia" w:ascii="Times New Roman" w:hAnsi="Times New Roman" w:eastAsia="方正小标宋简体" w:cs="方正小标宋简体"/>
          <w:b w:val="0"/>
          <w:bCs/>
          <w:color w:val="auto"/>
          <w:kern w:val="44"/>
          <w:sz w:val="44"/>
          <w:szCs w:val="44"/>
          <w:highlight w:val="none"/>
          <w:lang w:val="en-US" w:eastAsia="zh-CN" w:bidi="ar-SA"/>
        </w:rPr>
        <w:t xml:space="preserve">第一部分  </w:t>
      </w:r>
      <w:r>
        <w:rPr>
          <w:rFonts w:hint="eastAsia" w:ascii="Times New Roman" w:hAnsi="Times New Roman" w:eastAsia="方正小标宋简体" w:cs="方正小标宋简体"/>
          <w:b w:val="0"/>
          <w:bCs w:val="0"/>
          <w:color w:val="auto"/>
          <w:kern w:val="44"/>
          <w:sz w:val="44"/>
          <w:szCs w:val="44"/>
          <w:highlight w:val="none"/>
          <w:lang w:val="en-US" w:eastAsia="zh-CN" w:bidi="ar-SA"/>
        </w:rPr>
        <w:t>部门概况</w:t>
      </w:r>
      <w:bookmarkEnd w:id="8"/>
      <w:bookmarkEnd w:id="9"/>
      <w:bookmarkEnd w:id="10"/>
    </w:p>
    <w:p w14:paraId="1642AE1E">
      <w:pPr>
        <w:widowControl/>
        <w:jc w:val="left"/>
        <w:rPr>
          <w:rFonts w:ascii="Times New Roman" w:hAnsi="Times New Roman" w:eastAsia="黑体" w:cs="Times New Roman"/>
          <w:color w:val="auto"/>
          <w:sz w:val="32"/>
          <w:szCs w:val="32"/>
          <w:highlight w:val="none"/>
        </w:rPr>
      </w:pPr>
    </w:p>
    <w:p w14:paraId="6DE408B2">
      <w:pPr>
        <w:pStyle w:val="4"/>
        <w:outlineLvl w:val="0"/>
        <w:rPr>
          <w:rFonts w:hint="eastAsia" w:ascii="Times New Roman" w:hAnsi="Times New Roman" w:eastAsia="黑体"/>
          <w:b w:val="0"/>
          <w:color w:val="auto"/>
          <w:highlight w:val="none"/>
          <w:lang w:eastAsia="zh-CN"/>
        </w:rPr>
      </w:pPr>
      <w:bookmarkStart w:id="11" w:name="_Toc15377197"/>
      <w:bookmarkStart w:id="12" w:name="_Toc15396600"/>
      <w:bookmarkStart w:id="13" w:name="_Toc31872"/>
      <w:r>
        <w:rPr>
          <w:rFonts w:hint="eastAsia" w:ascii="Times New Roman" w:hAnsi="Times New Roman" w:eastAsia="黑体"/>
          <w:b w:val="0"/>
          <w:color w:val="auto"/>
          <w:highlight w:val="none"/>
        </w:rPr>
        <w:t>一、</w:t>
      </w:r>
      <w:bookmarkEnd w:id="11"/>
      <w:bookmarkEnd w:id="12"/>
      <w:r>
        <w:rPr>
          <w:rFonts w:hint="eastAsia" w:ascii="Times New Roman" w:hAnsi="Times New Roman" w:eastAsia="黑体"/>
          <w:b w:val="0"/>
          <w:color w:val="auto"/>
          <w:highlight w:val="none"/>
          <w:lang w:eastAsia="zh-CN"/>
        </w:rPr>
        <w:t>部门职责</w:t>
      </w:r>
      <w:bookmarkEnd w:id="13"/>
    </w:p>
    <w:p w14:paraId="12433EE2">
      <w:pPr>
        <w:pStyle w:val="4"/>
        <w:keepNext/>
        <w:keepLines/>
        <w:pageBreakBefore w:val="0"/>
        <w:widowControl w:val="0"/>
        <w:kinsoku/>
        <w:wordWrap/>
        <w:overflowPunct/>
        <w:topLinePunct w:val="0"/>
        <w:autoSpaceDE/>
        <w:autoSpaceDN/>
        <w:bidi w:val="0"/>
        <w:adjustRightInd/>
        <w:snapToGrid/>
        <w:spacing w:line="580" w:lineRule="exact"/>
        <w:ind w:firstLine="640" w:firstLineChars="200"/>
        <w:textAlignment w:val="auto"/>
        <w:outlineLvl w:val="9"/>
        <w:rPr>
          <w:rFonts w:hint="eastAsia" w:ascii="Times New Roman" w:hAnsi="Times New Roman" w:eastAsia="黑体"/>
          <w:b/>
          <w:bCs w:val="0"/>
          <w:color w:val="auto"/>
          <w:highlight w:val="none"/>
          <w:lang w:eastAsia="zh-CN"/>
        </w:rPr>
      </w:pPr>
      <w:r>
        <w:rPr>
          <w:rFonts w:hint="eastAsia" w:ascii="仿宋_GB2312" w:hAnsi="Calibri" w:eastAsia="仿宋_GB2312" w:cs="仿宋_GB2312"/>
          <w:b w:val="0"/>
          <w:bCs w:val="0"/>
          <w:color w:val="000000"/>
          <w:kern w:val="2"/>
          <w:sz w:val="32"/>
          <w:szCs w:val="32"/>
          <w:lang w:val="en-US" w:eastAsia="zh-CN" w:bidi="ar"/>
        </w:rPr>
        <w:t>南江县人民检察院属国家法律监督机关，按照上级检察院和县委的决策部署，依法履行法律监督职责。主要任务是通过行使检察权，追诉犯罪，保障人权，维护国家安全和社会秩序，保障国家法律正确实施，维护社会公共利益，维护社会公平正义，维护国家法制统一、尊严、权威。主要行使下列职权：对依照法律规定由其办理的刑事案件行使侦查权；对刑事案件进行审查，决定是否逮捕犯罪嫌疑人；对侦查终结的刑事案件进行审查，决定是否提起公诉；对刑事、民事、行政诉讼实行法律监督；对刑事、民事、行政判决、裁定等生效法律文书的执行工作实行法律监督；对社区矫正机构、看守所的执法工作实行法律监督；依照法律规定提起公益诉讼；以及法律规定的其他职权。</w:t>
      </w:r>
    </w:p>
    <w:p w14:paraId="1B4A1212">
      <w:pPr>
        <w:pStyle w:val="4"/>
        <w:outlineLvl w:val="0"/>
        <w:rPr>
          <w:rFonts w:ascii="Times New Roman" w:hAnsi="Times New Roman"/>
          <w:b w:val="0"/>
          <w:bCs w:val="0"/>
          <w:color w:val="auto"/>
          <w:highlight w:val="none"/>
        </w:rPr>
      </w:pPr>
      <w:bookmarkStart w:id="14" w:name="_Toc10763"/>
      <w:bookmarkStart w:id="15" w:name="_Toc15396601"/>
      <w:bookmarkStart w:id="16" w:name="_Toc15377200"/>
      <w:r>
        <w:rPr>
          <w:rFonts w:hint="eastAsia" w:ascii="Times New Roman" w:hAnsi="Times New Roman" w:eastAsia="黑体"/>
          <w:b w:val="0"/>
          <w:color w:val="auto"/>
          <w:highlight w:val="none"/>
        </w:rPr>
        <w:t>二、机</w:t>
      </w:r>
      <w:r>
        <w:rPr>
          <w:rFonts w:hint="eastAsia" w:ascii="Times New Roman" w:hAnsi="Times New Roman" w:eastAsia="黑体"/>
          <w:b w:val="0"/>
          <w:bCs w:val="0"/>
          <w:color w:val="auto"/>
          <w:highlight w:val="none"/>
        </w:rPr>
        <w:t>构设置</w:t>
      </w:r>
      <w:bookmarkEnd w:id="14"/>
      <w:bookmarkEnd w:id="15"/>
      <w:bookmarkEnd w:id="16"/>
    </w:p>
    <w:p w14:paraId="008AA5EE">
      <w:pPr>
        <w:keepNext w:val="0"/>
        <w:keepLines w:val="0"/>
        <w:pageBreakBefore w:val="0"/>
        <w:widowControl w:val="0"/>
        <w:kinsoku/>
        <w:wordWrap/>
        <w:overflowPunct/>
        <w:topLinePunct w:val="0"/>
        <w:autoSpaceDE/>
        <w:autoSpaceDN/>
        <w:bidi w:val="0"/>
        <w:adjustRightInd/>
        <w:snapToGrid/>
        <w:spacing w:line="580" w:lineRule="exact"/>
        <w:ind w:firstLine="800" w:firstLineChars="250"/>
        <w:textAlignment w:val="auto"/>
        <w:rPr>
          <w:rStyle w:val="33"/>
          <w:rFonts w:hint="default" w:ascii="Times New Roman" w:hAnsi="Times New Roman" w:eastAsia="黑体" w:cs="Times New Roman"/>
          <w:b w:val="0"/>
          <w:bCs/>
        </w:rPr>
      </w:pPr>
      <w:r>
        <w:rPr>
          <w:rFonts w:hint="default" w:ascii="Times New Roman" w:hAnsi="Times New Roman" w:eastAsia="仿宋" w:cs="Times New Roman"/>
          <w:color w:val="000000"/>
          <w:spacing w:val="0"/>
          <w:kern w:val="2"/>
          <w:sz w:val="32"/>
          <w:szCs w:val="32"/>
          <w:highlight w:val="none"/>
          <w:lang w:val="en-US" w:eastAsia="zh-CN" w:bidi="zh-CN"/>
        </w:rPr>
        <w:t>南江县人民检察院是一级预算单位，内设机构5个，主要包括办公室、政治部</w:t>
      </w:r>
      <w:r>
        <w:rPr>
          <w:rFonts w:hint="eastAsia" w:eastAsia="仿宋" w:cs="Times New Roman"/>
          <w:color w:val="000000"/>
          <w:spacing w:val="0"/>
          <w:kern w:val="2"/>
          <w:sz w:val="32"/>
          <w:szCs w:val="32"/>
          <w:highlight w:val="none"/>
          <w:lang w:val="en-US" w:eastAsia="zh-CN" w:bidi="zh-CN"/>
        </w:rPr>
        <w:t>（司法警察大队、检务督察部）</w:t>
      </w:r>
      <w:r>
        <w:rPr>
          <w:rFonts w:hint="default" w:ascii="Times New Roman" w:hAnsi="Times New Roman" w:eastAsia="仿宋" w:cs="Times New Roman"/>
          <w:color w:val="000000"/>
          <w:spacing w:val="0"/>
          <w:kern w:val="2"/>
          <w:sz w:val="32"/>
          <w:szCs w:val="32"/>
          <w:highlight w:val="none"/>
          <w:lang w:val="en-US" w:eastAsia="zh-CN" w:bidi="zh-CN"/>
        </w:rPr>
        <w:t>、第一检察部</w:t>
      </w:r>
      <w:r>
        <w:rPr>
          <w:rFonts w:hint="eastAsia" w:eastAsia="仿宋" w:cs="Times New Roman"/>
          <w:color w:val="000000"/>
          <w:spacing w:val="0"/>
          <w:kern w:val="2"/>
          <w:sz w:val="32"/>
          <w:szCs w:val="32"/>
          <w:highlight w:val="none"/>
          <w:lang w:val="en-US" w:eastAsia="zh-CN" w:bidi="zh-CN"/>
        </w:rPr>
        <w:t>（未成年人检察部）</w:t>
      </w:r>
      <w:r>
        <w:rPr>
          <w:rFonts w:hint="default" w:ascii="Times New Roman" w:hAnsi="Times New Roman" w:eastAsia="仿宋" w:cs="Times New Roman"/>
          <w:color w:val="000000"/>
          <w:spacing w:val="0"/>
          <w:kern w:val="2"/>
          <w:sz w:val="32"/>
          <w:szCs w:val="32"/>
          <w:highlight w:val="none"/>
          <w:lang w:val="en-US" w:eastAsia="zh-CN" w:bidi="zh-CN"/>
        </w:rPr>
        <w:t>、第二检察部、第三检察部；派驻检察室2个，驻长赤、光雾山乡镇检察室。</w:t>
      </w:r>
      <w:r>
        <w:rPr>
          <w:rFonts w:hint="default" w:ascii="Times New Roman" w:hAnsi="Times New Roman" w:eastAsia="仿宋_GB2312" w:cs="Times New Roman"/>
          <w:color w:val="auto"/>
          <w:sz w:val="32"/>
          <w:szCs w:val="32"/>
          <w:highlight w:val="none"/>
        </w:rPr>
        <w:t>南江县</w:t>
      </w:r>
      <w:bookmarkStart w:id="70" w:name="_GoBack"/>
      <w:bookmarkEnd w:id="70"/>
      <w:r>
        <w:rPr>
          <w:rFonts w:hint="default" w:ascii="Times New Roman" w:hAnsi="Times New Roman" w:eastAsia="仿宋_GB2312" w:cs="Times New Roman"/>
          <w:color w:val="auto"/>
          <w:sz w:val="32"/>
          <w:szCs w:val="32"/>
          <w:highlight w:val="none"/>
        </w:rPr>
        <w:t>人民检察院</w:t>
      </w:r>
      <w:r>
        <w:rPr>
          <w:rFonts w:hint="default" w:ascii="Times New Roman" w:hAnsi="Times New Roman" w:eastAsia="仿宋_GB2312" w:cs="Times New Roman"/>
          <w:color w:val="auto"/>
          <w:sz w:val="32"/>
          <w:szCs w:val="32"/>
          <w:highlight w:val="none"/>
          <w:lang w:val="en-US" w:eastAsia="zh-CN"/>
        </w:rPr>
        <w:t>无</w:t>
      </w:r>
      <w:r>
        <w:rPr>
          <w:rFonts w:hint="default" w:ascii="Times New Roman" w:hAnsi="Times New Roman" w:eastAsia="仿宋_GB2312" w:cs="Times New Roman"/>
          <w:color w:val="auto"/>
          <w:sz w:val="32"/>
          <w:szCs w:val="32"/>
          <w:highlight w:val="none"/>
        </w:rPr>
        <w:t>下属二级</w:t>
      </w:r>
      <w:r>
        <w:rPr>
          <w:rFonts w:hint="default" w:ascii="Times New Roman" w:hAnsi="Times New Roman" w:eastAsia="仿宋_GB2312" w:cs="Times New Roman"/>
          <w:color w:val="auto"/>
          <w:sz w:val="32"/>
          <w:szCs w:val="32"/>
          <w:highlight w:val="none"/>
          <w:lang w:eastAsia="zh-CN"/>
        </w:rPr>
        <w:t>预算</w:t>
      </w:r>
      <w:r>
        <w:rPr>
          <w:rFonts w:hint="default" w:ascii="Times New Roman" w:hAnsi="Times New Roman" w:eastAsia="仿宋_GB2312" w:cs="Times New Roman"/>
          <w:color w:val="auto"/>
          <w:sz w:val="32"/>
          <w:szCs w:val="32"/>
          <w:highlight w:val="none"/>
        </w:rPr>
        <w:t>单位。</w:t>
      </w:r>
    </w:p>
    <w:p w14:paraId="4AC5BFA4">
      <w:pPr>
        <w:keepNext w:val="0"/>
        <w:keepLines w:val="0"/>
        <w:pageBreakBefore w:val="0"/>
        <w:kinsoku/>
        <w:wordWrap/>
        <w:overflowPunct/>
        <w:topLinePunct w:val="0"/>
        <w:bidi w:val="0"/>
        <w:spacing w:line="560" w:lineRule="exact"/>
        <w:ind w:firstLine="630" w:firstLineChars="0"/>
        <w:textAlignment w:val="auto"/>
        <w:outlineLvl w:val="0"/>
        <w:rPr>
          <w:rStyle w:val="33"/>
          <w:rFonts w:hint="default" w:ascii="Times New Roman" w:hAnsi="Times New Roman" w:eastAsia="黑体" w:cs="Times New Roman"/>
          <w:b w:val="0"/>
          <w:bCs/>
        </w:rPr>
      </w:pPr>
      <w:bookmarkStart w:id="17" w:name="_Toc13776"/>
      <w:r>
        <w:rPr>
          <w:rStyle w:val="33"/>
          <w:rFonts w:hint="default" w:ascii="Times New Roman" w:hAnsi="Times New Roman" w:eastAsia="黑体" w:cs="Times New Roman"/>
          <w:b w:val="0"/>
          <w:bCs/>
        </w:rPr>
        <w:t>第二部分 202</w:t>
      </w:r>
      <w:r>
        <w:rPr>
          <w:rStyle w:val="33"/>
          <w:rFonts w:hint="eastAsia" w:eastAsia="黑体" w:cs="Times New Roman"/>
          <w:b w:val="0"/>
          <w:bCs/>
          <w:lang w:val="en-US" w:eastAsia="zh-CN"/>
        </w:rPr>
        <w:t>5</w:t>
      </w:r>
      <w:r>
        <w:rPr>
          <w:rStyle w:val="33"/>
          <w:rFonts w:hint="default" w:ascii="Times New Roman" w:hAnsi="Times New Roman" w:eastAsia="黑体" w:cs="Times New Roman"/>
          <w:b w:val="0"/>
          <w:bCs/>
        </w:rPr>
        <w:t>年度</w:t>
      </w:r>
      <w:r>
        <w:rPr>
          <w:rStyle w:val="33"/>
          <w:rFonts w:hint="default" w:ascii="Times New Roman" w:hAnsi="Times New Roman" w:eastAsia="黑体" w:cs="Times New Roman"/>
          <w:b w:val="0"/>
          <w:bCs/>
          <w:color w:val="auto"/>
          <w:lang w:eastAsia="zh-CN"/>
        </w:rPr>
        <w:t>部门</w:t>
      </w:r>
      <w:r>
        <w:rPr>
          <w:rStyle w:val="33"/>
          <w:rFonts w:hint="default" w:ascii="Times New Roman" w:hAnsi="Times New Roman" w:eastAsia="黑体" w:cs="Times New Roman"/>
          <w:b w:val="0"/>
          <w:bCs/>
          <w:color w:val="auto"/>
        </w:rPr>
        <w:t>决</w:t>
      </w:r>
      <w:r>
        <w:rPr>
          <w:rStyle w:val="33"/>
          <w:rFonts w:hint="default" w:ascii="Times New Roman" w:hAnsi="Times New Roman" w:eastAsia="黑体" w:cs="Times New Roman"/>
          <w:b w:val="0"/>
          <w:bCs/>
        </w:rPr>
        <w:t>算情况说明</w:t>
      </w:r>
      <w:bookmarkEnd w:id="0"/>
      <w:bookmarkEnd w:id="1"/>
      <w:bookmarkEnd w:id="17"/>
    </w:p>
    <w:p w14:paraId="5816FB6E">
      <w:pPr>
        <w:rPr>
          <w:rFonts w:hint="default" w:ascii="Times New Roman" w:hAnsi="Times New Roman" w:cs="Times New Roman"/>
        </w:rPr>
      </w:pPr>
    </w:p>
    <w:p w14:paraId="10BF2D6B">
      <w:pPr>
        <w:pStyle w:val="32"/>
        <w:numPr>
          <w:ilvl w:val="0"/>
          <w:numId w:val="1"/>
        </w:numPr>
        <w:spacing w:line="600" w:lineRule="exact"/>
        <w:ind w:left="1360" w:leftChars="0" w:hanging="720" w:firstLineChars="0"/>
        <w:outlineLvl w:val="0"/>
        <w:rPr>
          <w:rStyle w:val="34"/>
          <w:rFonts w:hint="default" w:ascii="Times New Roman" w:hAnsi="Times New Roman" w:eastAsia="黑体" w:cs="Times New Roman"/>
          <w:b w:val="0"/>
        </w:rPr>
      </w:pPr>
      <w:bookmarkStart w:id="18" w:name="_Toc12606"/>
      <w:bookmarkStart w:id="19" w:name="_Toc15396603"/>
      <w:bookmarkStart w:id="20" w:name="_Toc15377205"/>
      <w:r>
        <w:rPr>
          <w:rFonts w:hint="default" w:ascii="Times New Roman" w:hAnsi="Times New Roman" w:eastAsia="黑体" w:cs="Times New Roman"/>
          <w:sz w:val="32"/>
          <w:szCs w:val="32"/>
        </w:rPr>
        <w:t>收</w:t>
      </w:r>
      <w:r>
        <w:rPr>
          <w:rStyle w:val="34"/>
          <w:rFonts w:hint="default" w:ascii="Times New Roman" w:hAnsi="Times New Roman" w:eastAsia="黑体" w:cs="Times New Roman"/>
          <w:b w:val="0"/>
        </w:rPr>
        <w:t>入支出决算总体情况说明</w:t>
      </w:r>
      <w:bookmarkEnd w:id="18"/>
      <w:bookmarkEnd w:id="19"/>
      <w:bookmarkEnd w:id="20"/>
    </w:p>
    <w:p w14:paraId="7E8F8105">
      <w:pPr>
        <w:ind w:firstLine="720" w:firstLineChars="225"/>
        <w:rPr>
          <w:rFonts w:hint="eastAsia" w:ascii="仿宋" w:hAnsi="仿宋" w:eastAsia="仿宋" w:cs="仿宋"/>
          <w:color w:val="000000"/>
          <w:spacing w:val="0"/>
          <w:kern w:val="2"/>
          <w:sz w:val="32"/>
          <w:szCs w:val="32"/>
          <w:highlight w:val="yellow"/>
          <w:lang w:val="en-US" w:eastAsia="zh-CN" w:bidi="zh-CN"/>
        </w:rPr>
      </w:pPr>
      <w:r>
        <w:rPr>
          <w:rFonts w:hint="eastAsia" w:eastAsia="仿宋_GB2312" w:cs="Times New Roman"/>
          <w:color w:val="auto"/>
          <w:kern w:val="2"/>
          <w:sz w:val="32"/>
          <w:szCs w:val="32"/>
          <w:highlight w:val="none"/>
          <w:lang w:val="en-US" w:eastAsia="zh-CN" w:bidi="ar-SA"/>
        </w:rPr>
        <w:t>2025</w:t>
      </w:r>
      <w:r>
        <w:rPr>
          <w:rFonts w:hint="default" w:ascii="Times New Roman" w:hAnsi="Times New Roman" w:eastAsia="仿宋_GB2312" w:cs="Times New Roman"/>
          <w:color w:val="auto"/>
          <w:kern w:val="2"/>
          <w:sz w:val="32"/>
          <w:szCs w:val="32"/>
          <w:highlight w:val="none"/>
          <w:lang w:val="en-US" w:eastAsia="zh-CN" w:bidi="ar-SA"/>
        </w:rPr>
        <w:t>年度收入、支出总计均为</w:t>
      </w:r>
      <w:r>
        <w:rPr>
          <w:rFonts w:hint="eastAsia" w:eastAsia="仿宋_GB2312" w:cs="Times New Roman"/>
          <w:color w:val="auto"/>
          <w:kern w:val="2"/>
          <w:sz w:val="32"/>
          <w:szCs w:val="32"/>
          <w:highlight w:val="none"/>
          <w:lang w:val="en-US" w:eastAsia="zh-CN" w:bidi="ar-SA"/>
        </w:rPr>
        <w:t>1634.96</w:t>
      </w:r>
      <w:r>
        <w:rPr>
          <w:rFonts w:hint="default" w:ascii="Times New Roman" w:hAnsi="Times New Roman" w:eastAsia="仿宋_GB2312" w:cs="Times New Roman"/>
          <w:color w:val="auto"/>
          <w:kern w:val="2"/>
          <w:sz w:val="32"/>
          <w:szCs w:val="32"/>
          <w:highlight w:val="none"/>
          <w:lang w:val="en-US" w:eastAsia="zh-CN" w:bidi="ar-SA"/>
        </w:rPr>
        <w:t>万元。与</w:t>
      </w:r>
      <w:r>
        <w:rPr>
          <w:rFonts w:hint="eastAsia" w:eastAsia="仿宋_GB2312" w:cs="Times New Roman"/>
          <w:color w:val="auto"/>
          <w:kern w:val="2"/>
          <w:sz w:val="32"/>
          <w:szCs w:val="32"/>
          <w:highlight w:val="none"/>
          <w:lang w:val="en-US" w:eastAsia="zh-CN" w:bidi="ar-SA"/>
        </w:rPr>
        <w:t>2024</w:t>
      </w:r>
      <w:r>
        <w:rPr>
          <w:rFonts w:hint="default" w:ascii="Times New Roman" w:hAnsi="Times New Roman" w:eastAsia="仿宋_GB2312" w:cs="Times New Roman"/>
          <w:color w:val="auto"/>
          <w:kern w:val="2"/>
          <w:sz w:val="32"/>
          <w:szCs w:val="32"/>
          <w:highlight w:val="none"/>
          <w:lang w:val="en-US" w:eastAsia="zh-CN" w:bidi="ar-SA"/>
        </w:rPr>
        <w:t>年度相比，收入、支出总计各</w:t>
      </w:r>
      <w:r>
        <w:rPr>
          <w:rFonts w:hint="eastAsia" w:eastAsia="仿宋_GB2312" w:cs="Times New Roman"/>
          <w:color w:val="auto"/>
          <w:kern w:val="2"/>
          <w:sz w:val="32"/>
          <w:szCs w:val="32"/>
          <w:highlight w:val="none"/>
          <w:lang w:val="en-US" w:eastAsia="zh-CN" w:bidi="ar-SA"/>
        </w:rPr>
        <w:t>减少</w:t>
      </w:r>
      <w:r>
        <w:rPr>
          <w:rFonts w:hint="eastAsia" w:eastAsia="仿宋" w:cs="Times New Roman"/>
          <w:color w:val="000000"/>
          <w:spacing w:val="0"/>
          <w:kern w:val="2"/>
          <w:sz w:val="32"/>
          <w:szCs w:val="32"/>
          <w:highlight w:val="none"/>
          <w:lang w:val="en-US" w:eastAsia="zh-CN" w:bidi="zh-CN"/>
        </w:rPr>
        <w:t>68.73</w:t>
      </w:r>
      <w:r>
        <w:rPr>
          <w:rFonts w:hint="default" w:ascii="Times New Roman" w:hAnsi="Times New Roman" w:eastAsia="仿宋_GB2312" w:cs="Times New Roman"/>
          <w:color w:val="auto"/>
          <w:kern w:val="2"/>
          <w:sz w:val="32"/>
          <w:szCs w:val="32"/>
          <w:highlight w:val="none"/>
          <w:lang w:val="en-US" w:eastAsia="zh-CN" w:bidi="ar-SA"/>
        </w:rPr>
        <w:t>万元。主要变动原因是</w:t>
      </w:r>
      <w:r>
        <w:rPr>
          <w:rFonts w:hint="eastAsia" w:eastAsia="仿宋_GB2312" w:cs="Times New Roman"/>
          <w:color w:val="auto"/>
          <w:kern w:val="2"/>
          <w:sz w:val="32"/>
          <w:szCs w:val="32"/>
          <w:highlight w:val="none"/>
          <w:lang w:val="en-US" w:eastAsia="zh-CN" w:bidi="ar-SA"/>
        </w:rPr>
        <w:t>2025年较上年减少2人，退休2人，导致人员工资、保险等人员经费支出以及公用经费支出减少，同时2024年支出中含上年度实施项目支出</w:t>
      </w:r>
      <w:r>
        <w:rPr>
          <w:rFonts w:hint="eastAsia" w:ascii="仿宋" w:hAnsi="仿宋" w:eastAsia="仿宋" w:cs="仿宋"/>
          <w:color w:val="000000"/>
          <w:spacing w:val="0"/>
          <w:kern w:val="2"/>
          <w:sz w:val="32"/>
          <w:szCs w:val="32"/>
          <w:highlight w:val="none"/>
          <w:lang w:val="en-US" w:eastAsia="zh-CN" w:bidi="zh-CN"/>
        </w:rPr>
        <w:t>。</w:t>
      </w:r>
    </w:p>
    <w:p w14:paraId="0A991E60">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firstLine="640" w:firstLineChars="200"/>
        <w:jc w:val="both"/>
        <w:textAlignment w:val="auto"/>
        <w:outlineLvl w:val="9"/>
        <w:rPr>
          <w:rFonts w:hint="default" w:ascii="Times New Roman" w:hAnsi="Times New Roman" w:eastAsia="仿宋_GB2312" w:cs="Times New Roman"/>
          <w:color w:val="auto"/>
          <w:kern w:val="2"/>
          <w:sz w:val="32"/>
          <w:szCs w:val="32"/>
          <w:highlight w:val="none"/>
          <w:lang w:val="en-US" w:eastAsia="zh-CN" w:bidi="ar-SA"/>
        </w:rPr>
      </w:pPr>
    </w:p>
    <w:p w14:paraId="6334CAC0">
      <w:pPr>
        <w:pStyle w:val="2"/>
        <w:rPr>
          <w:rFonts w:hint="eastAsia" w:ascii="仿宋_GB2312" w:eastAsia="仿宋_GB2312"/>
          <w:sz w:val="32"/>
          <w:szCs w:val="32"/>
          <w:lang w:eastAsia="zh-CN"/>
        </w:rPr>
      </w:pPr>
      <w:r>
        <w:rPr>
          <w:rFonts w:hint="eastAsia" w:ascii="仿宋_GB2312" w:eastAsia="仿宋_GB2312"/>
          <w:sz w:val="32"/>
          <w:szCs w:val="32"/>
          <w:lang w:eastAsia="zh-CN"/>
        </w:rPr>
        <w:drawing>
          <wp:inline distT="0" distB="0" distL="114300" distR="114300">
            <wp:extent cx="5256530" cy="2336800"/>
            <wp:effectExtent l="4445" t="4445" r="15875" b="20955"/>
            <wp:docPr id="1"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r>
        <w:rPr>
          <w:sz w:val="32"/>
        </w:rPr>
        <mc:AlternateContent>
          <mc:Choice Requires="wps">
            <w:drawing>
              <wp:anchor distT="0" distB="0" distL="114300" distR="114300" simplePos="0" relativeHeight="251660288" behindDoc="0" locked="0" layoutInCell="1" allowOverlap="1">
                <wp:simplePos x="0" y="0"/>
                <wp:positionH relativeFrom="column">
                  <wp:posOffset>1066800</wp:posOffset>
                </wp:positionH>
                <wp:positionV relativeFrom="paragraph">
                  <wp:posOffset>1903730</wp:posOffset>
                </wp:positionV>
                <wp:extent cx="3623945" cy="280670"/>
                <wp:effectExtent l="0" t="0" r="14605" b="5080"/>
                <wp:wrapNone/>
                <wp:docPr id="13" name="文本框 13"/>
                <wp:cNvGraphicFramePr/>
                <a:graphic xmlns:a="http://schemas.openxmlformats.org/drawingml/2006/main">
                  <a:graphicData uri="http://schemas.microsoft.com/office/word/2010/wordprocessingShape">
                    <wps:wsp>
                      <wps:cNvSpPr txBox="1"/>
                      <wps:spPr>
                        <a:xfrm>
                          <a:off x="2081530" y="5076825"/>
                          <a:ext cx="3623945" cy="28067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442AF5B4">
                            <w:pPr>
                              <w:rPr>
                                <w:rFonts w:hint="default" w:eastAsia="宋体"/>
                                <w:lang w:val="en-US" w:eastAsia="zh-CN"/>
                              </w:rPr>
                            </w:pPr>
                            <w:r>
                              <w:rPr>
                                <w:rFonts w:hint="eastAsia"/>
                                <w:lang w:val="en-US" w:eastAsia="zh-CN"/>
                              </w:rPr>
                              <w:t>2024</w:t>
                            </w:r>
                            <w:r>
                              <w:rPr>
                                <w:rFonts w:hint="eastAsia" w:ascii="Times New Roman" w:eastAsia="宋体"/>
                                <w:lang w:val="en-US" w:eastAsia="zh-CN"/>
                              </w:rPr>
                              <w:t xml:space="preserve">年      </w:t>
                            </w:r>
                            <w:r>
                              <w:rPr>
                                <w:rFonts w:hint="eastAsia"/>
                                <w:lang w:val="en-US" w:eastAsia="zh-CN"/>
                              </w:rPr>
                              <w:t xml:space="preserve">    </w:t>
                            </w:r>
                            <w:r>
                              <w:rPr>
                                <w:rFonts w:hint="eastAsia" w:ascii="Times New Roman" w:eastAsia="宋体"/>
                                <w:lang w:val="en-US" w:eastAsia="zh-CN"/>
                              </w:rPr>
                              <w:t xml:space="preserve">                  </w:t>
                            </w:r>
                            <w:r>
                              <w:rPr>
                                <w:rFonts w:hint="eastAsia"/>
                                <w:lang w:val="en-US" w:eastAsia="zh-CN"/>
                              </w:rPr>
                              <w:t>2025</w:t>
                            </w:r>
                            <w:r>
                              <w:rPr>
                                <w:rFonts w:hint="eastAsia" w:ascii="Times New Roman" w:eastAsia="宋体"/>
                                <w:lang w:val="en-US" w:eastAsia="zh-CN"/>
                              </w:rPr>
                              <w:t>年</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84pt;margin-top:149.9pt;height:22.1pt;width:285.35pt;z-index:251660288;mso-width-relative:page;mso-height-relative:page;" fillcolor="#FFFFFF [3201]" filled="t" stroked="f" coordsize="21600,21600" o:gfxdata="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">
                <v:fill on="t" focussize="0,0"/>
                <v:stroke on="f" weight="0.5pt"/>
                <v:imagedata o:title=""/>
                <o:lock v:ext="edit" aspectratio="f"/>
                <v:textbox>
                  <w:txbxContent>
                    <w:p w14:paraId="442AF5B4">
                      <w:pPr>
                        <w:rPr>
                          <w:rFonts w:hint="default" w:eastAsia="宋体"/>
                          <w:lang w:val="en-US" w:eastAsia="zh-CN"/>
                        </w:rPr>
                      </w:pPr>
                      <w:r>
                        <w:rPr>
                          <w:rFonts w:hint="eastAsia"/>
                          <w:lang w:val="en-US" w:eastAsia="zh-CN"/>
                        </w:rPr>
                        <w:t>2024</w:t>
                      </w:r>
                      <w:r>
                        <w:rPr>
                          <w:rFonts w:hint="eastAsia" w:ascii="Times New Roman" w:eastAsia="宋体"/>
                          <w:lang w:val="en-US" w:eastAsia="zh-CN"/>
                        </w:rPr>
                        <w:t xml:space="preserve">年      </w:t>
                      </w:r>
                      <w:r>
                        <w:rPr>
                          <w:rFonts w:hint="eastAsia"/>
                          <w:lang w:val="en-US" w:eastAsia="zh-CN"/>
                        </w:rPr>
                        <w:t xml:space="preserve">    </w:t>
                      </w:r>
                      <w:r>
                        <w:rPr>
                          <w:rFonts w:hint="eastAsia" w:ascii="Times New Roman" w:eastAsia="宋体"/>
                          <w:lang w:val="en-US" w:eastAsia="zh-CN"/>
                        </w:rPr>
                        <w:t xml:space="preserve">                  </w:t>
                      </w:r>
                      <w:r>
                        <w:rPr>
                          <w:rFonts w:hint="eastAsia"/>
                          <w:lang w:val="en-US" w:eastAsia="zh-CN"/>
                        </w:rPr>
                        <w:t>2025</w:t>
                      </w:r>
                      <w:r>
                        <w:rPr>
                          <w:rFonts w:hint="eastAsia" w:ascii="Times New Roman" w:eastAsia="宋体"/>
                          <w:lang w:val="en-US" w:eastAsia="zh-CN"/>
                        </w:rPr>
                        <w:t>年</w:t>
                      </w:r>
                    </w:p>
                  </w:txbxContent>
                </v:textbox>
              </v:shape>
            </w:pict>
          </mc:Fallback>
        </mc:AlternateContent>
      </w:r>
    </w:p>
    <w:p w14:paraId="20F389B1">
      <w:pPr>
        <w:pStyle w:val="2"/>
        <w:rPr>
          <w:rFonts w:hint="eastAsia" w:ascii="仿宋_GB2312" w:eastAsia="仿宋_GB2312"/>
          <w:sz w:val="32"/>
          <w:szCs w:val="32"/>
          <w:lang w:eastAsia="zh-CN"/>
        </w:rPr>
      </w:pPr>
      <w:r>
        <w:rPr>
          <w:rFonts w:hint="eastAsia" w:ascii="Times New Roman" w:hAnsi="Times New Roman" w:eastAsia="仿宋_GB2312" w:cs="仿宋_GB2312"/>
          <w:color w:val="auto"/>
          <w:sz w:val="32"/>
          <w:szCs w:val="32"/>
          <w:highlight w:val="none"/>
        </w:rPr>
        <w:t>（图1：</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决算总计变动情况图）（柱状图）</w:t>
      </w:r>
    </w:p>
    <w:p w14:paraId="2D8CCE13">
      <w:pPr>
        <w:pStyle w:val="32"/>
        <w:numPr>
          <w:ilvl w:val="0"/>
          <w:numId w:val="1"/>
        </w:numPr>
        <w:spacing w:line="600" w:lineRule="exact"/>
        <w:ind w:left="1360" w:leftChars="0" w:hanging="720" w:firstLineChars="0"/>
        <w:outlineLvl w:val="0"/>
        <w:rPr>
          <w:rStyle w:val="34"/>
          <w:rFonts w:ascii="黑体" w:hAnsi="黑体" w:eastAsia="黑体"/>
          <w:b w:val="0"/>
        </w:rPr>
      </w:pPr>
      <w:bookmarkStart w:id="21" w:name="_Toc3820"/>
      <w:bookmarkStart w:id="22" w:name="_Toc15377206"/>
      <w:bookmarkStart w:id="23" w:name="_Toc15396604"/>
      <w:r>
        <w:rPr>
          <w:rFonts w:hint="eastAsia" w:ascii="黑体" w:hAnsi="黑体" w:eastAsia="黑体"/>
          <w:sz w:val="32"/>
          <w:szCs w:val="32"/>
        </w:rPr>
        <w:t>收</w:t>
      </w:r>
      <w:r>
        <w:rPr>
          <w:rStyle w:val="34"/>
          <w:rFonts w:hint="eastAsia" w:ascii="黑体" w:hAnsi="黑体" w:eastAsia="黑体"/>
          <w:b w:val="0"/>
        </w:rPr>
        <w:t>入决算情况说明</w:t>
      </w:r>
      <w:bookmarkEnd w:id="21"/>
      <w:bookmarkEnd w:id="22"/>
      <w:bookmarkEnd w:id="23"/>
    </w:p>
    <w:p w14:paraId="04F158CE">
      <w:pPr>
        <w:pStyle w:val="2"/>
        <w:keepNext w:val="0"/>
        <w:keepLines w:val="0"/>
        <w:pageBreakBefore w:val="0"/>
        <w:widowControl w:val="0"/>
        <w:kinsoku/>
        <w:wordWrap/>
        <w:overflowPunct/>
        <w:topLinePunct w:val="0"/>
        <w:autoSpaceDE/>
        <w:autoSpaceDN/>
        <w:bidi w:val="0"/>
        <w:adjustRightInd/>
        <w:snapToGrid/>
        <w:spacing w:beforeLines="0" w:line="580" w:lineRule="exact"/>
        <w:ind w:firstLine="640" w:firstLineChars="200"/>
        <w:textAlignment w:val="auto"/>
        <w:rPr>
          <w:rFonts w:hint="default" w:ascii="Times New Roman" w:hAnsi="Times New Roman" w:eastAsia="仿宋" w:cs="Times New Roman"/>
          <w:b/>
          <w:sz w:val="32"/>
          <w:szCs w:val="32"/>
        </w:rPr>
      </w:pPr>
      <w:r>
        <w:rPr>
          <w:rFonts w:hint="eastAsia" w:ascii="Times New Roman" w:cs="Times New Roman"/>
          <w:b w:val="0"/>
          <w:bCs w:val="0"/>
          <w:color w:val="000000"/>
          <w:kern w:val="2"/>
          <w:sz w:val="32"/>
          <w:szCs w:val="32"/>
          <w:lang w:val="en-US" w:eastAsia="zh-CN" w:bidi="ar"/>
        </w:rPr>
        <w:t>2025</w:t>
      </w:r>
      <w:r>
        <w:rPr>
          <w:rFonts w:hint="default" w:ascii="Times New Roman" w:hAnsi="Times New Roman" w:eastAsia="仿宋_GB2312" w:cs="Times New Roman"/>
          <w:b w:val="0"/>
          <w:bCs w:val="0"/>
          <w:color w:val="000000"/>
          <w:kern w:val="2"/>
          <w:sz w:val="32"/>
          <w:szCs w:val="32"/>
          <w:lang w:val="en-US" w:eastAsia="zh-CN" w:bidi="ar"/>
        </w:rPr>
        <w:t>年度本年收入合计</w:t>
      </w:r>
      <w:r>
        <w:rPr>
          <w:rFonts w:hint="eastAsia" w:eastAsia="仿宋_GB2312" w:cs="Times New Roman"/>
          <w:color w:val="auto"/>
          <w:kern w:val="2"/>
          <w:sz w:val="32"/>
          <w:szCs w:val="32"/>
          <w:highlight w:val="none"/>
          <w:lang w:val="en-US" w:eastAsia="zh-CN" w:bidi="ar-SA"/>
        </w:rPr>
        <w:t>1634.96</w:t>
      </w:r>
      <w:r>
        <w:rPr>
          <w:rFonts w:hint="default" w:ascii="Times New Roman" w:hAnsi="Times New Roman" w:eastAsia="仿宋_GB2312" w:cs="Times New Roman"/>
          <w:b w:val="0"/>
          <w:bCs w:val="0"/>
          <w:color w:val="000000"/>
          <w:kern w:val="2"/>
          <w:sz w:val="32"/>
          <w:szCs w:val="32"/>
          <w:lang w:val="en-US" w:eastAsia="zh-CN" w:bidi="ar"/>
        </w:rPr>
        <w:t>万元，其中：一般公共预算财政拨款收入</w:t>
      </w:r>
      <w:r>
        <w:rPr>
          <w:rFonts w:hint="eastAsia" w:eastAsia="仿宋_GB2312" w:cs="Times New Roman"/>
          <w:color w:val="auto"/>
          <w:kern w:val="2"/>
          <w:sz w:val="32"/>
          <w:szCs w:val="32"/>
          <w:highlight w:val="none"/>
          <w:lang w:val="en-US" w:eastAsia="zh-CN" w:bidi="ar-SA"/>
        </w:rPr>
        <w:t>1634.96</w:t>
      </w:r>
      <w:r>
        <w:rPr>
          <w:rFonts w:hint="default" w:ascii="Times New Roman" w:hAnsi="Times New Roman" w:eastAsia="仿宋_GB2312" w:cs="Times New Roman"/>
          <w:b w:val="0"/>
          <w:bCs w:val="0"/>
          <w:color w:val="000000"/>
          <w:kern w:val="2"/>
          <w:sz w:val="32"/>
          <w:szCs w:val="32"/>
          <w:lang w:val="en-US" w:eastAsia="zh-CN" w:bidi="ar"/>
        </w:rPr>
        <w:t>万元，占100%；政府性基金预算财政拨款收入0万元，占0%；国有资本经营预算财政拨款收入0万元，占0%；上级补助收入0万元，占0%；事业收入0万元，占0%；经营收入0万元，占0%；附属单位上缴收入0万元，占0%；其他收入0万元，占0%。</w:t>
      </w:r>
    </w:p>
    <w:p w14:paraId="13047825">
      <w:pPr>
        <w:pStyle w:val="2"/>
        <w:rPr>
          <w:rFonts w:hint="default" w:ascii="Times New Roman" w:hAnsi="Times New Roman" w:eastAsia="仿宋" w:cs="Times New Roman"/>
          <w:color w:val="000000"/>
          <w:sz w:val="32"/>
          <w:szCs w:val="32"/>
          <w:lang w:eastAsia="zh-CN"/>
        </w:rPr>
      </w:pPr>
      <w:r>
        <w:rPr>
          <w:rFonts w:hint="default" w:ascii="Times New Roman" w:hAnsi="Times New Roman" w:eastAsia="仿宋" w:cs="Times New Roman"/>
          <w:color w:val="000000"/>
          <w:sz w:val="32"/>
          <w:szCs w:val="32"/>
          <w:lang w:eastAsia="zh-CN"/>
        </w:rPr>
        <w:drawing>
          <wp:inline distT="0" distB="0" distL="114300" distR="114300">
            <wp:extent cx="5080000" cy="2243455"/>
            <wp:effectExtent l="4445" t="4445" r="20955" b="19050"/>
            <wp:docPr id="2"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699725EB">
      <w:pPr>
        <w:pStyle w:val="2"/>
        <w:keepNext w:val="0"/>
        <w:keepLines w:val="0"/>
        <w:pageBreakBefore w:val="0"/>
        <w:widowControl w:val="0"/>
        <w:kinsoku/>
        <w:wordWrap/>
        <w:overflowPunct/>
        <w:topLinePunct w:val="0"/>
        <w:autoSpaceDE/>
        <w:autoSpaceDN/>
        <w:bidi w:val="0"/>
        <w:adjustRightInd/>
        <w:snapToGrid/>
        <w:spacing w:beforeLines="0" w:line="580" w:lineRule="exact"/>
        <w:ind w:firstLine="640" w:firstLineChars="200"/>
        <w:textAlignment w:val="auto"/>
        <w:rPr>
          <w:rFonts w:hint="default" w:ascii="Times New Roman" w:hAnsi="Times New Roman" w:eastAsia="仿宋_GB2312" w:cs="Times New Roman"/>
          <w:b w:val="0"/>
          <w:bCs w:val="0"/>
          <w:color w:val="000000"/>
          <w:kern w:val="2"/>
          <w:sz w:val="32"/>
          <w:szCs w:val="32"/>
          <w:lang w:val="en-US" w:eastAsia="zh-CN" w:bidi="ar"/>
        </w:rPr>
      </w:pPr>
      <w:r>
        <w:rPr>
          <w:rFonts w:hint="default" w:ascii="Times New Roman" w:hAnsi="Times New Roman" w:eastAsia="仿宋_GB2312" w:cs="Times New Roman"/>
          <w:b w:val="0"/>
          <w:bCs w:val="0"/>
          <w:color w:val="000000"/>
          <w:kern w:val="2"/>
          <w:sz w:val="32"/>
          <w:szCs w:val="32"/>
          <w:lang w:val="en-US" w:eastAsia="zh-CN" w:bidi="ar"/>
        </w:rPr>
        <w:t>（图2：收入决算结构图）（饼状图）</w:t>
      </w:r>
    </w:p>
    <w:p w14:paraId="775101D6">
      <w:pPr>
        <w:pStyle w:val="32"/>
        <w:numPr>
          <w:ilvl w:val="0"/>
          <w:numId w:val="1"/>
        </w:numPr>
        <w:spacing w:line="600" w:lineRule="exact"/>
        <w:ind w:left="1360" w:leftChars="0" w:hanging="720" w:firstLineChars="0"/>
        <w:outlineLvl w:val="0"/>
        <w:rPr>
          <w:rStyle w:val="34"/>
          <w:rFonts w:hint="default" w:ascii="Times New Roman" w:hAnsi="Times New Roman" w:eastAsia="黑体" w:cs="Times New Roman"/>
          <w:b w:val="0"/>
        </w:rPr>
      </w:pPr>
      <w:bookmarkStart w:id="24" w:name="_Toc15377207"/>
      <w:bookmarkStart w:id="25" w:name="_Toc15396605"/>
      <w:bookmarkStart w:id="26" w:name="_Toc16746"/>
      <w:r>
        <w:rPr>
          <w:rFonts w:hint="default" w:ascii="Times New Roman" w:hAnsi="Times New Roman" w:eastAsia="黑体" w:cs="Times New Roman"/>
          <w:sz w:val="32"/>
          <w:szCs w:val="32"/>
        </w:rPr>
        <w:t>支</w:t>
      </w:r>
      <w:r>
        <w:rPr>
          <w:rStyle w:val="34"/>
          <w:rFonts w:hint="default" w:ascii="Times New Roman" w:hAnsi="Times New Roman" w:eastAsia="黑体" w:cs="Times New Roman"/>
          <w:b w:val="0"/>
        </w:rPr>
        <w:t>出决算情况说明</w:t>
      </w:r>
      <w:bookmarkEnd w:id="24"/>
      <w:bookmarkEnd w:id="25"/>
      <w:bookmarkEnd w:id="26"/>
    </w:p>
    <w:p w14:paraId="3A24E9EF">
      <w:pPr>
        <w:pStyle w:val="32"/>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firstLine="640" w:firstLineChars="200"/>
        <w:jc w:val="left"/>
        <w:textAlignment w:val="auto"/>
        <w:outlineLvl w:val="9"/>
        <w:rPr>
          <w:rFonts w:hint="default" w:ascii="Times New Roman" w:hAnsi="Times New Roman" w:eastAsia="仿宋_GB2312" w:cs="Times New Roman"/>
          <w:color w:val="auto"/>
          <w:sz w:val="32"/>
          <w:szCs w:val="32"/>
          <w:highlight w:val="none"/>
          <w:lang w:eastAsia="zh-CN"/>
        </w:rPr>
      </w:pPr>
      <w:r>
        <w:rPr>
          <w:rFonts w:hint="eastAsia" w:eastAsia="仿宋_GB2312" w:cs="Times New Roman"/>
          <w:color w:val="auto"/>
          <w:sz w:val="32"/>
          <w:szCs w:val="32"/>
          <w:highlight w:val="none"/>
          <w:lang w:eastAsia="zh-CN"/>
        </w:rPr>
        <w:t>2025</w:t>
      </w:r>
      <w:r>
        <w:rPr>
          <w:rFonts w:hint="default" w:ascii="Times New Roman" w:hAnsi="Times New Roman" w:eastAsia="仿宋_GB2312" w:cs="Times New Roman"/>
          <w:color w:val="auto"/>
          <w:sz w:val="32"/>
          <w:szCs w:val="32"/>
          <w:highlight w:val="none"/>
          <w:lang w:eastAsia="zh-CN"/>
        </w:rPr>
        <w:t>年度本年支出合计</w:t>
      </w:r>
      <w:r>
        <w:rPr>
          <w:rFonts w:hint="eastAsia" w:eastAsia="仿宋_GB2312" w:cs="Times New Roman"/>
          <w:color w:val="auto"/>
          <w:kern w:val="2"/>
          <w:sz w:val="32"/>
          <w:szCs w:val="32"/>
          <w:highlight w:val="none"/>
          <w:lang w:val="en-US" w:eastAsia="zh-CN" w:bidi="ar-SA"/>
        </w:rPr>
        <w:t>1634.96</w:t>
      </w:r>
      <w:r>
        <w:rPr>
          <w:rFonts w:hint="default" w:ascii="Times New Roman" w:hAnsi="Times New Roman" w:eastAsia="仿宋_GB2312" w:cs="Times New Roman"/>
          <w:color w:val="auto"/>
          <w:sz w:val="32"/>
          <w:szCs w:val="32"/>
          <w:highlight w:val="none"/>
          <w:lang w:eastAsia="zh-CN"/>
        </w:rPr>
        <w:t>万元，其中：基本支出</w:t>
      </w:r>
      <w:r>
        <w:rPr>
          <w:rFonts w:hint="eastAsia" w:ascii="仿宋" w:hAnsi="仿宋" w:eastAsia="仿宋" w:cs="仿宋"/>
          <w:color w:val="000000"/>
          <w:spacing w:val="0"/>
          <w:kern w:val="2"/>
          <w:sz w:val="32"/>
          <w:szCs w:val="32"/>
          <w:highlight w:val="none"/>
          <w:lang w:val="en-US" w:eastAsia="zh-CN" w:bidi="zh-CN"/>
        </w:rPr>
        <w:t>1136.08</w:t>
      </w:r>
      <w:r>
        <w:rPr>
          <w:rFonts w:hint="default" w:ascii="Times New Roman" w:hAnsi="Times New Roman" w:eastAsia="仿宋_GB2312" w:cs="Times New Roman"/>
          <w:color w:val="auto"/>
          <w:sz w:val="32"/>
          <w:szCs w:val="32"/>
          <w:highlight w:val="none"/>
          <w:lang w:eastAsia="zh-CN"/>
        </w:rPr>
        <w:t>万元，占</w:t>
      </w:r>
      <w:r>
        <w:rPr>
          <w:rFonts w:hint="eastAsia" w:eastAsia="仿宋_GB2312" w:cs="Times New Roman"/>
          <w:sz w:val="32"/>
          <w:szCs w:val="32"/>
          <w:lang w:val="en-US" w:eastAsia="zh-CN"/>
        </w:rPr>
        <w:t>69</w:t>
      </w:r>
      <w:r>
        <w:rPr>
          <w:rFonts w:hint="default" w:ascii="Times New Roman" w:hAnsi="Times New Roman" w:eastAsia="仿宋_GB2312" w:cs="Times New Roman"/>
          <w:color w:val="auto"/>
          <w:sz w:val="32"/>
          <w:szCs w:val="32"/>
          <w:highlight w:val="none"/>
          <w:lang w:eastAsia="zh-CN"/>
        </w:rPr>
        <w:t>%；项目支出</w:t>
      </w:r>
      <w:r>
        <w:rPr>
          <w:rFonts w:hint="eastAsia" w:eastAsia="仿宋_GB2312" w:cs="Times New Roman"/>
          <w:sz w:val="32"/>
          <w:szCs w:val="32"/>
          <w:lang w:val="en-US" w:eastAsia="zh-CN"/>
        </w:rPr>
        <w:t>498.88</w:t>
      </w:r>
      <w:r>
        <w:rPr>
          <w:rFonts w:hint="default" w:ascii="Times New Roman" w:hAnsi="Times New Roman" w:eastAsia="仿宋_GB2312" w:cs="Times New Roman"/>
          <w:color w:val="auto"/>
          <w:sz w:val="32"/>
          <w:szCs w:val="32"/>
          <w:highlight w:val="none"/>
          <w:lang w:eastAsia="zh-CN"/>
        </w:rPr>
        <w:t>万元，占</w:t>
      </w:r>
      <w:r>
        <w:rPr>
          <w:rFonts w:hint="eastAsia" w:eastAsia="仿宋_GB2312" w:cs="Times New Roman"/>
          <w:sz w:val="32"/>
          <w:szCs w:val="32"/>
          <w:lang w:val="en-US" w:eastAsia="zh-CN"/>
        </w:rPr>
        <w:t>31</w:t>
      </w:r>
      <w:r>
        <w:rPr>
          <w:rFonts w:hint="default" w:ascii="Times New Roman" w:hAnsi="Times New Roman" w:eastAsia="仿宋_GB2312" w:cs="Times New Roman"/>
          <w:color w:val="auto"/>
          <w:sz w:val="32"/>
          <w:szCs w:val="32"/>
          <w:highlight w:val="none"/>
          <w:lang w:eastAsia="zh-CN"/>
        </w:rPr>
        <w:t>%；上缴上级支出</w:t>
      </w:r>
      <w:r>
        <w:rPr>
          <w:rFonts w:hint="default" w:ascii="Times New Roman" w:hAnsi="Times New Roman" w:eastAsia="仿宋_GB2312" w:cs="Times New Roman"/>
          <w:sz w:val="32"/>
          <w:szCs w:val="32"/>
        </w:rPr>
        <w:t>0</w:t>
      </w:r>
      <w:r>
        <w:rPr>
          <w:rFonts w:hint="default" w:ascii="Times New Roman" w:hAnsi="Times New Roman" w:eastAsia="仿宋_GB2312" w:cs="Times New Roman"/>
          <w:color w:val="auto"/>
          <w:sz w:val="32"/>
          <w:szCs w:val="32"/>
          <w:highlight w:val="none"/>
          <w:lang w:eastAsia="zh-CN"/>
        </w:rPr>
        <w:t>万元，占</w:t>
      </w:r>
      <w:r>
        <w:rPr>
          <w:rFonts w:hint="default" w:ascii="Times New Roman" w:hAnsi="Times New Roman" w:eastAsia="仿宋_GB2312" w:cs="Times New Roman"/>
          <w:sz w:val="32"/>
          <w:szCs w:val="32"/>
        </w:rPr>
        <w:t>0</w:t>
      </w:r>
      <w:r>
        <w:rPr>
          <w:rFonts w:hint="default" w:ascii="Times New Roman" w:hAnsi="Times New Roman" w:eastAsia="仿宋_GB2312" w:cs="Times New Roman"/>
          <w:color w:val="auto"/>
          <w:sz w:val="32"/>
          <w:szCs w:val="32"/>
          <w:highlight w:val="none"/>
          <w:lang w:eastAsia="zh-CN"/>
        </w:rPr>
        <w:t>%；经营支出</w:t>
      </w:r>
      <w:r>
        <w:rPr>
          <w:rFonts w:hint="default" w:ascii="Times New Roman" w:hAnsi="Times New Roman" w:eastAsia="仿宋_GB2312" w:cs="Times New Roman"/>
          <w:sz w:val="32"/>
          <w:szCs w:val="32"/>
        </w:rPr>
        <w:t>0</w:t>
      </w:r>
      <w:r>
        <w:rPr>
          <w:rFonts w:hint="default" w:ascii="Times New Roman" w:hAnsi="Times New Roman" w:eastAsia="仿宋_GB2312" w:cs="Times New Roman"/>
          <w:color w:val="auto"/>
          <w:sz w:val="32"/>
          <w:szCs w:val="32"/>
          <w:highlight w:val="none"/>
          <w:lang w:eastAsia="zh-CN"/>
        </w:rPr>
        <w:t>万元，占</w:t>
      </w:r>
      <w:r>
        <w:rPr>
          <w:rFonts w:hint="default" w:ascii="Times New Roman" w:hAnsi="Times New Roman" w:eastAsia="仿宋_GB2312" w:cs="Times New Roman"/>
          <w:sz w:val="32"/>
          <w:szCs w:val="32"/>
        </w:rPr>
        <w:t>0</w:t>
      </w:r>
      <w:r>
        <w:rPr>
          <w:rFonts w:hint="default" w:ascii="Times New Roman" w:hAnsi="Times New Roman" w:eastAsia="仿宋_GB2312" w:cs="Times New Roman"/>
          <w:color w:val="auto"/>
          <w:sz w:val="32"/>
          <w:szCs w:val="32"/>
          <w:highlight w:val="none"/>
          <w:lang w:eastAsia="zh-CN"/>
        </w:rPr>
        <w:t>%；对附属单位补助支出</w:t>
      </w:r>
      <w:r>
        <w:rPr>
          <w:rFonts w:hint="default" w:ascii="Times New Roman" w:hAnsi="Times New Roman" w:eastAsia="仿宋_GB2312" w:cs="Times New Roman"/>
          <w:sz w:val="32"/>
          <w:szCs w:val="32"/>
        </w:rPr>
        <w:t>0</w:t>
      </w:r>
      <w:r>
        <w:rPr>
          <w:rFonts w:hint="default" w:ascii="Times New Roman" w:hAnsi="Times New Roman" w:eastAsia="仿宋_GB2312" w:cs="Times New Roman"/>
          <w:color w:val="auto"/>
          <w:sz w:val="32"/>
          <w:szCs w:val="32"/>
          <w:highlight w:val="none"/>
          <w:lang w:eastAsia="zh-CN"/>
        </w:rPr>
        <w:t>万元，占</w:t>
      </w:r>
      <w:r>
        <w:rPr>
          <w:rFonts w:hint="default" w:ascii="Times New Roman" w:hAnsi="Times New Roman" w:eastAsia="仿宋_GB2312" w:cs="Times New Roman"/>
          <w:sz w:val="32"/>
          <w:szCs w:val="32"/>
        </w:rPr>
        <w:t>0</w:t>
      </w:r>
      <w:r>
        <w:rPr>
          <w:rFonts w:hint="default" w:ascii="Times New Roman" w:hAnsi="Times New Roman" w:eastAsia="仿宋_GB2312" w:cs="Times New Roman"/>
          <w:color w:val="auto"/>
          <w:sz w:val="32"/>
          <w:szCs w:val="32"/>
          <w:highlight w:val="none"/>
          <w:lang w:eastAsia="zh-CN"/>
        </w:rPr>
        <w:t>%。</w:t>
      </w:r>
    </w:p>
    <w:p w14:paraId="2B5C3EB5">
      <w:pPr>
        <w:pStyle w:val="2"/>
        <w:rPr>
          <w:rFonts w:hint="default" w:ascii="Times New Roman" w:hAnsi="Times New Roman" w:eastAsia="仿宋" w:cs="Times New Roman"/>
          <w:color w:val="000000"/>
          <w:sz w:val="32"/>
          <w:szCs w:val="32"/>
          <w:lang w:eastAsia="zh-CN"/>
        </w:rPr>
      </w:pPr>
      <w:r>
        <w:rPr>
          <w:rFonts w:hint="default" w:ascii="Times New Roman" w:hAnsi="Times New Roman" w:eastAsia="仿宋" w:cs="Times New Roman"/>
          <w:color w:val="000000"/>
          <w:sz w:val="32"/>
          <w:szCs w:val="32"/>
          <w:lang w:eastAsia="zh-CN"/>
        </w:rPr>
        <w:drawing>
          <wp:inline distT="0" distB="0" distL="114300" distR="114300">
            <wp:extent cx="5080000" cy="2255520"/>
            <wp:effectExtent l="4445" t="4445" r="20955" b="6985"/>
            <wp:docPr id="3"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29DC1E84">
      <w:pPr>
        <w:pStyle w:val="2"/>
        <w:keepNext w:val="0"/>
        <w:keepLines w:val="0"/>
        <w:pageBreakBefore w:val="0"/>
        <w:widowControl w:val="0"/>
        <w:kinsoku/>
        <w:wordWrap/>
        <w:overflowPunct/>
        <w:topLinePunct w:val="0"/>
        <w:autoSpaceDE/>
        <w:autoSpaceDN/>
        <w:bidi w:val="0"/>
        <w:adjustRightInd/>
        <w:snapToGrid/>
        <w:spacing w:beforeLines="0" w:line="580" w:lineRule="exact"/>
        <w:ind w:firstLine="640" w:firstLineChars="200"/>
        <w:textAlignment w:val="auto"/>
        <w:rPr>
          <w:rFonts w:hint="default" w:ascii="Times New Roman" w:hAnsi="Times New Roman" w:eastAsia="仿宋_GB2312" w:cs="Times New Roman"/>
          <w:b w:val="0"/>
          <w:bCs w:val="0"/>
          <w:color w:val="000000"/>
          <w:kern w:val="2"/>
          <w:sz w:val="32"/>
          <w:szCs w:val="32"/>
          <w:lang w:val="en-US" w:eastAsia="zh-CN" w:bidi="ar"/>
        </w:rPr>
      </w:pPr>
      <w:r>
        <w:rPr>
          <w:rFonts w:hint="default" w:ascii="Times New Roman" w:hAnsi="Times New Roman" w:eastAsia="仿宋_GB2312" w:cs="Times New Roman"/>
          <w:b w:val="0"/>
          <w:bCs w:val="0"/>
          <w:color w:val="000000"/>
          <w:kern w:val="2"/>
          <w:sz w:val="32"/>
          <w:szCs w:val="32"/>
          <w:lang w:val="en-US" w:eastAsia="zh-CN" w:bidi="ar"/>
        </w:rPr>
        <w:t>（图3：支出决算结构图）（饼状图）</w:t>
      </w:r>
    </w:p>
    <w:p w14:paraId="0AA66D08">
      <w:pPr>
        <w:spacing w:line="600" w:lineRule="exact"/>
        <w:ind w:firstLine="640" w:firstLineChars="200"/>
        <w:outlineLvl w:val="0"/>
        <w:rPr>
          <w:rStyle w:val="34"/>
          <w:rFonts w:hint="default" w:ascii="Times New Roman" w:hAnsi="Times New Roman" w:eastAsia="黑体" w:cs="Times New Roman"/>
          <w:b w:val="0"/>
        </w:rPr>
      </w:pPr>
      <w:bookmarkStart w:id="27" w:name="_Toc15396606"/>
      <w:bookmarkStart w:id="28" w:name="_Toc15377208"/>
      <w:bookmarkStart w:id="29" w:name="_Toc21770"/>
      <w:r>
        <w:rPr>
          <w:rFonts w:hint="default" w:ascii="Times New Roman" w:hAnsi="Times New Roman" w:eastAsia="黑体" w:cs="Times New Roman"/>
          <w:sz w:val="32"/>
          <w:szCs w:val="32"/>
        </w:rPr>
        <w:t>四、财</w:t>
      </w:r>
      <w:r>
        <w:rPr>
          <w:rStyle w:val="34"/>
          <w:rFonts w:hint="default" w:ascii="Times New Roman" w:hAnsi="Times New Roman" w:eastAsia="黑体" w:cs="Times New Roman"/>
          <w:b w:val="0"/>
        </w:rPr>
        <w:t>政拨款收入支出决算总体情况说明</w:t>
      </w:r>
      <w:bookmarkEnd w:id="27"/>
      <w:bookmarkEnd w:id="28"/>
      <w:bookmarkEnd w:id="29"/>
    </w:p>
    <w:p w14:paraId="7CFF241A">
      <w:pPr>
        <w:ind w:firstLine="720" w:firstLineChars="225"/>
        <w:rPr>
          <w:rFonts w:hint="default" w:ascii="Times New Roman" w:hAnsi="Times New Roman" w:eastAsia="仿宋_GB2312" w:cs="Times New Roman"/>
          <w:color w:val="auto"/>
          <w:kern w:val="2"/>
          <w:sz w:val="32"/>
          <w:szCs w:val="32"/>
          <w:highlight w:val="none"/>
          <w:lang w:val="en-US" w:eastAsia="zh-CN" w:bidi="ar-SA"/>
        </w:rPr>
      </w:pPr>
      <w:r>
        <w:rPr>
          <w:rFonts w:hint="eastAsia" w:eastAsia="仿宋_GB2312" w:cs="Times New Roman"/>
          <w:color w:val="auto"/>
          <w:kern w:val="2"/>
          <w:sz w:val="32"/>
          <w:szCs w:val="32"/>
          <w:highlight w:val="none"/>
          <w:lang w:val="en-US" w:eastAsia="zh-CN" w:bidi="ar-SA"/>
        </w:rPr>
        <w:t>2025</w:t>
      </w:r>
      <w:r>
        <w:rPr>
          <w:rFonts w:hint="default" w:ascii="Times New Roman" w:hAnsi="Times New Roman" w:eastAsia="仿宋_GB2312" w:cs="Times New Roman"/>
          <w:color w:val="auto"/>
          <w:kern w:val="2"/>
          <w:sz w:val="32"/>
          <w:szCs w:val="32"/>
          <w:highlight w:val="none"/>
          <w:lang w:val="en-US" w:eastAsia="zh-CN" w:bidi="ar-SA"/>
        </w:rPr>
        <w:t>年度财政拨款收入、支出总计均为</w:t>
      </w:r>
      <w:r>
        <w:rPr>
          <w:rFonts w:hint="eastAsia" w:eastAsia="仿宋_GB2312" w:cs="Times New Roman"/>
          <w:color w:val="auto"/>
          <w:kern w:val="2"/>
          <w:sz w:val="32"/>
          <w:szCs w:val="32"/>
          <w:highlight w:val="none"/>
          <w:lang w:val="en-US" w:eastAsia="zh-CN" w:bidi="ar-SA"/>
        </w:rPr>
        <w:t>1634.96</w:t>
      </w:r>
      <w:r>
        <w:rPr>
          <w:rFonts w:hint="default" w:ascii="Times New Roman" w:hAnsi="Times New Roman" w:eastAsia="仿宋_GB2312" w:cs="Times New Roman"/>
          <w:color w:val="auto"/>
          <w:kern w:val="2"/>
          <w:sz w:val="32"/>
          <w:szCs w:val="32"/>
          <w:highlight w:val="none"/>
          <w:lang w:val="en-US" w:eastAsia="zh-CN" w:bidi="ar-SA"/>
        </w:rPr>
        <w:t>万元。与</w:t>
      </w:r>
      <w:r>
        <w:rPr>
          <w:rFonts w:hint="eastAsia" w:eastAsia="仿宋_GB2312" w:cs="Times New Roman"/>
          <w:color w:val="auto"/>
          <w:kern w:val="2"/>
          <w:sz w:val="32"/>
          <w:szCs w:val="32"/>
          <w:highlight w:val="none"/>
          <w:lang w:val="en-US" w:eastAsia="zh-CN" w:bidi="ar-SA"/>
        </w:rPr>
        <w:t>2024</w:t>
      </w:r>
      <w:r>
        <w:rPr>
          <w:rFonts w:hint="default" w:ascii="Times New Roman" w:hAnsi="Times New Roman" w:eastAsia="仿宋_GB2312" w:cs="Times New Roman"/>
          <w:color w:val="auto"/>
          <w:kern w:val="2"/>
          <w:sz w:val="32"/>
          <w:szCs w:val="32"/>
          <w:highlight w:val="none"/>
          <w:lang w:val="en-US" w:eastAsia="zh-CN" w:bidi="ar-SA"/>
        </w:rPr>
        <w:t>年度相比，财政拨款收入总计、支出总计各</w:t>
      </w:r>
      <w:r>
        <w:rPr>
          <w:rFonts w:hint="eastAsia" w:eastAsia="仿宋_GB2312" w:cs="Times New Roman"/>
          <w:color w:val="auto"/>
          <w:kern w:val="2"/>
          <w:sz w:val="32"/>
          <w:szCs w:val="32"/>
          <w:highlight w:val="none"/>
          <w:lang w:val="en-US" w:eastAsia="zh-CN" w:bidi="ar-SA"/>
        </w:rPr>
        <w:t>减少</w:t>
      </w:r>
      <w:r>
        <w:rPr>
          <w:rFonts w:hint="eastAsia" w:eastAsia="仿宋" w:cs="Times New Roman"/>
          <w:color w:val="000000"/>
          <w:spacing w:val="0"/>
          <w:kern w:val="2"/>
          <w:sz w:val="32"/>
          <w:szCs w:val="32"/>
          <w:highlight w:val="none"/>
          <w:lang w:val="en-US" w:eastAsia="zh-CN" w:bidi="zh-CN"/>
        </w:rPr>
        <w:t>68.73</w:t>
      </w:r>
      <w:r>
        <w:rPr>
          <w:rFonts w:hint="default" w:ascii="Times New Roman" w:hAnsi="Times New Roman" w:eastAsia="仿宋_GB2312" w:cs="Times New Roman"/>
          <w:color w:val="auto"/>
          <w:kern w:val="2"/>
          <w:sz w:val="32"/>
          <w:szCs w:val="32"/>
          <w:highlight w:val="none"/>
          <w:lang w:val="en-US" w:eastAsia="zh-CN" w:bidi="ar-SA"/>
        </w:rPr>
        <w:t>万元。主要变动原因是</w:t>
      </w:r>
      <w:r>
        <w:rPr>
          <w:rFonts w:hint="eastAsia" w:eastAsia="仿宋_GB2312" w:cs="Times New Roman"/>
          <w:color w:val="auto"/>
          <w:kern w:val="2"/>
          <w:sz w:val="32"/>
          <w:szCs w:val="32"/>
          <w:highlight w:val="none"/>
          <w:lang w:val="en-US" w:eastAsia="zh-CN" w:bidi="ar-SA"/>
        </w:rPr>
        <w:t>2025年较上年减少2人，退休2人，导致人员工资、保险等人员经费支出以及公用经费支出减少，同时2024年支出中含上年度实施项目支出</w:t>
      </w:r>
      <w:r>
        <w:rPr>
          <w:rFonts w:hint="eastAsia" w:ascii="仿宋" w:hAnsi="仿宋" w:eastAsia="仿宋" w:cs="仿宋"/>
          <w:color w:val="000000"/>
          <w:spacing w:val="0"/>
          <w:kern w:val="2"/>
          <w:sz w:val="32"/>
          <w:szCs w:val="32"/>
          <w:highlight w:val="none"/>
          <w:lang w:val="en-US" w:eastAsia="zh-CN" w:bidi="zh-CN"/>
        </w:rPr>
        <w:t>。</w:t>
      </w:r>
    </w:p>
    <w:p w14:paraId="21C1008C">
      <w:pPr>
        <w:pStyle w:val="2"/>
        <w:rPr>
          <w:rFonts w:hint="default" w:ascii="Times New Roman" w:hAnsi="Times New Roman" w:eastAsia="仿宋_GB2312" w:cs="Times New Roman"/>
          <w:sz w:val="32"/>
          <w:szCs w:val="32"/>
          <w:lang w:eastAsia="zh-CN"/>
        </w:rPr>
      </w:pPr>
      <w:r>
        <w:rPr>
          <w:rFonts w:hint="default" w:ascii="Times New Roman" w:hAnsi="Times New Roman" w:cs="Times New Roman"/>
          <w:sz w:val="32"/>
        </w:rPr>
        <mc:AlternateContent>
          <mc:Choice Requires="wps">
            <w:drawing>
              <wp:anchor distT="0" distB="0" distL="114300" distR="114300" simplePos="0" relativeHeight="251659264" behindDoc="0" locked="0" layoutInCell="1" allowOverlap="1">
                <wp:simplePos x="0" y="0"/>
                <wp:positionH relativeFrom="column">
                  <wp:posOffset>1109345</wp:posOffset>
                </wp:positionH>
                <wp:positionV relativeFrom="paragraph">
                  <wp:posOffset>2580640</wp:posOffset>
                </wp:positionV>
                <wp:extent cx="3623945" cy="280670"/>
                <wp:effectExtent l="0" t="0" r="14605" b="5080"/>
                <wp:wrapNone/>
                <wp:docPr id="11" name="文本框 11"/>
                <wp:cNvGraphicFramePr/>
                <a:graphic xmlns:a="http://schemas.openxmlformats.org/drawingml/2006/main">
                  <a:graphicData uri="http://schemas.microsoft.com/office/word/2010/wordprocessingShape">
                    <wps:wsp>
                      <wps:cNvSpPr txBox="1"/>
                      <wps:spPr>
                        <a:xfrm>
                          <a:off x="2282825" y="5256530"/>
                          <a:ext cx="3623945" cy="280670"/>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62CD1E2A">
                            <w:pPr>
                              <w:rPr>
                                <w:rFonts w:hint="default" w:eastAsia="宋体"/>
                                <w:lang w:val="en-US" w:eastAsia="zh-CN"/>
                              </w:rPr>
                            </w:pPr>
                            <w:r>
                              <w:rPr>
                                <w:rFonts w:hint="eastAsia"/>
                                <w:lang w:val="en-US" w:eastAsia="zh-CN"/>
                              </w:rPr>
                              <w:t>2024年                             2025年</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87.35pt;margin-top:203.2pt;height:22.1pt;width:285.35pt;z-index:251659264;mso-width-relative:page;mso-height-relative:page;" fillcolor="#FFFFFF [3201]" filled="t" stroked="f" coordsize="21600,21600" o:gfxdata="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">
                <v:fill on="t" focussize="0,0"/>
                <v:stroke on="f" weight="0.5pt"/>
                <v:imagedata o:title=""/>
                <o:lock v:ext="edit" aspectratio="f"/>
                <v:textbox>
                  <w:txbxContent>
                    <w:p w14:paraId="62CD1E2A">
                      <w:pPr>
                        <w:rPr>
                          <w:rFonts w:hint="default" w:eastAsia="宋体"/>
                          <w:lang w:val="en-US" w:eastAsia="zh-CN"/>
                        </w:rPr>
                      </w:pPr>
                      <w:r>
                        <w:rPr>
                          <w:rFonts w:hint="eastAsia"/>
                          <w:lang w:val="en-US" w:eastAsia="zh-CN"/>
                        </w:rPr>
                        <w:t>2024年                             2025年</w:t>
                      </w:r>
                    </w:p>
                  </w:txbxContent>
                </v:textbox>
              </v:shape>
            </w:pict>
          </mc:Fallback>
        </mc:AlternateContent>
      </w:r>
      <w:r>
        <w:rPr>
          <w:rFonts w:hint="default" w:ascii="Times New Roman" w:hAnsi="Times New Roman" w:eastAsia="仿宋_GB2312" w:cs="Times New Roman"/>
          <w:sz w:val="32"/>
          <w:szCs w:val="32"/>
          <w:lang w:eastAsia="zh-CN"/>
        </w:rPr>
        <w:drawing>
          <wp:inline distT="0" distB="0" distL="114300" distR="114300">
            <wp:extent cx="5246370" cy="3031490"/>
            <wp:effectExtent l="4445" t="4445" r="6985" b="12065"/>
            <wp:docPr id="8" name="图表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05D0CC8B">
      <w:pPr>
        <w:pStyle w:val="2"/>
        <w:keepNext w:val="0"/>
        <w:keepLines w:val="0"/>
        <w:pageBreakBefore w:val="0"/>
        <w:widowControl w:val="0"/>
        <w:kinsoku/>
        <w:wordWrap/>
        <w:overflowPunct/>
        <w:topLinePunct w:val="0"/>
        <w:autoSpaceDE/>
        <w:autoSpaceDN/>
        <w:bidi w:val="0"/>
        <w:adjustRightInd/>
        <w:snapToGrid/>
        <w:spacing w:beforeLines="0" w:line="580" w:lineRule="exact"/>
        <w:ind w:firstLine="640" w:firstLineChars="200"/>
        <w:textAlignment w:val="auto"/>
        <w:rPr>
          <w:rFonts w:hint="default" w:ascii="Times New Roman" w:hAnsi="Times New Roman" w:eastAsia="仿宋_GB2312" w:cs="Times New Roman"/>
          <w:b w:val="0"/>
          <w:bCs w:val="0"/>
          <w:color w:val="000000"/>
          <w:kern w:val="2"/>
          <w:sz w:val="32"/>
          <w:szCs w:val="32"/>
          <w:lang w:val="en-US" w:eastAsia="zh-CN" w:bidi="ar"/>
        </w:rPr>
      </w:pPr>
      <w:r>
        <w:rPr>
          <w:rFonts w:hint="default" w:ascii="Times New Roman" w:hAnsi="Times New Roman" w:eastAsia="仿宋_GB2312" w:cs="Times New Roman"/>
          <w:b w:val="0"/>
          <w:bCs w:val="0"/>
          <w:color w:val="000000"/>
          <w:kern w:val="2"/>
          <w:sz w:val="32"/>
          <w:szCs w:val="32"/>
          <w:lang w:val="en-US" w:eastAsia="zh-CN" w:bidi="ar"/>
        </w:rPr>
        <w:t>（图4：财政拨款收、支决算总计变动情况）（柱状图）</w:t>
      </w:r>
    </w:p>
    <w:p w14:paraId="4ECFADB6">
      <w:pPr>
        <w:spacing w:line="600" w:lineRule="exact"/>
        <w:ind w:firstLine="640" w:firstLineChars="200"/>
        <w:outlineLvl w:val="0"/>
        <w:rPr>
          <w:rStyle w:val="34"/>
          <w:rFonts w:hint="default" w:ascii="Times New Roman" w:hAnsi="Times New Roman" w:eastAsia="黑体" w:cs="Times New Roman"/>
          <w:b w:val="0"/>
        </w:rPr>
      </w:pPr>
      <w:bookmarkStart w:id="30" w:name="_Toc12239"/>
      <w:bookmarkStart w:id="31" w:name="_Toc15377209"/>
      <w:bookmarkStart w:id="32" w:name="_Toc15396607"/>
      <w:r>
        <w:rPr>
          <w:rFonts w:hint="default" w:ascii="Times New Roman" w:hAnsi="Times New Roman" w:eastAsia="黑体" w:cs="Times New Roman"/>
          <w:sz w:val="32"/>
          <w:szCs w:val="32"/>
        </w:rPr>
        <w:t>五、</w:t>
      </w:r>
      <w:r>
        <w:rPr>
          <w:rFonts w:hint="default" w:ascii="Times New Roman" w:hAnsi="Times New Roman" w:eastAsia="黑体" w:cs="Times New Roman"/>
          <w:b/>
          <w:sz w:val="32"/>
          <w:szCs w:val="32"/>
        </w:rPr>
        <w:t>一</w:t>
      </w:r>
      <w:r>
        <w:rPr>
          <w:rStyle w:val="34"/>
          <w:rFonts w:hint="default" w:ascii="Times New Roman" w:hAnsi="Times New Roman" w:eastAsia="黑体" w:cs="Times New Roman"/>
          <w:b w:val="0"/>
        </w:rPr>
        <w:t>般公共预算财政拨款支出决算情况说明</w:t>
      </w:r>
      <w:bookmarkEnd w:id="30"/>
      <w:bookmarkEnd w:id="31"/>
      <w:bookmarkEnd w:id="32"/>
    </w:p>
    <w:p w14:paraId="4674FA02">
      <w:pPr>
        <w:suppressAutoHyphens/>
        <w:bidi w:val="0"/>
        <w:spacing w:line="600" w:lineRule="exact"/>
        <w:ind w:firstLine="643" w:firstLineChars="200"/>
        <w:outlineLvl w:val="1"/>
        <w:rPr>
          <w:rFonts w:hint="default" w:ascii="Times New Roman" w:hAnsi="Times New Roman" w:eastAsia="楷体_GB2312" w:cs="Times New Roman"/>
          <w:b/>
          <w:color w:val="auto"/>
          <w:sz w:val="32"/>
          <w:szCs w:val="32"/>
          <w:highlight w:val="none"/>
        </w:rPr>
      </w:pPr>
      <w:bookmarkStart w:id="33" w:name="_Toc15377210"/>
      <w:r>
        <w:rPr>
          <w:rFonts w:hint="default" w:ascii="Times New Roman" w:hAnsi="Times New Roman" w:eastAsia="楷体_GB2312" w:cs="Times New Roman"/>
          <w:b/>
          <w:color w:val="auto"/>
          <w:sz w:val="32"/>
          <w:szCs w:val="32"/>
          <w:highlight w:val="none"/>
        </w:rPr>
        <w:t>（一）一般公共预算财政拨款支出决算总体情况</w:t>
      </w:r>
      <w:bookmarkEnd w:id="33"/>
    </w:p>
    <w:p w14:paraId="434FD482">
      <w:pPr>
        <w:ind w:firstLine="720" w:firstLineChars="225"/>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Times New Roman"/>
          <w:color w:val="auto"/>
          <w:kern w:val="2"/>
          <w:sz w:val="32"/>
          <w:szCs w:val="32"/>
          <w:highlight w:val="none"/>
          <w:lang w:val="en-US" w:eastAsia="zh-CN" w:bidi="ar-SA"/>
        </w:rPr>
        <w:t>2025</w:t>
      </w:r>
      <w:r>
        <w:rPr>
          <w:rFonts w:hint="default" w:ascii="Times New Roman" w:hAnsi="Times New Roman" w:eastAsia="仿宋_GB2312" w:cs="Times New Roman"/>
          <w:color w:val="auto"/>
          <w:kern w:val="2"/>
          <w:sz w:val="32"/>
          <w:szCs w:val="32"/>
          <w:highlight w:val="none"/>
          <w:lang w:val="en-US" w:eastAsia="zh-CN" w:bidi="ar-SA"/>
        </w:rPr>
        <w:t>年度一般公共预算财政拨款支出</w:t>
      </w:r>
      <w:r>
        <w:rPr>
          <w:rFonts w:hint="eastAsia" w:eastAsia="仿宋_GB2312" w:cs="Times New Roman"/>
          <w:color w:val="auto"/>
          <w:kern w:val="2"/>
          <w:sz w:val="32"/>
          <w:szCs w:val="32"/>
          <w:highlight w:val="none"/>
          <w:lang w:val="en-US" w:eastAsia="zh-CN" w:bidi="ar-SA"/>
        </w:rPr>
        <w:t>1634.96</w:t>
      </w:r>
      <w:r>
        <w:rPr>
          <w:rFonts w:hint="default" w:ascii="Times New Roman" w:hAnsi="Times New Roman" w:eastAsia="仿宋_GB2312" w:cs="Times New Roman"/>
          <w:color w:val="auto"/>
          <w:kern w:val="2"/>
          <w:sz w:val="32"/>
          <w:szCs w:val="32"/>
          <w:highlight w:val="none"/>
          <w:lang w:val="en-US" w:eastAsia="zh-CN" w:bidi="ar-SA"/>
        </w:rPr>
        <w:t>万元，占本年支出合计的</w:t>
      </w:r>
      <w:r>
        <w:rPr>
          <w:rFonts w:hint="default" w:ascii="Times New Roman" w:hAnsi="Times New Roman" w:eastAsia="仿宋_GB2312" w:cs="Times New Roman"/>
          <w:sz w:val="32"/>
          <w:szCs w:val="32"/>
        </w:rPr>
        <w:t>100</w:t>
      </w:r>
      <w:r>
        <w:rPr>
          <w:rFonts w:hint="default" w:ascii="Times New Roman" w:hAnsi="Times New Roman" w:eastAsia="仿宋_GB2312" w:cs="Times New Roman"/>
          <w:color w:val="auto"/>
          <w:kern w:val="2"/>
          <w:sz w:val="32"/>
          <w:szCs w:val="32"/>
          <w:highlight w:val="none"/>
          <w:lang w:val="en-US" w:eastAsia="zh-CN" w:bidi="ar-SA"/>
        </w:rPr>
        <w:t>%。与</w:t>
      </w:r>
      <w:r>
        <w:rPr>
          <w:rFonts w:hint="eastAsia" w:eastAsia="仿宋_GB2312" w:cs="Times New Roman"/>
          <w:color w:val="auto"/>
          <w:kern w:val="2"/>
          <w:sz w:val="32"/>
          <w:szCs w:val="32"/>
          <w:highlight w:val="none"/>
          <w:lang w:val="en-US" w:eastAsia="zh-CN" w:bidi="ar-SA"/>
        </w:rPr>
        <w:t>2024</w:t>
      </w:r>
      <w:r>
        <w:rPr>
          <w:rFonts w:hint="default" w:ascii="Times New Roman" w:hAnsi="Times New Roman" w:eastAsia="仿宋_GB2312" w:cs="Times New Roman"/>
          <w:color w:val="auto"/>
          <w:kern w:val="2"/>
          <w:sz w:val="32"/>
          <w:szCs w:val="32"/>
          <w:highlight w:val="none"/>
          <w:lang w:val="en-US" w:eastAsia="zh-CN" w:bidi="ar-SA"/>
        </w:rPr>
        <w:t>年度相比，一般公共预算财政拨款支出</w:t>
      </w:r>
      <w:r>
        <w:rPr>
          <w:rFonts w:hint="eastAsia" w:eastAsia="仿宋_GB2312" w:cs="Times New Roman"/>
          <w:color w:val="auto"/>
          <w:kern w:val="2"/>
          <w:sz w:val="32"/>
          <w:szCs w:val="32"/>
          <w:highlight w:val="none"/>
          <w:lang w:val="en-US" w:eastAsia="zh-CN" w:bidi="ar-SA"/>
        </w:rPr>
        <w:t>减少</w:t>
      </w:r>
      <w:r>
        <w:rPr>
          <w:rFonts w:hint="eastAsia" w:eastAsia="仿宋" w:cs="Times New Roman"/>
          <w:color w:val="000000"/>
          <w:spacing w:val="0"/>
          <w:kern w:val="2"/>
          <w:sz w:val="32"/>
          <w:szCs w:val="32"/>
          <w:highlight w:val="none"/>
          <w:lang w:val="en-US" w:eastAsia="zh-CN" w:bidi="zh-CN"/>
        </w:rPr>
        <w:t>68.73</w:t>
      </w:r>
      <w:r>
        <w:rPr>
          <w:rFonts w:hint="default" w:ascii="Times New Roman" w:hAnsi="Times New Roman" w:eastAsia="仿宋_GB2312" w:cs="Times New Roman"/>
          <w:color w:val="auto"/>
          <w:kern w:val="2"/>
          <w:sz w:val="32"/>
          <w:szCs w:val="32"/>
          <w:highlight w:val="none"/>
          <w:lang w:val="en-US" w:eastAsia="zh-CN" w:bidi="ar-SA"/>
        </w:rPr>
        <w:t>万元。主要变动原因是</w:t>
      </w:r>
      <w:r>
        <w:rPr>
          <w:rFonts w:hint="eastAsia" w:eastAsia="仿宋_GB2312" w:cs="Times New Roman"/>
          <w:color w:val="auto"/>
          <w:kern w:val="2"/>
          <w:sz w:val="32"/>
          <w:szCs w:val="32"/>
          <w:highlight w:val="none"/>
          <w:lang w:val="en-US" w:eastAsia="zh-CN" w:bidi="ar-SA"/>
        </w:rPr>
        <w:t>2025年较上年减少2人，退休2人，导致人员工资、保险等人员经费支出以及公用经费支出减少，同时2024年支出中含上年度实施项目支出。</w:t>
      </w:r>
    </w:p>
    <w:p w14:paraId="6B8721C3">
      <w:pPr>
        <w:pStyle w:val="2"/>
        <w:rPr>
          <w:rFonts w:hint="eastAsia" w:ascii="仿宋" w:hAnsi="仿宋" w:eastAsia="仿宋"/>
          <w:color w:val="000000"/>
          <w:sz w:val="32"/>
          <w:szCs w:val="32"/>
          <w:lang w:eastAsia="zh-CN"/>
        </w:rPr>
      </w:pPr>
      <w:r>
        <w:rPr>
          <w:rFonts w:hint="eastAsia" w:ascii="仿宋" w:hAnsi="仿宋" w:eastAsia="仿宋"/>
          <w:color w:val="000000"/>
          <w:sz w:val="32"/>
          <w:szCs w:val="32"/>
          <w:lang w:eastAsia="zh-CN"/>
        </w:rPr>
        <w:drawing>
          <wp:inline distT="0" distB="0" distL="114300" distR="114300">
            <wp:extent cx="5166360" cy="2157730"/>
            <wp:effectExtent l="4445" t="4445" r="10795" b="9525"/>
            <wp:docPr id="5"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4E95ABCC">
      <w:pPr>
        <w:pStyle w:val="2"/>
        <w:keepNext w:val="0"/>
        <w:keepLines w:val="0"/>
        <w:pageBreakBefore w:val="0"/>
        <w:widowControl w:val="0"/>
        <w:kinsoku/>
        <w:wordWrap/>
        <w:overflowPunct/>
        <w:topLinePunct w:val="0"/>
        <w:autoSpaceDE/>
        <w:autoSpaceDN/>
        <w:bidi w:val="0"/>
        <w:adjustRightInd/>
        <w:snapToGrid/>
        <w:spacing w:beforeLines="0" w:line="580" w:lineRule="exact"/>
        <w:ind w:firstLine="640" w:firstLineChars="200"/>
        <w:textAlignment w:val="auto"/>
        <w:rPr>
          <w:rFonts w:hint="eastAsia" w:ascii="仿宋_GB2312" w:hAnsi="Calibri" w:eastAsia="仿宋_GB2312" w:cs="仿宋_GB2312"/>
          <w:b w:val="0"/>
          <w:bCs w:val="0"/>
          <w:color w:val="000000"/>
          <w:kern w:val="2"/>
          <w:sz w:val="32"/>
          <w:szCs w:val="32"/>
          <w:lang w:val="en-US" w:eastAsia="zh-CN" w:bidi="ar"/>
        </w:rPr>
      </w:pPr>
      <w:r>
        <w:rPr>
          <w:rFonts w:hint="eastAsia" w:ascii="仿宋_GB2312" w:hAnsi="Calibri" w:eastAsia="仿宋_GB2312" w:cs="仿宋_GB2312"/>
          <w:b w:val="0"/>
          <w:bCs w:val="0"/>
          <w:color w:val="000000"/>
          <w:kern w:val="2"/>
          <w:sz w:val="32"/>
          <w:szCs w:val="32"/>
          <w:lang w:val="en-US" w:eastAsia="zh-CN" w:bidi="ar"/>
        </w:rPr>
        <w:t>（图5：一般公共预算财政拨款支出决算变动情况）（柱状图）</w:t>
      </w:r>
    </w:p>
    <w:p w14:paraId="438675CE">
      <w:pPr>
        <w:suppressAutoHyphens/>
        <w:bidi w:val="0"/>
        <w:spacing w:line="600" w:lineRule="exact"/>
        <w:ind w:firstLine="643" w:firstLineChars="200"/>
        <w:outlineLvl w:val="1"/>
        <w:rPr>
          <w:rFonts w:hint="default" w:ascii="Times New Roman" w:hAnsi="Times New Roman" w:eastAsia="仿宋" w:cs="Times New Roman"/>
          <w:b/>
          <w:color w:val="auto"/>
          <w:sz w:val="32"/>
          <w:szCs w:val="32"/>
          <w:highlight w:val="none"/>
        </w:rPr>
      </w:pPr>
      <w:bookmarkStart w:id="34" w:name="_Toc15377211"/>
      <w:r>
        <w:rPr>
          <w:rFonts w:hint="default" w:ascii="Times New Roman" w:hAnsi="Times New Roman" w:eastAsia="楷体_GB2312" w:cs="Times New Roman"/>
          <w:b/>
          <w:color w:val="auto"/>
          <w:sz w:val="32"/>
          <w:szCs w:val="32"/>
          <w:highlight w:val="none"/>
        </w:rPr>
        <w:t>（二）一般公共预算财政拨款支出决算结构情况</w:t>
      </w:r>
      <w:bookmarkEnd w:id="34"/>
    </w:p>
    <w:p w14:paraId="1415E15F">
      <w:pPr>
        <w:pStyle w:val="2"/>
        <w:keepNext w:val="0"/>
        <w:keepLines w:val="0"/>
        <w:pageBreakBefore w:val="0"/>
        <w:widowControl w:val="0"/>
        <w:kinsoku/>
        <w:wordWrap/>
        <w:overflowPunct/>
        <w:topLinePunct w:val="0"/>
        <w:autoSpaceDE/>
        <w:autoSpaceDN/>
        <w:bidi w:val="0"/>
        <w:adjustRightInd/>
        <w:snapToGrid/>
        <w:spacing w:beforeLines="0" w:line="580" w:lineRule="exact"/>
        <w:ind w:firstLine="640" w:firstLineChars="200"/>
        <w:textAlignment w:val="auto"/>
        <w:rPr>
          <w:rFonts w:hint="default" w:ascii="Times New Roman" w:hAnsi="Times New Roman" w:eastAsia="仿宋_GB2312" w:cs="Times New Roman"/>
          <w:b/>
          <w:bCs/>
          <w:color w:val="auto"/>
          <w:kern w:val="2"/>
          <w:sz w:val="32"/>
          <w:szCs w:val="32"/>
          <w:highlight w:val="none"/>
          <w:lang w:val="en-US" w:eastAsia="zh-CN" w:bidi="ar-SA"/>
        </w:rPr>
      </w:pPr>
      <w:r>
        <w:rPr>
          <w:rFonts w:hint="eastAsia" w:ascii="Times New Roman" w:cs="Times New Roman"/>
          <w:b w:val="0"/>
          <w:bCs w:val="0"/>
          <w:color w:val="000000"/>
          <w:kern w:val="2"/>
          <w:sz w:val="32"/>
          <w:szCs w:val="32"/>
          <w:lang w:val="en-US" w:eastAsia="zh-CN" w:bidi="ar"/>
        </w:rPr>
        <w:t>2025</w:t>
      </w:r>
      <w:r>
        <w:rPr>
          <w:rFonts w:hint="default" w:ascii="Times New Roman" w:hAnsi="Times New Roman" w:eastAsia="仿宋_GB2312" w:cs="Times New Roman"/>
          <w:b w:val="0"/>
          <w:bCs w:val="0"/>
          <w:color w:val="000000"/>
          <w:kern w:val="2"/>
          <w:sz w:val="32"/>
          <w:szCs w:val="32"/>
          <w:lang w:val="en-US" w:eastAsia="zh-CN" w:bidi="ar"/>
        </w:rPr>
        <w:t>年度一般公共预算财政拨款支出</w:t>
      </w:r>
      <w:r>
        <w:rPr>
          <w:rFonts w:hint="eastAsia" w:eastAsia="仿宋_GB2312" w:cs="Times New Roman"/>
          <w:color w:val="auto"/>
          <w:kern w:val="2"/>
          <w:sz w:val="32"/>
          <w:szCs w:val="32"/>
          <w:highlight w:val="none"/>
          <w:lang w:val="en-US" w:eastAsia="zh-CN" w:bidi="ar-SA"/>
        </w:rPr>
        <w:t>1634.96</w:t>
      </w:r>
      <w:r>
        <w:rPr>
          <w:rFonts w:hint="default" w:ascii="Times New Roman" w:hAnsi="Times New Roman" w:eastAsia="仿宋_GB2312" w:cs="Times New Roman"/>
          <w:b w:val="0"/>
          <w:bCs w:val="0"/>
          <w:color w:val="000000"/>
          <w:kern w:val="2"/>
          <w:sz w:val="32"/>
          <w:szCs w:val="32"/>
          <w:lang w:val="en-US" w:eastAsia="zh-CN" w:bidi="ar"/>
        </w:rPr>
        <w:t>万元，主要用于以下方面:一般公共服务支出</w:t>
      </w:r>
      <w:r>
        <w:rPr>
          <w:rFonts w:hint="default" w:ascii="Times New Roman" w:hAnsi="Times New Roman" w:cs="Times New Roman"/>
          <w:b w:val="0"/>
          <w:bCs w:val="0"/>
          <w:color w:val="000000"/>
          <w:kern w:val="2"/>
          <w:sz w:val="32"/>
          <w:szCs w:val="32"/>
          <w:lang w:val="en-US" w:eastAsia="zh-CN" w:bidi="ar"/>
        </w:rPr>
        <w:t>0</w:t>
      </w:r>
      <w:r>
        <w:rPr>
          <w:rFonts w:hint="default" w:ascii="Times New Roman" w:hAnsi="Times New Roman" w:eastAsia="仿宋_GB2312" w:cs="Times New Roman"/>
          <w:b w:val="0"/>
          <w:bCs w:val="0"/>
          <w:color w:val="000000"/>
          <w:kern w:val="2"/>
          <w:sz w:val="32"/>
          <w:szCs w:val="32"/>
          <w:lang w:val="en-US" w:eastAsia="zh-CN" w:bidi="ar"/>
        </w:rPr>
        <w:t>万元，占</w:t>
      </w:r>
      <w:r>
        <w:rPr>
          <w:rFonts w:hint="default" w:ascii="Times New Roman" w:hAnsi="Times New Roman" w:cs="Times New Roman"/>
          <w:b w:val="0"/>
          <w:bCs w:val="0"/>
          <w:color w:val="000000"/>
          <w:kern w:val="2"/>
          <w:sz w:val="32"/>
          <w:szCs w:val="32"/>
          <w:lang w:val="en-US" w:eastAsia="zh-CN" w:bidi="ar"/>
        </w:rPr>
        <w:t>0</w:t>
      </w:r>
      <w:r>
        <w:rPr>
          <w:rFonts w:hint="default" w:ascii="Times New Roman" w:hAnsi="Times New Roman" w:eastAsia="仿宋_GB2312" w:cs="Times New Roman"/>
          <w:b w:val="0"/>
          <w:bCs w:val="0"/>
          <w:color w:val="000000"/>
          <w:kern w:val="2"/>
          <w:sz w:val="32"/>
          <w:szCs w:val="32"/>
          <w:lang w:val="en-US" w:eastAsia="zh-CN" w:bidi="ar"/>
        </w:rPr>
        <w:t>%；教育支出0万元，占0%；科学技术支出0万元，占0%；文化旅游体育与传媒支出0万元，占0%；社会保障和就业支出</w:t>
      </w:r>
      <w:r>
        <w:rPr>
          <w:rFonts w:hint="eastAsia" w:ascii="Times New Roman" w:cs="Times New Roman"/>
          <w:b w:val="0"/>
          <w:bCs w:val="0"/>
          <w:color w:val="000000"/>
          <w:kern w:val="2"/>
          <w:sz w:val="32"/>
          <w:szCs w:val="32"/>
          <w:lang w:val="en-US" w:eastAsia="zh-CN" w:bidi="ar"/>
        </w:rPr>
        <w:t>94.53</w:t>
      </w:r>
      <w:r>
        <w:rPr>
          <w:rFonts w:hint="default" w:ascii="Times New Roman" w:hAnsi="Times New Roman" w:eastAsia="仿宋_GB2312" w:cs="Times New Roman"/>
          <w:b w:val="0"/>
          <w:bCs w:val="0"/>
          <w:color w:val="000000"/>
          <w:kern w:val="2"/>
          <w:sz w:val="32"/>
          <w:szCs w:val="32"/>
          <w:lang w:val="en-US" w:eastAsia="zh-CN" w:bidi="ar"/>
        </w:rPr>
        <w:t>万元，占5.</w:t>
      </w:r>
      <w:r>
        <w:rPr>
          <w:rFonts w:hint="eastAsia" w:ascii="Times New Roman" w:cs="Times New Roman"/>
          <w:b w:val="0"/>
          <w:bCs w:val="0"/>
          <w:color w:val="000000"/>
          <w:kern w:val="2"/>
          <w:sz w:val="32"/>
          <w:szCs w:val="32"/>
          <w:lang w:val="en-US" w:eastAsia="zh-CN" w:bidi="ar"/>
        </w:rPr>
        <w:t>7</w:t>
      </w:r>
      <w:r>
        <w:rPr>
          <w:rFonts w:hint="default" w:ascii="Times New Roman" w:hAnsi="Times New Roman" w:eastAsia="仿宋_GB2312" w:cs="Times New Roman"/>
          <w:b w:val="0"/>
          <w:bCs w:val="0"/>
          <w:color w:val="000000"/>
          <w:kern w:val="2"/>
          <w:sz w:val="32"/>
          <w:szCs w:val="32"/>
          <w:lang w:val="en-US" w:eastAsia="zh-CN" w:bidi="ar"/>
        </w:rPr>
        <w:t>%；卫生健康支出</w:t>
      </w:r>
      <w:r>
        <w:rPr>
          <w:rFonts w:hint="eastAsia" w:ascii="Times New Roman" w:cs="Times New Roman"/>
          <w:b w:val="0"/>
          <w:bCs w:val="0"/>
          <w:color w:val="000000"/>
          <w:kern w:val="2"/>
          <w:sz w:val="32"/>
          <w:szCs w:val="32"/>
          <w:lang w:val="en-US" w:eastAsia="zh-CN" w:bidi="ar"/>
        </w:rPr>
        <w:t>53.43</w:t>
      </w:r>
      <w:r>
        <w:rPr>
          <w:rFonts w:hint="default" w:ascii="Times New Roman" w:hAnsi="Times New Roman" w:eastAsia="仿宋_GB2312" w:cs="Times New Roman"/>
          <w:b w:val="0"/>
          <w:bCs w:val="0"/>
          <w:color w:val="000000"/>
          <w:kern w:val="2"/>
          <w:sz w:val="32"/>
          <w:szCs w:val="32"/>
          <w:lang w:val="en-US" w:eastAsia="zh-CN" w:bidi="ar"/>
        </w:rPr>
        <w:t>万元，占</w:t>
      </w:r>
      <w:r>
        <w:rPr>
          <w:rFonts w:hint="default" w:ascii="Times New Roman" w:hAnsi="Times New Roman" w:cs="Times New Roman"/>
          <w:b w:val="0"/>
          <w:bCs w:val="0"/>
          <w:color w:val="000000"/>
          <w:kern w:val="2"/>
          <w:sz w:val="32"/>
          <w:szCs w:val="32"/>
          <w:lang w:val="en-US" w:eastAsia="zh-CN" w:bidi="ar"/>
        </w:rPr>
        <w:t>3.</w:t>
      </w:r>
      <w:r>
        <w:rPr>
          <w:rFonts w:hint="eastAsia" w:ascii="Times New Roman" w:cs="Times New Roman"/>
          <w:b w:val="0"/>
          <w:bCs w:val="0"/>
          <w:color w:val="000000"/>
          <w:kern w:val="2"/>
          <w:sz w:val="32"/>
          <w:szCs w:val="32"/>
          <w:lang w:val="en-US" w:eastAsia="zh-CN" w:bidi="ar"/>
        </w:rPr>
        <w:t>2</w:t>
      </w:r>
      <w:r>
        <w:rPr>
          <w:rFonts w:hint="default" w:ascii="Times New Roman" w:hAnsi="Times New Roman" w:eastAsia="仿宋_GB2312" w:cs="Times New Roman"/>
          <w:b w:val="0"/>
          <w:bCs w:val="0"/>
          <w:color w:val="000000"/>
          <w:kern w:val="2"/>
          <w:sz w:val="32"/>
          <w:szCs w:val="32"/>
          <w:lang w:val="en-US" w:eastAsia="zh-CN" w:bidi="ar"/>
        </w:rPr>
        <w:t>%；住房保障支出</w:t>
      </w:r>
      <w:r>
        <w:rPr>
          <w:rFonts w:hint="eastAsia" w:ascii="Times New Roman" w:cs="Times New Roman"/>
          <w:b w:val="0"/>
          <w:bCs w:val="0"/>
          <w:color w:val="000000"/>
          <w:kern w:val="2"/>
          <w:sz w:val="32"/>
          <w:szCs w:val="32"/>
          <w:lang w:val="en-US" w:eastAsia="zh-CN" w:bidi="ar"/>
        </w:rPr>
        <w:t>56.85</w:t>
      </w:r>
      <w:r>
        <w:rPr>
          <w:rFonts w:hint="default" w:ascii="Times New Roman" w:hAnsi="Times New Roman" w:eastAsia="仿宋_GB2312" w:cs="Times New Roman"/>
          <w:b w:val="0"/>
          <w:bCs w:val="0"/>
          <w:color w:val="000000"/>
          <w:kern w:val="2"/>
          <w:sz w:val="32"/>
          <w:szCs w:val="32"/>
          <w:lang w:val="en-US" w:eastAsia="zh-CN" w:bidi="ar"/>
        </w:rPr>
        <w:t>万元，占</w:t>
      </w:r>
      <w:r>
        <w:rPr>
          <w:rFonts w:hint="default" w:ascii="Times New Roman" w:hAnsi="Times New Roman" w:cs="Times New Roman"/>
          <w:b w:val="0"/>
          <w:bCs w:val="0"/>
          <w:color w:val="000000"/>
          <w:kern w:val="2"/>
          <w:sz w:val="32"/>
          <w:szCs w:val="32"/>
          <w:lang w:val="en-US" w:eastAsia="zh-CN" w:bidi="ar"/>
        </w:rPr>
        <w:t>3.</w:t>
      </w:r>
      <w:r>
        <w:rPr>
          <w:rFonts w:hint="eastAsia" w:ascii="Times New Roman" w:cs="Times New Roman"/>
          <w:b w:val="0"/>
          <w:bCs w:val="0"/>
          <w:color w:val="000000"/>
          <w:kern w:val="2"/>
          <w:sz w:val="32"/>
          <w:szCs w:val="32"/>
          <w:lang w:val="en-US" w:eastAsia="zh-CN" w:bidi="ar"/>
        </w:rPr>
        <w:t>5</w:t>
      </w:r>
      <w:r>
        <w:rPr>
          <w:rFonts w:hint="default" w:ascii="Times New Roman" w:hAnsi="Times New Roman" w:eastAsia="仿宋_GB2312" w:cs="Times New Roman"/>
          <w:b w:val="0"/>
          <w:bCs w:val="0"/>
          <w:color w:val="000000"/>
          <w:kern w:val="2"/>
          <w:sz w:val="32"/>
          <w:szCs w:val="32"/>
          <w:lang w:val="en-US" w:eastAsia="zh-CN" w:bidi="ar"/>
        </w:rPr>
        <w:t>%；公共安全支出</w:t>
      </w:r>
      <w:r>
        <w:rPr>
          <w:rFonts w:hint="eastAsia" w:ascii="Times New Roman" w:cs="Times New Roman"/>
          <w:b w:val="0"/>
          <w:bCs w:val="0"/>
          <w:color w:val="000000"/>
          <w:kern w:val="2"/>
          <w:sz w:val="32"/>
          <w:szCs w:val="32"/>
          <w:lang w:val="en-US" w:eastAsia="zh-CN" w:bidi="ar"/>
        </w:rPr>
        <w:t>1430.15</w:t>
      </w:r>
      <w:r>
        <w:rPr>
          <w:rFonts w:hint="default" w:ascii="Times New Roman" w:hAnsi="Times New Roman" w:eastAsia="仿宋_GB2312" w:cs="Times New Roman"/>
          <w:b w:val="0"/>
          <w:bCs w:val="0"/>
          <w:color w:val="000000"/>
          <w:kern w:val="2"/>
          <w:sz w:val="32"/>
          <w:szCs w:val="32"/>
          <w:lang w:val="en-US" w:eastAsia="zh-CN" w:bidi="ar"/>
        </w:rPr>
        <w:t>万元，占</w:t>
      </w:r>
      <w:r>
        <w:rPr>
          <w:rFonts w:hint="default" w:ascii="Times New Roman" w:hAnsi="Times New Roman" w:cs="Times New Roman"/>
          <w:b w:val="0"/>
          <w:bCs w:val="0"/>
          <w:color w:val="000000"/>
          <w:kern w:val="2"/>
          <w:sz w:val="32"/>
          <w:szCs w:val="32"/>
          <w:lang w:val="en-US" w:eastAsia="zh-CN" w:bidi="ar"/>
        </w:rPr>
        <w:t>87.</w:t>
      </w:r>
      <w:r>
        <w:rPr>
          <w:rFonts w:hint="eastAsia" w:ascii="Times New Roman" w:cs="Times New Roman"/>
          <w:b w:val="0"/>
          <w:bCs w:val="0"/>
          <w:color w:val="000000"/>
          <w:kern w:val="2"/>
          <w:sz w:val="32"/>
          <w:szCs w:val="32"/>
          <w:lang w:val="en-US" w:eastAsia="zh-CN" w:bidi="ar"/>
        </w:rPr>
        <w:t>6</w:t>
      </w:r>
      <w:r>
        <w:rPr>
          <w:rFonts w:hint="default" w:ascii="Times New Roman" w:hAnsi="Times New Roman" w:eastAsia="仿宋_GB2312" w:cs="Times New Roman"/>
          <w:b w:val="0"/>
          <w:bCs w:val="0"/>
          <w:color w:val="000000"/>
          <w:kern w:val="2"/>
          <w:sz w:val="32"/>
          <w:szCs w:val="32"/>
          <w:lang w:val="en-US" w:eastAsia="zh-CN" w:bidi="ar"/>
        </w:rPr>
        <w:t>%。</w:t>
      </w:r>
    </w:p>
    <w:p w14:paraId="4A324B2E">
      <w:pPr>
        <w:pStyle w:val="2"/>
        <w:rPr>
          <w:rFonts w:hint="eastAsia" w:ascii="仿宋" w:hAnsi="仿宋" w:eastAsia="仿宋"/>
          <w:color w:val="000000"/>
          <w:sz w:val="32"/>
          <w:szCs w:val="32"/>
          <w:lang w:eastAsia="zh-CN"/>
        </w:rPr>
      </w:pPr>
      <w:r>
        <w:rPr>
          <w:rFonts w:hint="eastAsia" w:ascii="仿宋" w:hAnsi="仿宋" w:eastAsia="仿宋"/>
          <w:color w:val="000000"/>
          <w:sz w:val="32"/>
          <w:szCs w:val="32"/>
          <w:lang w:eastAsia="zh-CN"/>
        </w:rPr>
        <w:drawing>
          <wp:inline distT="0" distB="0" distL="114300" distR="114300">
            <wp:extent cx="5142230" cy="2076450"/>
            <wp:effectExtent l="4445" t="4445" r="15875" b="14605"/>
            <wp:docPr id="6" name="图表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3D37B67F">
      <w:pPr>
        <w:pStyle w:val="2"/>
        <w:keepNext w:val="0"/>
        <w:keepLines w:val="0"/>
        <w:pageBreakBefore w:val="0"/>
        <w:widowControl w:val="0"/>
        <w:kinsoku/>
        <w:wordWrap/>
        <w:overflowPunct/>
        <w:topLinePunct w:val="0"/>
        <w:autoSpaceDE/>
        <w:autoSpaceDN/>
        <w:bidi w:val="0"/>
        <w:adjustRightInd/>
        <w:snapToGrid/>
        <w:spacing w:beforeLines="0" w:line="580" w:lineRule="exact"/>
        <w:ind w:firstLine="640" w:firstLineChars="200"/>
        <w:textAlignment w:val="auto"/>
        <w:rPr>
          <w:rFonts w:hint="eastAsia" w:ascii="仿宋_GB2312" w:hAnsi="Calibri" w:eastAsia="仿宋_GB2312" w:cs="仿宋_GB2312"/>
          <w:b w:val="0"/>
          <w:bCs w:val="0"/>
          <w:color w:val="000000"/>
          <w:kern w:val="2"/>
          <w:sz w:val="32"/>
          <w:szCs w:val="32"/>
          <w:lang w:val="en-US" w:eastAsia="zh-CN" w:bidi="ar"/>
        </w:rPr>
      </w:pPr>
      <w:r>
        <w:rPr>
          <w:rFonts w:hint="eastAsia" w:ascii="仿宋_GB2312" w:hAnsi="Calibri" w:eastAsia="仿宋_GB2312" w:cs="仿宋_GB2312"/>
          <w:b w:val="0"/>
          <w:bCs w:val="0"/>
          <w:color w:val="000000"/>
          <w:kern w:val="2"/>
          <w:sz w:val="32"/>
          <w:szCs w:val="32"/>
          <w:lang w:val="en-US" w:eastAsia="zh-CN" w:bidi="ar"/>
        </w:rPr>
        <w:t>（图6：一般公共预算财政拨款支出决算结构）（饼状图）</w:t>
      </w:r>
    </w:p>
    <w:p w14:paraId="1A1A5BAA">
      <w:pPr>
        <w:suppressAutoHyphens/>
        <w:bidi w:val="0"/>
        <w:spacing w:line="600" w:lineRule="exact"/>
        <w:ind w:firstLine="643" w:firstLineChars="200"/>
        <w:outlineLvl w:val="1"/>
        <w:rPr>
          <w:rFonts w:hint="default" w:ascii="Times New Roman" w:hAnsi="Times New Roman" w:eastAsia="楷体_GB2312" w:cs="Times New Roman"/>
          <w:b/>
          <w:color w:val="auto"/>
          <w:sz w:val="32"/>
          <w:szCs w:val="32"/>
          <w:highlight w:val="none"/>
          <w:lang w:val="en-US" w:eastAsia="zh-CN"/>
        </w:rPr>
      </w:pPr>
      <w:bookmarkStart w:id="35" w:name="_Toc15377212"/>
      <w:r>
        <w:rPr>
          <w:rFonts w:hint="default" w:ascii="Times New Roman" w:hAnsi="Times New Roman" w:eastAsia="楷体_GB2312" w:cs="Times New Roman"/>
          <w:b/>
          <w:color w:val="auto"/>
          <w:sz w:val="32"/>
          <w:szCs w:val="32"/>
          <w:highlight w:val="none"/>
          <w:lang w:val="en-US" w:eastAsia="zh-CN"/>
        </w:rPr>
        <w:t>（三）一般公共预算财政拨款支出决算具体情况</w:t>
      </w:r>
      <w:bookmarkEnd w:id="35"/>
    </w:p>
    <w:p w14:paraId="67DB0B34">
      <w:pPr>
        <w:pStyle w:val="2"/>
        <w:keepNext w:val="0"/>
        <w:keepLines w:val="0"/>
        <w:pageBreakBefore w:val="0"/>
        <w:widowControl w:val="0"/>
        <w:kinsoku/>
        <w:wordWrap/>
        <w:overflowPunct/>
        <w:topLinePunct w:val="0"/>
        <w:autoSpaceDE/>
        <w:autoSpaceDN/>
        <w:bidi w:val="0"/>
        <w:adjustRightInd/>
        <w:snapToGrid/>
        <w:spacing w:beforeLines="0" w:line="580" w:lineRule="exact"/>
        <w:ind w:firstLine="640" w:firstLineChars="200"/>
        <w:textAlignment w:val="auto"/>
        <w:rPr>
          <w:rFonts w:hint="default" w:ascii="Times New Roman" w:hAnsi="Times New Roman" w:eastAsia="仿宋_GB2312" w:cs="Times New Roman"/>
          <w:b w:val="0"/>
          <w:bCs w:val="0"/>
          <w:color w:val="000000"/>
          <w:kern w:val="2"/>
          <w:sz w:val="32"/>
          <w:szCs w:val="32"/>
          <w:lang w:val="en-US" w:eastAsia="zh-CN" w:bidi="ar"/>
        </w:rPr>
      </w:pPr>
      <w:bookmarkStart w:id="36" w:name="_Toc15377444"/>
      <w:bookmarkStart w:id="37" w:name="_Toc15377213"/>
      <w:bookmarkStart w:id="38" w:name="_Toc15378460"/>
      <w:r>
        <w:rPr>
          <w:rFonts w:hint="eastAsia" w:ascii="Times New Roman" w:cs="Times New Roman"/>
          <w:b w:val="0"/>
          <w:bCs w:val="0"/>
          <w:color w:val="000000"/>
          <w:kern w:val="2"/>
          <w:sz w:val="32"/>
          <w:szCs w:val="32"/>
          <w:lang w:val="en-US" w:eastAsia="zh-CN" w:bidi="ar"/>
        </w:rPr>
        <w:t>2025</w:t>
      </w:r>
      <w:r>
        <w:rPr>
          <w:rFonts w:hint="default" w:ascii="Times New Roman" w:hAnsi="Times New Roman" w:eastAsia="仿宋_GB2312" w:cs="Times New Roman"/>
          <w:b w:val="0"/>
          <w:bCs w:val="0"/>
          <w:color w:val="000000"/>
          <w:kern w:val="2"/>
          <w:sz w:val="32"/>
          <w:szCs w:val="32"/>
          <w:lang w:val="en-US" w:eastAsia="zh-CN" w:bidi="ar"/>
        </w:rPr>
        <w:t>年度一般公共预算支出决算数为</w:t>
      </w:r>
      <w:r>
        <w:rPr>
          <w:rFonts w:hint="eastAsia" w:eastAsia="仿宋_GB2312" w:cs="Times New Roman"/>
          <w:color w:val="auto"/>
          <w:kern w:val="2"/>
          <w:sz w:val="32"/>
          <w:szCs w:val="32"/>
          <w:highlight w:val="none"/>
          <w:lang w:val="en-US" w:eastAsia="zh-CN" w:bidi="ar-SA"/>
        </w:rPr>
        <w:t>1634.96</w:t>
      </w:r>
      <w:r>
        <w:rPr>
          <w:rFonts w:hint="default" w:ascii="Times New Roman" w:hAnsi="Times New Roman" w:eastAsia="仿宋_GB2312" w:cs="Times New Roman"/>
          <w:b w:val="0"/>
          <w:bCs w:val="0"/>
          <w:color w:val="000000"/>
          <w:kern w:val="2"/>
          <w:sz w:val="32"/>
          <w:szCs w:val="32"/>
          <w:lang w:val="en-US" w:eastAsia="zh-CN" w:bidi="ar"/>
        </w:rPr>
        <w:t>，完成预算100%。其中：</w:t>
      </w:r>
      <w:bookmarkEnd w:id="36"/>
      <w:bookmarkEnd w:id="37"/>
      <w:bookmarkEnd w:id="38"/>
    </w:p>
    <w:p w14:paraId="0468C103">
      <w:pPr>
        <w:pStyle w:val="2"/>
        <w:keepNext w:val="0"/>
        <w:keepLines w:val="0"/>
        <w:pageBreakBefore w:val="0"/>
        <w:widowControl w:val="0"/>
        <w:kinsoku/>
        <w:wordWrap/>
        <w:overflowPunct/>
        <w:topLinePunct w:val="0"/>
        <w:autoSpaceDE/>
        <w:autoSpaceDN/>
        <w:bidi w:val="0"/>
        <w:adjustRightInd/>
        <w:snapToGrid/>
        <w:spacing w:beforeLines="0" w:line="580" w:lineRule="exact"/>
        <w:ind w:firstLine="643" w:firstLineChars="200"/>
        <w:textAlignment w:val="auto"/>
        <w:rPr>
          <w:rFonts w:hint="default" w:ascii="Times New Roman" w:hAnsi="Times New Roman" w:eastAsia="仿宋_GB2312" w:cs="Times New Roman"/>
          <w:b w:val="0"/>
          <w:bCs w:val="0"/>
          <w:color w:val="000000"/>
          <w:kern w:val="2"/>
          <w:sz w:val="32"/>
          <w:szCs w:val="32"/>
          <w:lang w:val="en-US" w:eastAsia="zh-CN" w:bidi="ar"/>
        </w:rPr>
      </w:pPr>
      <w:r>
        <w:rPr>
          <w:rFonts w:hint="default" w:ascii="Times New Roman" w:hAnsi="Times New Roman" w:cs="Times New Roman"/>
          <w:b/>
          <w:bCs/>
          <w:color w:val="000000"/>
          <w:kern w:val="2"/>
          <w:sz w:val="32"/>
          <w:szCs w:val="32"/>
          <w:lang w:val="en-US" w:eastAsia="zh-CN" w:bidi="ar"/>
        </w:rPr>
        <w:t>1.</w:t>
      </w:r>
      <w:r>
        <w:rPr>
          <w:rFonts w:hint="default" w:ascii="Times New Roman" w:hAnsi="Times New Roman" w:eastAsia="仿宋_GB2312" w:cs="Times New Roman"/>
          <w:b/>
          <w:bCs/>
          <w:color w:val="000000"/>
          <w:kern w:val="2"/>
          <w:sz w:val="32"/>
          <w:szCs w:val="32"/>
          <w:lang w:val="en-US" w:eastAsia="zh-CN" w:bidi="ar"/>
        </w:rPr>
        <w:t xml:space="preserve">公共安全（类）20404检察（款）2040401行政运行（项）: </w:t>
      </w:r>
      <w:r>
        <w:rPr>
          <w:rFonts w:hint="default" w:ascii="Times New Roman" w:hAnsi="Times New Roman" w:eastAsia="仿宋_GB2312" w:cs="Times New Roman"/>
          <w:b w:val="0"/>
          <w:bCs w:val="0"/>
          <w:color w:val="000000"/>
          <w:kern w:val="2"/>
          <w:sz w:val="32"/>
          <w:szCs w:val="32"/>
          <w:lang w:val="en-US" w:eastAsia="zh-CN" w:bidi="ar"/>
        </w:rPr>
        <w:t>支出决算为</w:t>
      </w:r>
      <w:r>
        <w:rPr>
          <w:rFonts w:hint="default" w:ascii="Times New Roman" w:hAnsi="Times New Roman" w:cs="Times New Roman"/>
          <w:b w:val="0"/>
          <w:bCs w:val="0"/>
          <w:color w:val="000000"/>
          <w:kern w:val="2"/>
          <w:sz w:val="32"/>
          <w:szCs w:val="32"/>
          <w:lang w:val="en-US" w:eastAsia="zh-CN" w:bidi="ar"/>
        </w:rPr>
        <w:t>888.84</w:t>
      </w:r>
      <w:r>
        <w:rPr>
          <w:rFonts w:hint="default" w:ascii="Times New Roman" w:hAnsi="Times New Roman" w:eastAsia="仿宋_GB2312" w:cs="Times New Roman"/>
          <w:b w:val="0"/>
          <w:bCs w:val="0"/>
          <w:color w:val="000000"/>
          <w:kern w:val="2"/>
          <w:sz w:val="32"/>
          <w:szCs w:val="32"/>
          <w:lang w:val="en-US" w:eastAsia="zh-CN" w:bidi="ar"/>
        </w:rPr>
        <w:t>万元，完成预算100%，决算数等于预算数。</w:t>
      </w:r>
    </w:p>
    <w:p w14:paraId="736487E3">
      <w:pPr>
        <w:pStyle w:val="2"/>
        <w:keepNext w:val="0"/>
        <w:keepLines w:val="0"/>
        <w:pageBreakBefore w:val="0"/>
        <w:widowControl w:val="0"/>
        <w:kinsoku/>
        <w:wordWrap/>
        <w:overflowPunct/>
        <w:topLinePunct w:val="0"/>
        <w:autoSpaceDE/>
        <w:autoSpaceDN/>
        <w:bidi w:val="0"/>
        <w:adjustRightInd/>
        <w:snapToGrid/>
        <w:spacing w:beforeLines="0" w:line="580" w:lineRule="exact"/>
        <w:ind w:firstLine="643" w:firstLineChars="200"/>
        <w:textAlignment w:val="auto"/>
        <w:rPr>
          <w:rFonts w:hint="default" w:ascii="Times New Roman" w:hAnsi="Times New Roman" w:eastAsia="仿宋_GB2312" w:cs="Times New Roman"/>
          <w:b w:val="0"/>
          <w:bCs w:val="0"/>
          <w:color w:val="000000"/>
          <w:kern w:val="2"/>
          <w:sz w:val="32"/>
          <w:szCs w:val="32"/>
          <w:lang w:val="en-US" w:eastAsia="zh-CN" w:bidi="ar"/>
        </w:rPr>
      </w:pPr>
      <w:r>
        <w:rPr>
          <w:rFonts w:hint="default" w:ascii="Times New Roman" w:hAnsi="Times New Roman" w:cs="Times New Roman"/>
          <w:b/>
          <w:bCs/>
          <w:color w:val="000000"/>
          <w:kern w:val="2"/>
          <w:sz w:val="32"/>
          <w:szCs w:val="32"/>
          <w:lang w:val="en-US" w:eastAsia="zh-CN" w:bidi="ar"/>
        </w:rPr>
        <w:t>2</w:t>
      </w:r>
      <w:r>
        <w:rPr>
          <w:rFonts w:hint="default" w:ascii="Times New Roman" w:hAnsi="Times New Roman" w:eastAsia="仿宋_GB2312" w:cs="Times New Roman"/>
          <w:b/>
          <w:bCs/>
          <w:color w:val="000000"/>
          <w:kern w:val="2"/>
          <w:sz w:val="32"/>
          <w:szCs w:val="32"/>
          <w:lang w:val="en-US" w:eastAsia="zh-CN" w:bidi="ar"/>
        </w:rPr>
        <w:t>.公共安全（类）20404检察（款）2040402一般行政管理事务（项）:</w:t>
      </w:r>
      <w:r>
        <w:rPr>
          <w:rFonts w:hint="default" w:ascii="Times New Roman" w:hAnsi="Times New Roman" w:eastAsia="仿宋_GB2312" w:cs="Times New Roman"/>
          <w:b w:val="0"/>
          <w:bCs w:val="0"/>
          <w:color w:val="000000"/>
          <w:kern w:val="2"/>
          <w:sz w:val="32"/>
          <w:szCs w:val="32"/>
          <w:lang w:val="en-US" w:eastAsia="zh-CN" w:bidi="ar"/>
        </w:rPr>
        <w:t xml:space="preserve"> 支出决算1.2万元，完成预算100%，决算数等于预算数。</w:t>
      </w:r>
    </w:p>
    <w:p w14:paraId="1A2FCC24">
      <w:pPr>
        <w:pStyle w:val="2"/>
        <w:keepNext w:val="0"/>
        <w:keepLines w:val="0"/>
        <w:pageBreakBefore w:val="0"/>
        <w:widowControl w:val="0"/>
        <w:kinsoku/>
        <w:wordWrap/>
        <w:overflowPunct/>
        <w:topLinePunct w:val="0"/>
        <w:autoSpaceDE/>
        <w:autoSpaceDN/>
        <w:bidi w:val="0"/>
        <w:adjustRightInd/>
        <w:snapToGrid/>
        <w:spacing w:beforeLines="0" w:line="580" w:lineRule="exact"/>
        <w:ind w:firstLine="643" w:firstLineChars="200"/>
        <w:textAlignment w:val="auto"/>
        <w:rPr>
          <w:rFonts w:hint="default" w:ascii="Times New Roman" w:hAnsi="Times New Roman" w:eastAsia="仿宋_GB2312" w:cs="Times New Roman"/>
          <w:b w:val="0"/>
          <w:bCs w:val="0"/>
          <w:color w:val="000000"/>
          <w:kern w:val="2"/>
          <w:sz w:val="32"/>
          <w:szCs w:val="32"/>
          <w:lang w:val="en-US" w:eastAsia="zh-CN" w:bidi="ar"/>
        </w:rPr>
      </w:pPr>
      <w:r>
        <w:rPr>
          <w:rFonts w:hint="default" w:ascii="Times New Roman" w:hAnsi="Times New Roman" w:cs="Times New Roman"/>
          <w:b/>
          <w:bCs/>
          <w:color w:val="000000"/>
          <w:kern w:val="2"/>
          <w:sz w:val="32"/>
          <w:szCs w:val="32"/>
          <w:lang w:val="en-US" w:eastAsia="zh-CN" w:bidi="ar"/>
        </w:rPr>
        <w:t>3</w:t>
      </w:r>
      <w:r>
        <w:rPr>
          <w:rFonts w:hint="default" w:ascii="Times New Roman" w:hAnsi="Times New Roman" w:eastAsia="仿宋_GB2312" w:cs="Times New Roman"/>
          <w:b/>
          <w:bCs/>
          <w:color w:val="000000"/>
          <w:kern w:val="2"/>
          <w:sz w:val="32"/>
          <w:szCs w:val="32"/>
          <w:lang w:val="en-US" w:eastAsia="zh-CN" w:bidi="ar"/>
        </w:rPr>
        <w:t>.公共安全（类）20404检察（款）2040410</w:t>
      </w:r>
      <w:r>
        <w:rPr>
          <w:rFonts w:hint="default" w:ascii="Times New Roman" w:hAnsi="Times New Roman" w:cs="Times New Roman"/>
          <w:b/>
          <w:bCs/>
          <w:color w:val="000000"/>
          <w:kern w:val="2"/>
          <w:sz w:val="32"/>
          <w:szCs w:val="32"/>
          <w:lang w:val="en-US" w:eastAsia="zh-CN" w:bidi="ar"/>
        </w:rPr>
        <w:t>检察监督（项）</w:t>
      </w:r>
      <w:r>
        <w:rPr>
          <w:rFonts w:hint="default" w:ascii="Times New Roman" w:hAnsi="Times New Roman" w:eastAsia="仿宋_GB2312" w:cs="Times New Roman"/>
          <w:b/>
          <w:bCs/>
          <w:color w:val="000000"/>
          <w:kern w:val="2"/>
          <w:sz w:val="32"/>
          <w:szCs w:val="32"/>
          <w:lang w:val="en-US" w:eastAsia="zh-CN" w:bidi="ar"/>
        </w:rPr>
        <w:t>:</w:t>
      </w:r>
      <w:r>
        <w:rPr>
          <w:rFonts w:hint="default" w:ascii="Times New Roman" w:hAnsi="Times New Roman" w:eastAsia="仿宋_GB2312" w:cs="Times New Roman"/>
          <w:b w:val="0"/>
          <w:bCs w:val="0"/>
          <w:color w:val="000000"/>
          <w:kern w:val="2"/>
          <w:sz w:val="32"/>
          <w:szCs w:val="32"/>
          <w:lang w:val="en-US" w:eastAsia="zh-CN" w:bidi="ar"/>
        </w:rPr>
        <w:t xml:space="preserve"> 支出决算为</w:t>
      </w:r>
      <w:r>
        <w:rPr>
          <w:rFonts w:hint="default" w:ascii="Times New Roman" w:hAnsi="Times New Roman" w:cs="Times New Roman"/>
          <w:b w:val="0"/>
          <w:bCs w:val="0"/>
          <w:color w:val="000000"/>
          <w:kern w:val="2"/>
          <w:sz w:val="32"/>
          <w:szCs w:val="32"/>
          <w:lang w:val="en-US" w:eastAsia="zh-CN" w:bidi="ar"/>
        </w:rPr>
        <w:t>186</w:t>
      </w:r>
      <w:r>
        <w:rPr>
          <w:rFonts w:hint="default" w:ascii="Times New Roman" w:hAnsi="Times New Roman" w:eastAsia="仿宋_GB2312" w:cs="Times New Roman"/>
          <w:b w:val="0"/>
          <w:bCs w:val="0"/>
          <w:color w:val="000000"/>
          <w:kern w:val="2"/>
          <w:sz w:val="32"/>
          <w:szCs w:val="32"/>
          <w:lang w:val="en-US" w:eastAsia="zh-CN" w:bidi="ar"/>
        </w:rPr>
        <w:t>万元，完成预算100%，决算数等于预算数。</w:t>
      </w:r>
    </w:p>
    <w:p w14:paraId="2A4FE36C">
      <w:pPr>
        <w:pStyle w:val="2"/>
        <w:keepNext w:val="0"/>
        <w:keepLines w:val="0"/>
        <w:pageBreakBefore w:val="0"/>
        <w:widowControl w:val="0"/>
        <w:kinsoku/>
        <w:wordWrap/>
        <w:overflowPunct/>
        <w:topLinePunct w:val="0"/>
        <w:autoSpaceDE/>
        <w:autoSpaceDN/>
        <w:bidi w:val="0"/>
        <w:adjustRightInd/>
        <w:snapToGrid/>
        <w:spacing w:beforeLines="0" w:line="580" w:lineRule="exact"/>
        <w:ind w:firstLine="643" w:firstLineChars="200"/>
        <w:textAlignment w:val="auto"/>
        <w:rPr>
          <w:rFonts w:hint="default" w:ascii="Times New Roman" w:hAnsi="Times New Roman" w:eastAsia="仿宋_GB2312" w:cs="Times New Roman"/>
          <w:b w:val="0"/>
          <w:bCs w:val="0"/>
          <w:color w:val="000000"/>
          <w:kern w:val="2"/>
          <w:sz w:val="32"/>
          <w:szCs w:val="32"/>
          <w:lang w:val="en-US" w:eastAsia="zh-CN" w:bidi="ar"/>
        </w:rPr>
      </w:pPr>
      <w:r>
        <w:rPr>
          <w:rFonts w:hint="default" w:ascii="Times New Roman" w:hAnsi="Times New Roman" w:cs="Times New Roman"/>
          <w:b/>
          <w:bCs/>
          <w:color w:val="000000"/>
          <w:kern w:val="2"/>
          <w:sz w:val="32"/>
          <w:szCs w:val="32"/>
          <w:lang w:val="en-US" w:eastAsia="zh-CN" w:bidi="ar"/>
        </w:rPr>
        <w:t>4</w:t>
      </w:r>
      <w:r>
        <w:rPr>
          <w:rFonts w:hint="default" w:ascii="Times New Roman" w:hAnsi="Times New Roman" w:eastAsia="仿宋_GB2312" w:cs="Times New Roman"/>
          <w:b/>
          <w:bCs/>
          <w:color w:val="000000"/>
          <w:kern w:val="2"/>
          <w:sz w:val="32"/>
          <w:szCs w:val="32"/>
          <w:lang w:val="en-US" w:eastAsia="zh-CN" w:bidi="ar"/>
        </w:rPr>
        <w:t xml:space="preserve">.公共安全（类）20404检察（款）2040450事业运行（项）: </w:t>
      </w:r>
      <w:r>
        <w:rPr>
          <w:rFonts w:hint="default" w:ascii="Times New Roman" w:hAnsi="Times New Roman" w:eastAsia="仿宋_GB2312" w:cs="Times New Roman"/>
          <w:b w:val="0"/>
          <w:bCs w:val="0"/>
          <w:color w:val="000000"/>
          <w:kern w:val="2"/>
          <w:sz w:val="32"/>
          <w:szCs w:val="32"/>
          <w:lang w:val="en-US" w:eastAsia="zh-CN" w:bidi="ar"/>
        </w:rPr>
        <w:t>支出决算为</w:t>
      </w:r>
      <w:r>
        <w:rPr>
          <w:rFonts w:hint="default" w:ascii="Times New Roman" w:hAnsi="Times New Roman" w:cs="Times New Roman"/>
          <w:b w:val="0"/>
          <w:bCs w:val="0"/>
          <w:color w:val="000000"/>
          <w:kern w:val="2"/>
          <w:sz w:val="32"/>
          <w:szCs w:val="32"/>
          <w:lang w:val="en-US" w:eastAsia="zh-CN" w:bidi="ar"/>
        </w:rPr>
        <w:t>42.43</w:t>
      </w:r>
      <w:r>
        <w:rPr>
          <w:rFonts w:hint="default" w:ascii="Times New Roman" w:hAnsi="Times New Roman" w:eastAsia="仿宋_GB2312" w:cs="Times New Roman"/>
          <w:b w:val="0"/>
          <w:bCs w:val="0"/>
          <w:color w:val="000000"/>
          <w:kern w:val="2"/>
          <w:sz w:val="32"/>
          <w:szCs w:val="32"/>
          <w:lang w:val="en-US" w:eastAsia="zh-CN" w:bidi="ar"/>
        </w:rPr>
        <w:t>万元，完成预算100%，决算数等于预算数。</w:t>
      </w:r>
    </w:p>
    <w:p w14:paraId="3616826D">
      <w:pPr>
        <w:ind w:firstLine="640"/>
        <w:rPr>
          <w:rFonts w:hint="default" w:ascii="Times New Roman" w:hAnsi="Times New Roman" w:eastAsia="仿宋" w:cs="Times New Roman"/>
          <w:b w:val="0"/>
          <w:bCs w:val="0"/>
          <w:color w:val="000000"/>
          <w:kern w:val="2"/>
          <w:sz w:val="32"/>
          <w:szCs w:val="32"/>
          <w:lang w:val="en-US" w:eastAsia="zh-CN" w:bidi="ar"/>
        </w:rPr>
      </w:pPr>
      <w:r>
        <w:rPr>
          <w:rFonts w:hint="default" w:ascii="Times New Roman" w:hAnsi="Times New Roman" w:eastAsia="仿宋_GB2312" w:cs="Times New Roman"/>
          <w:b/>
          <w:bCs/>
          <w:color w:val="000000"/>
          <w:kern w:val="2"/>
          <w:sz w:val="32"/>
          <w:szCs w:val="32"/>
          <w:lang w:val="en-US" w:eastAsia="zh-CN" w:bidi="ar"/>
        </w:rPr>
        <w:t>5.公共安全（类）20404检察（款）2040499其他检察支出（项）：</w:t>
      </w:r>
      <w:r>
        <w:rPr>
          <w:rFonts w:hint="default" w:ascii="Times New Roman" w:hAnsi="Times New Roman" w:eastAsia="仿宋" w:cs="Times New Roman"/>
          <w:b w:val="0"/>
          <w:bCs w:val="0"/>
          <w:color w:val="000000"/>
          <w:kern w:val="2"/>
          <w:sz w:val="32"/>
          <w:szCs w:val="32"/>
          <w:lang w:val="en-US" w:eastAsia="zh-CN" w:bidi="ar"/>
        </w:rPr>
        <w:t>支出决算为311.68万元，完成预算100%，决算数等于预算数。</w:t>
      </w:r>
    </w:p>
    <w:p w14:paraId="2AB1E370">
      <w:pPr>
        <w:pStyle w:val="2"/>
        <w:keepNext w:val="0"/>
        <w:keepLines w:val="0"/>
        <w:pageBreakBefore w:val="0"/>
        <w:widowControl w:val="0"/>
        <w:kinsoku/>
        <w:wordWrap/>
        <w:overflowPunct/>
        <w:topLinePunct w:val="0"/>
        <w:autoSpaceDE/>
        <w:autoSpaceDN/>
        <w:bidi w:val="0"/>
        <w:adjustRightInd/>
        <w:snapToGrid/>
        <w:spacing w:beforeLines="0" w:line="580" w:lineRule="exact"/>
        <w:ind w:firstLine="643" w:firstLineChars="200"/>
        <w:textAlignment w:val="auto"/>
        <w:rPr>
          <w:rFonts w:hint="default" w:ascii="Times New Roman" w:hAnsi="Times New Roman" w:eastAsia="仿宋_GB2312" w:cs="Times New Roman"/>
          <w:b w:val="0"/>
          <w:bCs w:val="0"/>
          <w:color w:val="000000"/>
          <w:kern w:val="2"/>
          <w:sz w:val="32"/>
          <w:szCs w:val="32"/>
          <w:lang w:val="en-US" w:eastAsia="zh-CN" w:bidi="ar"/>
        </w:rPr>
      </w:pPr>
      <w:r>
        <w:rPr>
          <w:rFonts w:hint="default" w:ascii="Times New Roman" w:hAnsi="Times New Roman" w:eastAsia="仿宋_GB2312" w:cs="Times New Roman"/>
          <w:b/>
          <w:bCs/>
          <w:color w:val="000000"/>
          <w:kern w:val="2"/>
          <w:sz w:val="32"/>
          <w:szCs w:val="32"/>
          <w:lang w:val="en-US" w:eastAsia="zh-CN" w:bidi="ar"/>
        </w:rPr>
        <w:t>6.社会保障和就业（类）20805行政事业单位养老支出（款）2080505机关事业单位基本养老保险支出（项）:</w:t>
      </w:r>
      <w:r>
        <w:rPr>
          <w:rFonts w:hint="default" w:ascii="Times New Roman" w:hAnsi="Times New Roman" w:eastAsia="仿宋_GB2312" w:cs="Times New Roman"/>
          <w:b w:val="0"/>
          <w:bCs w:val="0"/>
          <w:color w:val="000000"/>
          <w:kern w:val="2"/>
          <w:sz w:val="32"/>
          <w:szCs w:val="32"/>
          <w:lang w:val="en-US" w:eastAsia="zh-CN" w:bidi="ar"/>
        </w:rPr>
        <w:t>支出决算为</w:t>
      </w:r>
      <w:r>
        <w:rPr>
          <w:rFonts w:hint="default" w:ascii="Times New Roman" w:hAnsi="Times New Roman" w:cs="Times New Roman"/>
          <w:b w:val="0"/>
          <w:bCs w:val="0"/>
          <w:color w:val="000000"/>
          <w:kern w:val="2"/>
          <w:sz w:val="32"/>
          <w:szCs w:val="32"/>
          <w:lang w:val="en-US" w:eastAsia="zh-CN" w:bidi="ar"/>
        </w:rPr>
        <w:t>75.75</w:t>
      </w:r>
      <w:r>
        <w:rPr>
          <w:rFonts w:hint="default" w:ascii="Times New Roman" w:hAnsi="Times New Roman" w:eastAsia="仿宋_GB2312" w:cs="Times New Roman"/>
          <w:b w:val="0"/>
          <w:bCs w:val="0"/>
          <w:color w:val="000000"/>
          <w:kern w:val="2"/>
          <w:sz w:val="32"/>
          <w:szCs w:val="32"/>
          <w:lang w:val="en-US" w:eastAsia="zh-CN" w:bidi="ar"/>
        </w:rPr>
        <w:t>万元，完成预算100%，决算数等于预算数。</w:t>
      </w:r>
    </w:p>
    <w:p w14:paraId="6A7F41E2">
      <w:pPr>
        <w:pStyle w:val="2"/>
        <w:keepNext w:val="0"/>
        <w:keepLines w:val="0"/>
        <w:pageBreakBefore w:val="0"/>
        <w:widowControl w:val="0"/>
        <w:kinsoku/>
        <w:wordWrap/>
        <w:overflowPunct/>
        <w:topLinePunct w:val="0"/>
        <w:autoSpaceDE/>
        <w:autoSpaceDN/>
        <w:bidi w:val="0"/>
        <w:adjustRightInd/>
        <w:snapToGrid/>
        <w:spacing w:beforeLines="0" w:line="580" w:lineRule="exact"/>
        <w:ind w:firstLine="643" w:firstLineChars="200"/>
        <w:textAlignment w:val="auto"/>
        <w:rPr>
          <w:rFonts w:hint="default" w:ascii="Times New Roman" w:hAnsi="Times New Roman" w:eastAsia="仿宋_GB2312" w:cs="Times New Roman"/>
          <w:b w:val="0"/>
          <w:bCs w:val="0"/>
          <w:color w:val="000000"/>
          <w:kern w:val="2"/>
          <w:sz w:val="32"/>
          <w:szCs w:val="32"/>
          <w:lang w:val="en-US" w:eastAsia="zh-CN" w:bidi="ar"/>
        </w:rPr>
      </w:pPr>
      <w:r>
        <w:rPr>
          <w:rFonts w:hint="default" w:ascii="Times New Roman" w:hAnsi="Times New Roman" w:eastAsia="仿宋_GB2312" w:cs="Times New Roman"/>
          <w:b/>
          <w:bCs/>
          <w:color w:val="000000"/>
          <w:kern w:val="2"/>
          <w:sz w:val="32"/>
          <w:szCs w:val="32"/>
          <w:lang w:val="en-US" w:eastAsia="zh-CN" w:bidi="ar"/>
        </w:rPr>
        <w:t>7.社会保障和就业（类）20805行政事业单位养老支出（款）</w:t>
      </w:r>
      <w:r>
        <w:rPr>
          <w:rFonts w:hint="default" w:ascii="Times New Roman" w:hAnsi="Times New Roman" w:cs="Times New Roman"/>
          <w:b/>
          <w:bCs/>
          <w:color w:val="000000"/>
          <w:kern w:val="2"/>
          <w:sz w:val="32"/>
          <w:szCs w:val="32"/>
          <w:lang w:val="en-US" w:eastAsia="zh-CN" w:bidi="ar"/>
        </w:rPr>
        <w:t>2080506机关事业单位职业年金缴费支出</w:t>
      </w:r>
      <w:r>
        <w:rPr>
          <w:rFonts w:hint="default" w:ascii="Times New Roman" w:hAnsi="Times New Roman" w:eastAsia="仿宋_GB2312" w:cs="Times New Roman"/>
          <w:b/>
          <w:bCs/>
          <w:color w:val="000000"/>
          <w:kern w:val="2"/>
          <w:sz w:val="32"/>
          <w:szCs w:val="32"/>
          <w:lang w:val="en-US" w:eastAsia="zh-CN" w:bidi="ar"/>
        </w:rPr>
        <w:t>（项）:</w:t>
      </w:r>
      <w:r>
        <w:rPr>
          <w:rFonts w:hint="default" w:ascii="Times New Roman" w:hAnsi="Times New Roman" w:eastAsia="仿宋_GB2312" w:cs="Times New Roman"/>
          <w:b w:val="0"/>
          <w:bCs w:val="0"/>
          <w:color w:val="000000"/>
          <w:kern w:val="2"/>
          <w:sz w:val="32"/>
          <w:szCs w:val="32"/>
          <w:lang w:val="en-US" w:eastAsia="zh-CN" w:bidi="ar"/>
        </w:rPr>
        <w:t>支出决算为</w:t>
      </w:r>
      <w:r>
        <w:rPr>
          <w:rFonts w:hint="default" w:ascii="Times New Roman" w:hAnsi="Times New Roman" w:cs="Times New Roman"/>
          <w:b w:val="0"/>
          <w:bCs w:val="0"/>
          <w:color w:val="000000"/>
          <w:kern w:val="2"/>
          <w:sz w:val="32"/>
          <w:szCs w:val="32"/>
          <w:lang w:val="en-US" w:eastAsia="zh-CN" w:bidi="ar"/>
        </w:rPr>
        <w:t>18.7</w:t>
      </w:r>
      <w:r>
        <w:rPr>
          <w:rFonts w:hint="default" w:ascii="Times New Roman" w:hAnsi="Times New Roman" w:eastAsia="仿宋_GB2312" w:cs="Times New Roman"/>
          <w:b w:val="0"/>
          <w:bCs w:val="0"/>
          <w:color w:val="000000"/>
          <w:kern w:val="2"/>
          <w:sz w:val="32"/>
          <w:szCs w:val="32"/>
          <w:lang w:val="en-US" w:eastAsia="zh-CN" w:bidi="ar"/>
        </w:rPr>
        <w:t>万元，完成预算100%，决算数等于预算数。</w:t>
      </w:r>
    </w:p>
    <w:p w14:paraId="730E2149">
      <w:pPr>
        <w:pStyle w:val="2"/>
        <w:keepNext w:val="0"/>
        <w:keepLines w:val="0"/>
        <w:pageBreakBefore w:val="0"/>
        <w:widowControl w:val="0"/>
        <w:kinsoku/>
        <w:wordWrap/>
        <w:overflowPunct/>
        <w:topLinePunct w:val="0"/>
        <w:autoSpaceDE/>
        <w:autoSpaceDN/>
        <w:bidi w:val="0"/>
        <w:adjustRightInd/>
        <w:snapToGrid/>
        <w:spacing w:beforeLines="0" w:line="580" w:lineRule="exact"/>
        <w:ind w:firstLine="643" w:firstLineChars="200"/>
        <w:textAlignment w:val="auto"/>
        <w:rPr>
          <w:rFonts w:hint="default" w:ascii="Times New Roman" w:hAnsi="Times New Roman" w:eastAsia="仿宋_GB2312" w:cs="Times New Roman"/>
          <w:b w:val="0"/>
          <w:bCs w:val="0"/>
          <w:color w:val="000000"/>
          <w:kern w:val="2"/>
          <w:sz w:val="32"/>
          <w:szCs w:val="32"/>
          <w:lang w:val="en-US" w:eastAsia="zh-CN" w:bidi="ar"/>
        </w:rPr>
      </w:pPr>
      <w:r>
        <w:rPr>
          <w:rFonts w:hint="default" w:ascii="Times New Roman" w:hAnsi="Times New Roman" w:eastAsia="仿宋_GB2312" w:cs="Times New Roman"/>
          <w:b/>
          <w:bCs/>
          <w:color w:val="000000"/>
          <w:kern w:val="2"/>
          <w:sz w:val="32"/>
          <w:szCs w:val="32"/>
          <w:lang w:val="en-US" w:eastAsia="zh-CN" w:bidi="ar"/>
        </w:rPr>
        <w:t>8.社会保障和就业（类）20805行政事业单位养老支出（款）</w:t>
      </w:r>
      <w:r>
        <w:rPr>
          <w:rFonts w:hint="default" w:ascii="Times New Roman" w:hAnsi="Times New Roman" w:cs="Times New Roman"/>
          <w:b/>
          <w:bCs/>
          <w:color w:val="000000"/>
          <w:kern w:val="2"/>
          <w:sz w:val="32"/>
          <w:szCs w:val="32"/>
          <w:lang w:val="en-US" w:eastAsia="zh-CN" w:bidi="ar"/>
        </w:rPr>
        <w:t>2089999其他社会保障和就业支出</w:t>
      </w:r>
      <w:r>
        <w:rPr>
          <w:rFonts w:hint="default" w:ascii="Times New Roman" w:hAnsi="Times New Roman" w:eastAsia="仿宋_GB2312" w:cs="Times New Roman"/>
          <w:b/>
          <w:bCs/>
          <w:color w:val="000000"/>
          <w:kern w:val="2"/>
          <w:sz w:val="32"/>
          <w:szCs w:val="32"/>
          <w:lang w:val="en-US" w:eastAsia="zh-CN" w:bidi="ar"/>
        </w:rPr>
        <w:t>（项）:</w:t>
      </w:r>
      <w:r>
        <w:rPr>
          <w:rFonts w:hint="default" w:ascii="Times New Roman" w:hAnsi="Times New Roman" w:eastAsia="仿宋_GB2312" w:cs="Times New Roman"/>
          <w:b w:val="0"/>
          <w:bCs w:val="0"/>
          <w:color w:val="000000"/>
          <w:kern w:val="2"/>
          <w:sz w:val="32"/>
          <w:szCs w:val="32"/>
          <w:lang w:val="en-US" w:eastAsia="zh-CN" w:bidi="ar"/>
        </w:rPr>
        <w:t>支出决算为</w:t>
      </w:r>
      <w:r>
        <w:rPr>
          <w:rFonts w:hint="default" w:ascii="Times New Roman" w:hAnsi="Times New Roman" w:cs="Times New Roman"/>
          <w:b w:val="0"/>
          <w:bCs w:val="0"/>
          <w:color w:val="000000"/>
          <w:kern w:val="2"/>
          <w:sz w:val="32"/>
          <w:szCs w:val="32"/>
          <w:lang w:val="en-US" w:eastAsia="zh-CN" w:bidi="ar"/>
        </w:rPr>
        <w:t>0.01</w:t>
      </w:r>
      <w:r>
        <w:rPr>
          <w:rFonts w:hint="default" w:ascii="Times New Roman" w:hAnsi="Times New Roman" w:eastAsia="仿宋_GB2312" w:cs="Times New Roman"/>
          <w:b w:val="0"/>
          <w:bCs w:val="0"/>
          <w:color w:val="000000"/>
          <w:kern w:val="2"/>
          <w:sz w:val="32"/>
          <w:szCs w:val="32"/>
          <w:lang w:val="en-US" w:eastAsia="zh-CN" w:bidi="ar"/>
        </w:rPr>
        <w:t>万元，完成预算100%，决算数等于预算数。</w:t>
      </w:r>
    </w:p>
    <w:p w14:paraId="57FF6D69">
      <w:pPr>
        <w:pStyle w:val="2"/>
        <w:keepNext w:val="0"/>
        <w:keepLines w:val="0"/>
        <w:pageBreakBefore w:val="0"/>
        <w:widowControl w:val="0"/>
        <w:kinsoku/>
        <w:wordWrap/>
        <w:overflowPunct/>
        <w:topLinePunct w:val="0"/>
        <w:autoSpaceDE/>
        <w:autoSpaceDN/>
        <w:bidi w:val="0"/>
        <w:adjustRightInd/>
        <w:snapToGrid/>
        <w:spacing w:beforeLines="0" w:line="580" w:lineRule="exact"/>
        <w:ind w:firstLine="643" w:firstLineChars="200"/>
        <w:textAlignment w:val="auto"/>
        <w:rPr>
          <w:rFonts w:hint="default" w:ascii="Times New Roman" w:hAnsi="Times New Roman" w:eastAsia="仿宋_GB2312" w:cs="Times New Roman"/>
          <w:b w:val="0"/>
          <w:bCs w:val="0"/>
          <w:color w:val="000000"/>
          <w:kern w:val="2"/>
          <w:sz w:val="32"/>
          <w:szCs w:val="32"/>
          <w:lang w:val="en-US" w:eastAsia="zh-CN" w:bidi="ar"/>
        </w:rPr>
      </w:pPr>
      <w:r>
        <w:rPr>
          <w:rFonts w:hint="eastAsia" w:ascii="Times New Roman" w:cs="Times New Roman"/>
          <w:b/>
          <w:bCs/>
          <w:color w:val="000000"/>
          <w:kern w:val="2"/>
          <w:sz w:val="32"/>
          <w:szCs w:val="32"/>
          <w:lang w:val="en-US" w:eastAsia="zh-CN" w:bidi="ar"/>
        </w:rPr>
        <w:t>9</w:t>
      </w:r>
      <w:r>
        <w:rPr>
          <w:rFonts w:hint="default" w:ascii="Times New Roman" w:hAnsi="Times New Roman" w:eastAsia="仿宋_GB2312" w:cs="Times New Roman"/>
          <w:b/>
          <w:bCs/>
          <w:color w:val="000000"/>
          <w:kern w:val="2"/>
          <w:sz w:val="32"/>
          <w:szCs w:val="32"/>
          <w:lang w:val="en-US" w:eastAsia="zh-CN" w:bidi="ar"/>
        </w:rPr>
        <w:t>.社会保障和就业（类）2080</w:t>
      </w:r>
      <w:r>
        <w:rPr>
          <w:rFonts w:hint="eastAsia" w:ascii="Times New Roman" w:cs="Times New Roman"/>
          <w:b/>
          <w:bCs/>
          <w:color w:val="000000"/>
          <w:kern w:val="2"/>
          <w:sz w:val="32"/>
          <w:szCs w:val="32"/>
          <w:lang w:val="en-US" w:eastAsia="zh-CN" w:bidi="ar"/>
        </w:rPr>
        <w:t>8</w:t>
      </w:r>
      <w:r>
        <w:rPr>
          <w:rFonts w:hint="default" w:ascii="Times New Roman" w:hAnsi="Times New Roman" w:eastAsia="仿宋_GB2312" w:cs="Times New Roman"/>
          <w:b/>
          <w:bCs/>
          <w:color w:val="000000"/>
          <w:kern w:val="2"/>
          <w:sz w:val="32"/>
          <w:szCs w:val="32"/>
          <w:lang w:val="en-US" w:eastAsia="zh-CN" w:bidi="ar"/>
        </w:rPr>
        <w:t>抚恤（款）</w:t>
      </w:r>
      <w:r>
        <w:rPr>
          <w:rFonts w:hint="default" w:ascii="Times New Roman" w:hAnsi="Times New Roman" w:cs="Times New Roman"/>
          <w:b/>
          <w:bCs/>
          <w:color w:val="000000"/>
          <w:kern w:val="2"/>
          <w:sz w:val="32"/>
          <w:szCs w:val="32"/>
          <w:lang w:val="en-US" w:eastAsia="zh-CN" w:bidi="ar"/>
        </w:rPr>
        <w:t>2080899其他优抚支出</w:t>
      </w:r>
      <w:r>
        <w:rPr>
          <w:rFonts w:hint="default" w:ascii="Times New Roman" w:hAnsi="Times New Roman" w:eastAsia="仿宋_GB2312" w:cs="Times New Roman"/>
          <w:b/>
          <w:bCs/>
          <w:color w:val="000000"/>
          <w:kern w:val="2"/>
          <w:sz w:val="32"/>
          <w:szCs w:val="32"/>
          <w:lang w:val="en-US" w:eastAsia="zh-CN" w:bidi="ar"/>
        </w:rPr>
        <w:t>（项）:</w:t>
      </w:r>
      <w:r>
        <w:rPr>
          <w:rFonts w:hint="default" w:ascii="Times New Roman" w:hAnsi="Times New Roman" w:eastAsia="仿宋_GB2312" w:cs="Times New Roman"/>
          <w:b w:val="0"/>
          <w:bCs w:val="0"/>
          <w:color w:val="000000"/>
          <w:kern w:val="2"/>
          <w:sz w:val="32"/>
          <w:szCs w:val="32"/>
          <w:lang w:val="en-US" w:eastAsia="zh-CN" w:bidi="ar"/>
        </w:rPr>
        <w:t>支出决算为</w:t>
      </w:r>
      <w:r>
        <w:rPr>
          <w:rFonts w:hint="default" w:ascii="Times New Roman" w:hAnsi="Times New Roman" w:cs="Times New Roman"/>
          <w:b w:val="0"/>
          <w:bCs w:val="0"/>
          <w:color w:val="000000"/>
          <w:kern w:val="2"/>
          <w:sz w:val="32"/>
          <w:szCs w:val="32"/>
          <w:lang w:val="en-US" w:eastAsia="zh-CN" w:bidi="ar"/>
        </w:rPr>
        <w:t>0.0</w:t>
      </w:r>
      <w:r>
        <w:rPr>
          <w:rFonts w:hint="eastAsia" w:ascii="Times New Roman" w:cs="Times New Roman"/>
          <w:b w:val="0"/>
          <w:bCs w:val="0"/>
          <w:color w:val="000000"/>
          <w:kern w:val="2"/>
          <w:sz w:val="32"/>
          <w:szCs w:val="32"/>
          <w:lang w:val="en-US" w:eastAsia="zh-CN" w:bidi="ar"/>
        </w:rPr>
        <w:t>7</w:t>
      </w:r>
      <w:r>
        <w:rPr>
          <w:rFonts w:hint="default" w:ascii="Times New Roman" w:hAnsi="Times New Roman" w:eastAsia="仿宋_GB2312" w:cs="Times New Roman"/>
          <w:b w:val="0"/>
          <w:bCs w:val="0"/>
          <w:color w:val="000000"/>
          <w:kern w:val="2"/>
          <w:sz w:val="32"/>
          <w:szCs w:val="32"/>
          <w:lang w:val="en-US" w:eastAsia="zh-CN" w:bidi="ar"/>
        </w:rPr>
        <w:t>万元，完成预算100%，决算数等于预算数。</w:t>
      </w:r>
    </w:p>
    <w:p w14:paraId="26D3ABE0">
      <w:pPr>
        <w:pStyle w:val="2"/>
        <w:keepNext w:val="0"/>
        <w:keepLines w:val="0"/>
        <w:pageBreakBefore w:val="0"/>
        <w:widowControl w:val="0"/>
        <w:kinsoku/>
        <w:wordWrap/>
        <w:overflowPunct/>
        <w:topLinePunct w:val="0"/>
        <w:autoSpaceDE/>
        <w:autoSpaceDN/>
        <w:bidi w:val="0"/>
        <w:adjustRightInd/>
        <w:snapToGrid/>
        <w:spacing w:beforeLines="0" w:line="580" w:lineRule="exact"/>
        <w:ind w:firstLine="643" w:firstLineChars="200"/>
        <w:textAlignment w:val="auto"/>
        <w:rPr>
          <w:rFonts w:hint="default" w:ascii="Times New Roman" w:hAnsi="Times New Roman" w:eastAsia="仿宋_GB2312" w:cs="Times New Roman"/>
          <w:b w:val="0"/>
          <w:bCs w:val="0"/>
          <w:color w:val="000000"/>
          <w:kern w:val="2"/>
          <w:sz w:val="32"/>
          <w:szCs w:val="32"/>
          <w:lang w:val="en-US" w:eastAsia="zh-CN" w:bidi="ar"/>
        </w:rPr>
      </w:pPr>
      <w:r>
        <w:rPr>
          <w:rFonts w:hint="eastAsia" w:ascii="Times New Roman" w:cs="Times New Roman"/>
          <w:b/>
          <w:bCs/>
          <w:color w:val="000000"/>
          <w:kern w:val="2"/>
          <w:sz w:val="32"/>
          <w:szCs w:val="32"/>
          <w:lang w:val="en-US" w:eastAsia="zh-CN" w:bidi="ar"/>
        </w:rPr>
        <w:t>10</w:t>
      </w:r>
      <w:r>
        <w:rPr>
          <w:rFonts w:hint="default" w:ascii="Times New Roman" w:hAnsi="Times New Roman" w:eastAsia="仿宋_GB2312" w:cs="Times New Roman"/>
          <w:b/>
          <w:bCs/>
          <w:color w:val="000000"/>
          <w:kern w:val="2"/>
          <w:sz w:val="32"/>
          <w:szCs w:val="32"/>
          <w:lang w:val="en-US" w:eastAsia="zh-CN" w:bidi="ar"/>
        </w:rPr>
        <w:t>.卫生健康（类）21011行政事业单位医疗（款）2101101单位医疗（项）:</w:t>
      </w:r>
      <w:r>
        <w:rPr>
          <w:rFonts w:hint="default" w:ascii="Times New Roman" w:hAnsi="Times New Roman" w:eastAsia="仿宋_GB2312" w:cs="Times New Roman"/>
          <w:b w:val="0"/>
          <w:bCs w:val="0"/>
          <w:color w:val="000000"/>
          <w:kern w:val="2"/>
          <w:sz w:val="32"/>
          <w:szCs w:val="32"/>
          <w:lang w:val="en-US" w:eastAsia="zh-CN" w:bidi="ar"/>
        </w:rPr>
        <w:t>支出决算为</w:t>
      </w:r>
      <w:r>
        <w:rPr>
          <w:rFonts w:hint="default" w:ascii="Times New Roman" w:hAnsi="Times New Roman" w:cs="Times New Roman"/>
          <w:b w:val="0"/>
          <w:bCs w:val="0"/>
          <w:color w:val="000000"/>
          <w:kern w:val="2"/>
          <w:sz w:val="32"/>
          <w:szCs w:val="32"/>
          <w:lang w:val="en-US" w:eastAsia="zh-CN" w:bidi="ar"/>
        </w:rPr>
        <w:t>41.38</w:t>
      </w:r>
      <w:r>
        <w:rPr>
          <w:rFonts w:hint="default" w:ascii="Times New Roman" w:hAnsi="Times New Roman" w:eastAsia="仿宋_GB2312" w:cs="Times New Roman"/>
          <w:b w:val="0"/>
          <w:bCs w:val="0"/>
          <w:color w:val="000000"/>
          <w:kern w:val="2"/>
          <w:sz w:val="32"/>
          <w:szCs w:val="32"/>
          <w:lang w:val="en-US" w:eastAsia="zh-CN" w:bidi="ar"/>
        </w:rPr>
        <w:t>万元，完成预算100%，决算数等于预算数。</w:t>
      </w:r>
    </w:p>
    <w:p w14:paraId="60BAF73E">
      <w:pPr>
        <w:pStyle w:val="2"/>
        <w:keepNext w:val="0"/>
        <w:keepLines w:val="0"/>
        <w:pageBreakBefore w:val="0"/>
        <w:widowControl w:val="0"/>
        <w:kinsoku/>
        <w:wordWrap/>
        <w:overflowPunct/>
        <w:topLinePunct w:val="0"/>
        <w:autoSpaceDE/>
        <w:autoSpaceDN/>
        <w:bidi w:val="0"/>
        <w:adjustRightInd/>
        <w:snapToGrid/>
        <w:spacing w:beforeLines="0" w:line="580" w:lineRule="exact"/>
        <w:ind w:firstLine="643" w:firstLineChars="200"/>
        <w:textAlignment w:val="auto"/>
        <w:rPr>
          <w:rFonts w:hint="default" w:ascii="Times New Roman" w:hAnsi="Times New Roman" w:eastAsia="仿宋_GB2312" w:cs="Times New Roman"/>
          <w:b w:val="0"/>
          <w:bCs w:val="0"/>
          <w:color w:val="000000"/>
          <w:kern w:val="2"/>
          <w:sz w:val="32"/>
          <w:szCs w:val="32"/>
          <w:lang w:val="en-US" w:eastAsia="zh-CN" w:bidi="ar"/>
        </w:rPr>
      </w:pPr>
      <w:r>
        <w:rPr>
          <w:rFonts w:hint="eastAsia" w:ascii="Times New Roman" w:cs="Times New Roman"/>
          <w:b/>
          <w:bCs/>
          <w:color w:val="000000"/>
          <w:kern w:val="2"/>
          <w:sz w:val="32"/>
          <w:szCs w:val="32"/>
          <w:lang w:val="en-US" w:eastAsia="zh-CN" w:bidi="ar"/>
        </w:rPr>
        <w:t>11</w:t>
      </w:r>
      <w:r>
        <w:rPr>
          <w:rFonts w:hint="default" w:ascii="Times New Roman" w:hAnsi="Times New Roman" w:eastAsia="仿宋_GB2312" w:cs="Times New Roman"/>
          <w:b/>
          <w:bCs/>
          <w:color w:val="000000"/>
          <w:kern w:val="2"/>
          <w:sz w:val="32"/>
          <w:szCs w:val="32"/>
          <w:lang w:val="en-US" w:eastAsia="zh-CN" w:bidi="ar"/>
        </w:rPr>
        <w:t>.卫生健康（类）21011行政事业单位医疗（款）2101102事业单位医疗（项）:</w:t>
      </w:r>
      <w:r>
        <w:rPr>
          <w:rFonts w:hint="default" w:ascii="Times New Roman" w:hAnsi="Times New Roman" w:eastAsia="仿宋_GB2312" w:cs="Times New Roman"/>
          <w:b w:val="0"/>
          <w:bCs w:val="0"/>
          <w:color w:val="000000"/>
          <w:kern w:val="2"/>
          <w:sz w:val="32"/>
          <w:szCs w:val="32"/>
          <w:lang w:val="en-US" w:eastAsia="zh-CN" w:bidi="ar"/>
        </w:rPr>
        <w:t>支出决算为</w:t>
      </w:r>
      <w:r>
        <w:rPr>
          <w:rFonts w:hint="default" w:ascii="Times New Roman" w:hAnsi="Times New Roman" w:cs="Times New Roman"/>
          <w:b w:val="0"/>
          <w:bCs w:val="0"/>
          <w:color w:val="000000"/>
          <w:kern w:val="2"/>
          <w:sz w:val="32"/>
          <w:szCs w:val="32"/>
          <w:lang w:val="en-US" w:eastAsia="zh-CN" w:bidi="ar"/>
        </w:rPr>
        <w:t>3.22</w:t>
      </w:r>
      <w:r>
        <w:rPr>
          <w:rFonts w:hint="default" w:ascii="Times New Roman" w:hAnsi="Times New Roman" w:eastAsia="仿宋_GB2312" w:cs="Times New Roman"/>
          <w:b w:val="0"/>
          <w:bCs w:val="0"/>
          <w:color w:val="000000"/>
          <w:kern w:val="2"/>
          <w:sz w:val="32"/>
          <w:szCs w:val="32"/>
          <w:lang w:val="en-US" w:eastAsia="zh-CN" w:bidi="ar"/>
        </w:rPr>
        <w:t>万元，完成预算100%，决算数等于预算数。</w:t>
      </w:r>
    </w:p>
    <w:p w14:paraId="03AB491A">
      <w:pPr>
        <w:pStyle w:val="2"/>
        <w:keepNext w:val="0"/>
        <w:keepLines w:val="0"/>
        <w:pageBreakBefore w:val="0"/>
        <w:widowControl w:val="0"/>
        <w:kinsoku/>
        <w:wordWrap/>
        <w:overflowPunct/>
        <w:topLinePunct w:val="0"/>
        <w:autoSpaceDE/>
        <w:autoSpaceDN/>
        <w:bidi w:val="0"/>
        <w:adjustRightInd/>
        <w:snapToGrid/>
        <w:spacing w:beforeLines="0" w:line="580" w:lineRule="exact"/>
        <w:ind w:firstLine="643" w:firstLineChars="200"/>
        <w:textAlignment w:val="auto"/>
        <w:rPr>
          <w:rFonts w:hint="default" w:ascii="Times New Roman" w:hAnsi="Times New Roman" w:eastAsia="仿宋_GB2312" w:cs="Times New Roman"/>
          <w:b w:val="0"/>
          <w:bCs w:val="0"/>
          <w:color w:val="000000"/>
          <w:kern w:val="2"/>
          <w:sz w:val="32"/>
          <w:szCs w:val="32"/>
          <w:lang w:val="en-US" w:eastAsia="zh-CN" w:bidi="ar"/>
        </w:rPr>
      </w:pPr>
      <w:r>
        <w:rPr>
          <w:rFonts w:hint="eastAsia" w:ascii="Times New Roman" w:cs="Times New Roman"/>
          <w:b/>
          <w:bCs/>
          <w:color w:val="000000"/>
          <w:kern w:val="2"/>
          <w:sz w:val="32"/>
          <w:szCs w:val="32"/>
          <w:lang w:val="en-US" w:eastAsia="zh-CN" w:bidi="ar"/>
        </w:rPr>
        <w:t>12</w:t>
      </w:r>
      <w:r>
        <w:rPr>
          <w:rFonts w:hint="default" w:ascii="Times New Roman" w:hAnsi="Times New Roman" w:eastAsia="仿宋_GB2312" w:cs="Times New Roman"/>
          <w:b/>
          <w:bCs/>
          <w:color w:val="000000"/>
          <w:kern w:val="2"/>
          <w:sz w:val="32"/>
          <w:szCs w:val="32"/>
          <w:lang w:val="en-US" w:eastAsia="zh-CN" w:bidi="ar"/>
        </w:rPr>
        <w:t>.卫生健康（类）21011行政事业单位医疗（款）2101103事业单位医疗（项）:</w:t>
      </w:r>
      <w:r>
        <w:rPr>
          <w:rFonts w:hint="default" w:ascii="Times New Roman" w:hAnsi="Times New Roman" w:eastAsia="仿宋_GB2312" w:cs="Times New Roman"/>
          <w:b w:val="0"/>
          <w:bCs w:val="0"/>
          <w:color w:val="000000"/>
          <w:kern w:val="2"/>
          <w:sz w:val="32"/>
          <w:szCs w:val="32"/>
          <w:lang w:val="en-US" w:eastAsia="zh-CN" w:bidi="ar"/>
        </w:rPr>
        <w:t>支出决算为</w:t>
      </w:r>
      <w:r>
        <w:rPr>
          <w:rFonts w:hint="default" w:ascii="Times New Roman" w:hAnsi="Times New Roman" w:cs="Times New Roman"/>
          <w:b w:val="0"/>
          <w:bCs w:val="0"/>
          <w:color w:val="000000"/>
          <w:kern w:val="2"/>
          <w:sz w:val="32"/>
          <w:szCs w:val="32"/>
          <w:lang w:val="en-US" w:eastAsia="zh-CN" w:bidi="ar"/>
        </w:rPr>
        <w:t>8.84</w:t>
      </w:r>
      <w:r>
        <w:rPr>
          <w:rFonts w:hint="default" w:ascii="Times New Roman" w:hAnsi="Times New Roman" w:eastAsia="仿宋_GB2312" w:cs="Times New Roman"/>
          <w:b w:val="0"/>
          <w:bCs w:val="0"/>
          <w:color w:val="000000"/>
          <w:kern w:val="2"/>
          <w:sz w:val="32"/>
          <w:szCs w:val="32"/>
          <w:lang w:val="en-US" w:eastAsia="zh-CN" w:bidi="ar"/>
        </w:rPr>
        <w:t>万元，完成预算100%，决算数等于预算数。</w:t>
      </w:r>
    </w:p>
    <w:p w14:paraId="09F6BAD2">
      <w:pPr>
        <w:pStyle w:val="2"/>
        <w:keepNext w:val="0"/>
        <w:keepLines w:val="0"/>
        <w:pageBreakBefore w:val="0"/>
        <w:widowControl w:val="0"/>
        <w:kinsoku/>
        <w:wordWrap/>
        <w:overflowPunct/>
        <w:topLinePunct w:val="0"/>
        <w:autoSpaceDE/>
        <w:autoSpaceDN/>
        <w:bidi w:val="0"/>
        <w:adjustRightInd/>
        <w:snapToGrid/>
        <w:spacing w:beforeLines="0" w:line="580" w:lineRule="exact"/>
        <w:ind w:firstLine="643" w:firstLineChars="200"/>
        <w:textAlignment w:val="auto"/>
        <w:rPr>
          <w:rFonts w:hint="default" w:ascii="Times New Roman" w:hAnsi="Times New Roman" w:eastAsia="仿宋_GB2312" w:cs="Times New Roman"/>
          <w:b w:val="0"/>
          <w:bCs w:val="0"/>
          <w:color w:val="000000"/>
          <w:kern w:val="2"/>
          <w:sz w:val="32"/>
          <w:szCs w:val="32"/>
          <w:lang w:val="en-US" w:eastAsia="zh-CN" w:bidi="ar"/>
        </w:rPr>
      </w:pPr>
      <w:r>
        <w:rPr>
          <w:rFonts w:hint="eastAsia" w:ascii="Times New Roman" w:cs="Times New Roman"/>
          <w:b/>
          <w:bCs/>
          <w:color w:val="000000"/>
          <w:kern w:val="2"/>
          <w:sz w:val="32"/>
          <w:szCs w:val="32"/>
          <w:lang w:val="en-US" w:eastAsia="zh-CN" w:bidi="ar"/>
        </w:rPr>
        <w:t>13</w:t>
      </w:r>
      <w:r>
        <w:rPr>
          <w:rFonts w:hint="default" w:ascii="Times New Roman" w:hAnsi="Times New Roman" w:eastAsia="仿宋_GB2312" w:cs="Times New Roman"/>
          <w:b/>
          <w:bCs/>
          <w:color w:val="000000"/>
          <w:kern w:val="2"/>
          <w:sz w:val="32"/>
          <w:szCs w:val="32"/>
          <w:lang w:val="en-US" w:eastAsia="zh-CN" w:bidi="ar"/>
        </w:rPr>
        <w:t>.住房保障（类）22102住房保障支出（款）2210201住房公积金（项）:</w:t>
      </w:r>
      <w:r>
        <w:rPr>
          <w:rFonts w:hint="default" w:ascii="Times New Roman" w:hAnsi="Times New Roman" w:eastAsia="仿宋_GB2312" w:cs="Times New Roman"/>
          <w:b w:val="0"/>
          <w:bCs w:val="0"/>
          <w:color w:val="000000"/>
          <w:kern w:val="2"/>
          <w:sz w:val="32"/>
          <w:szCs w:val="32"/>
          <w:lang w:val="en-US" w:eastAsia="zh-CN" w:bidi="ar"/>
        </w:rPr>
        <w:t>支出决算为</w:t>
      </w:r>
      <w:r>
        <w:rPr>
          <w:rFonts w:hint="default" w:ascii="Times New Roman" w:hAnsi="Times New Roman" w:cs="Times New Roman"/>
          <w:b w:val="0"/>
          <w:bCs w:val="0"/>
          <w:color w:val="000000"/>
          <w:kern w:val="2"/>
          <w:sz w:val="32"/>
          <w:szCs w:val="32"/>
          <w:lang w:val="en-US" w:eastAsia="zh-CN" w:bidi="ar"/>
        </w:rPr>
        <w:t>56.85</w:t>
      </w:r>
      <w:r>
        <w:rPr>
          <w:rFonts w:hint="default" w:ascii="Times New Roman" w:hAnsi="Times New Roman" w:eastAsia="仿宋_GB2312" w:cs="Times New Roman"/>
          <w:b w:val="0"/>
          <w:bCs w:val="0"/>
          <w:color w:val="000000"/>
          <w:kern w:val="2"/>
          <w:sz w:val="32"/>
          <w:szCs w:val="32"/>
          <w:lang w:val="en-US" w:eastAsia="zh-CN" w:bidi="ar"/>
        </w:rPr>
        <w:t>万元，完成预算100%，决算数等于预算数。</w:t>
      </w:r>
    </w:p>
    <w:p w14:paraId="369D1E39">
      <w:pPr>
        <w:tabs>
          <w:tab w:val="right" w:pos="8306"/>
        </w:tabs>
        <w:spacing w:line="600" w:lineRule="exact"/>
        <w:ind w:firstLine="640" w:firstLineChars="0"/>
        <w:outlineLvl w:val="0"/>
        <w:rPr>
          <w:rStyle w:val="34"/>
          <w:rFonts w:hint="default" w:ascii="Times New Roman" w:hAnsi="Times New Roman" w:cs="Times New Roman"/>
          <w:color w:val="auto"/>
        </w:rPr>
      </w:pPr>
      <w:bookmarkStart w:id="39" w:name="_Toc15396608"/>
      <w:bookmarkStart w:id="40" w:name="_Toc15377214"/>
      <w:bookmarkStart w:id="41" w:name="_Toc22978"/>
      <w:r>
        <w:rPr>
          <w:rFonts w:hint="default" w:ascii="Times New Roman" w:hAnsi="Times New Roman" w:eastAsia="黑体" w:cs="Times New Roman"/>
          <w:color w:val="auto"/>
          <w:sz w:val="32"/>
          <w:szCs w:val="32"/>
        </w:rPr>
        <w:t>六</w:t>
      </w:r>
      <w:r>
        <w:rPr>
          <w:rFonts w:hint="default" w:ascii="Times New Roman" w:hAnsi="Times New Roman" w:eastAsia="黑体" w:cs="Times New Roman"/>
          <w:b/>
          <w:color w:val="auto"/>
          <w:sz w:val="32"/>
          <w:szCs w:val="32"/>
        </w:rPr>
        <w:t>、一</w:t>
      </w:r>
      <w:r>
        <w:rPr>
          <w:rStyle w:val="34"/>
          <w:rFonts w:hint="default" w:ascii="Times New Roman" w:hAnsi="Times New Roman" w:eastAsia="黑体" w:cs="Times New Roman"/>
          <w:b w:val="0"/>
          <w:color w:val="auto"/>
        </w:rPr>
        <w:t>般公共预算财政拨款基本支出决算情况说明</w:t>
      </w:r>
      <w:bookmarkEnd w:id="39"/>
      <w:bookmarkEnd w:id="40"/>
      <w:bookmarkEnd w:id="41"/>
      <w:r>
        <w:rPr>
          <w:rStyle w:val="34"/>
          <w:rFonts w:hint="default" w:ascii="Times New Roman" w:hAnsi="Times New Roman" w:eastAsia="黑体" w:cs="Times New Roman"/>
          <w:b w:val="0"/>
          <w:color w:val="auto"/>
        </w:rPr>
        <w:tab/>
      </w:r>
    </w:p>
    <w:p w14:paraId="64E5EA1D">
      <w:pPr>
        <w:spacing w:line="600" w:lineRule="exact"/>
        <w:ind w:firstLine="640"/>
        <w:rPr>
          <w:rFonts w:hint="default" w:ascii="Times New Roman" w:hAnsi="Times New Roman" w:eastAsia="仿宋_GB2312" w:cs="Times New Roman"/>
          <w:color w:val="auto"/>
          <w:kern w:val="2"/>
          <w:sz w:val="32"/>
          <w:szCs w:val="32"/>
          <w:highlight w:val="none"/>
          <w:lang w:val="en-US" w:eastAsia="zh-CN" w:bidi="ar-SA"/>
        </w:rPr>
      </w:pPr>
      <w:r>
        <w:rPr>
          <w:rFonts w:hint="eastAsia" w:eastAsia="仿宋_GB2312" w:cs="Times New Roman"/>
          <w:color w:val="auto"/>
          <w:kern w:val="2"/>
          <w:sz w:val="32"/>
          <w:szCs w:val="32"/>
          <w:highlight w:val="none"/>
          <w:lang w:val="en-US" w:eastAsia="zh-CN" w:bidi="ar-SA"/>
        </w:rPr>
        <w:t>2025</w:t>
      </w:r>
      <w:r>
        <w:rPr>
          <w:rFonts w:hint="default" w:ascii="Times New Roman" w:hAnsi="Times New Roman" w:eastAsia="仿宋_GB2312" w:cs="Times New Roman"/>
          <w:color w:val="auto"/>
          <w:kern w:val="2"/>
          <w:sz w:val="32"/>
          <w:szCs w:val="32"/>
          <w:highlight w:val="none"/>
          <w:lang w:val="en-US" w:eastAsia="zh-CN" w:bidi="ar-SA"/>
        </w:rPr>
        <w:t>年度一般公共预算财政拨款基本支出</w:t>
      </w:r>
      <w:r>
        <w:rPr>
          <w:rFonts w:hint="default" w:ascii="Times New Roman" w:hAnsi="Times New Roman" w:eastAsia="仿宋_GB2312" w:cs="Times New Roman"/>
          <w:sz w:val="32"/>
          <w:szCs w:val="32"/>
        </w:rPr>
        <w:t>1136.09</w:t>
      </w:r>
      <w:r>
        <w:rPr>
          <w:rFonts w:hint="default" w:ascii="Times New Roman" w:hAnsi="Times New Roman" w:eastAsia="仿宋_GB2312" w:cs="Times New Roman"/>
          <w:color w:val="auto"/>
          <w:kern w:val="2"/>
          <w:sz w:val="32"/>
          <w:szCs w:val="32"/>
          <w:highlight w:val="none"/>
          <w:lang w:val="en-US" w:eastAsia="zh-CN" w:bidi="ar-SA"/>
        </w:rPr>
        <w:t>万元，其中：</w:t>
      </w:r>
    </w:p>
    <w:p w14:paraId="173A8B54">
      <w:pPr>
        <w:keepNext w:val="0"/>
        <w:keepLines w:val="0"/>
        <w:pageBreakBefore w:val="0"/>
        <w:widowControl w:val="0"/>
        <w:kinsoku/>
        <w:wordWrap/>
        <w:overflowPunct/>
        <w:topLinePunct w:val="0"/>
        <w:autoSpaceDE/>
        <w:autoSpaceDN/>
        <w:bidi w:val="0"/>
        <w:adjustRightInd/>
        <w:snapToGrid/>
        <w:spacing w:line="580" w:lineRule="exact"/>
        <w:ind w:firstLine="641"/>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人员经费</w:t>
      </w:r>
      <w:r>
        <w:rPr>
          <w:rFonts w:hint="eastAsia" w:ascii="仿宋_GB2312" w:hAnsi="仿宋_GB2312" w:eastAsia="仿宋_GB2312" w:cs="仿宋_GB2312"/>
          <w:sz w:val="32"/>
          <w:szCs w:val="32"/>
        </w:rPr>
        <w:t>918.27</w:t>
      </w:r>
      <w:r>
        <w:rPr>
          <w:rFonts w:hint="default" w:ascii="Times New Roman" w:hAnsi="Times New Roman" w:eastAsia="仿宋_GB2312" w:cs="Times New Roman"/>
          <w:color w:val="auto"/>
          <w:kern w:val="2"/>
          <w:sz w:val="32"/>
          <w:szCs w:val="32"/>
          <w:highlight w:val="none"/>
          <w:lang w:val="en-US" w:eastAsia="zh-CN" w:bidi="ar-SA"/>
        </w:rPr>
        <w:t>万元，主要包括：基本工资、津贴补贴、奖金、伙食补助费、绩效工资、机关事业单位基本养老保险缴费、职业年金缴费、其他社会保障缴费、其他工资福利支出、离休费、退休费、抚恤金、生活补助、医疗费补助、奖励金、住房公积金、其他对个人和家庭的补助支出等。</w:t>
      </w:r>
      <w:r>
        <w:rPr>
          <w:rFonts w:hint="default" w:ascii="Times New Roman" w:hAnsi="Times New Roman" w:eastAsia="仿宋_GB2312" w:cs="Times New Roman"/>
          <w:color w:val="auto"/>
          <w:kern w:val="2"/>
          <w:sz w:val="32"/>
          <w:szCs w:val="32"/>
          <w:highlight w:val="none"/>
          <w:lang w:val="en-US" w:eastAsia="zh-CN" w:bidi="ar-SA"/>
        </w:rPr>
        <w:br w:type="textWrapping"/>
      </w:r>
      <w:r>
        <w:rPr>
          <w:rFonts w:hint="default" w:ascii="Times New Roman" w:hAnsi="Times New Roman" w:eastAsia="仿宋_GB2312" w:cs="Times New Roman"/>
          <w:color w:val="auto"/>
          <w:kern w:val="2"/>
          <w:sz w:val="32"/>
          <w:szCs w:val="32"/>
          <w:highlight w:val="none"/>
          <w:lang w:val="en-US" w:eastAsia="zh-CN" w:bidi="ar-SA"/>
        </w:rPr>
        <w:t>　　公用经费</w:t>
      </w:r>
      <w:r>
        <w:rPr>
          <w:rFonts w:hint="eastAsia" w:ascii="仿宋_GB2312" w:hAnsi="仿宋_GB2312" w:eastAsia="仿宋_GB2312" w:cs="仿宋_GB2312"/>
          <w:sz w:val="32"/>
          <w:szCs w:val="32"/>
        </w:rPr>
        <w:t>217.82</w:t>
      </w:r>
      <w:r>
        <w:rPr>
          <w:rFonts w:hint="default" w:ascii="Times New Roman" w:hAnsi="Times New Roman" w:eastAsia="仿宋_GB2312" w:cs="Times New Roman"/>
          <w:color w:val="auto"/>
          <w:kern w:val="2"/>
          <w:sz w:val="32"/>
          <w:szCs w:val="32"/>
          <w:highlight w:val="none"/>
          <w:lang w:val="en-US" w:eastAsia="zh-CN" w:bidi="ar-SA"/>
        </w:rPr>
        <w:t>万元，主要包括：办公费、印刷费、咨询费、手续费、水费、电费、邮电费、取暖费、物业管理费、差旅费、因公出国（境）费用、维修（护）费、租赁费、会议费、培训费、公务接待费、劳务费、委托业务费、工会经费、福利费、公务用车运行维护费、其他交通费、税金及附加费用、其他商品和服务支出、办公设备购置、专用设备购置、信息网络及软件购置更新、其他资本性支出等。</w:t>
      </w:r>
    </w:p>
    <w:p w14:paraId="114BF67A">
      <w:pPr>
        <w:spacing w:line="600" w:lineRule="exact"/>
        <w:ind w:firstLine="640" w:firstLineChars="0"/>
        <w:outlineLvl w:val="0"/>
        <w:rPr>
          <w:rStyle w:val="34"/>
          <w:rFonts w:hint="default" w:ascii="Times New Roman" w:hAnsi="Times New Roman" w:eastAsia="黑体" w:cs="Times New Roman"/>
          <w:b w:val="0"/>
          <w:color w:val="auto"/>
        </w:rPr>
      </w:pPr>
      <w:bookmarkStart w:id="42" w:name="_Toc15396609"/>
      <w:bookmarkStart w:id="43" w:name="_Toc31638"/>
      <w:bookmarkStart w:id="44" w:name="_Toc15377215"/>
      <w:r>
        <w:rPr>
          <w:rFonts w:hint="default" w:ascii="Times New Roman" w:hAnsi="Times New Roman" w:eastAsia="黑体" w:cs="Times New Roman"/>
          <w:color w:val="auto"/>
          <w:sz w:val="32"/>
          <w:szCs w:val="32"/>
        </w:rPr>
        <w:t>七、</w:t>
      </w:r>
      <w:r>
        <w:rPr>
          <w:rStyle w:val="34"/>
          <w:rFonts w:hint="default" w:ascii="Times New Roman" w:hAnsi="Times New Roman" w:eastAsia="黑体" w:cs="Times New Roman"/>
          <w:b w:val="0"/>
          <w:color w:val="auto"/>
        </w:rPr>
        <w:t>财政拨款</w:t>
      </w:r>
      <w:r>
        <w:rPr>
          <w:rStyle w:val="34"/>
          <w:rFonts w:hint="default" w:ascii="Times New Roman" w:hAnsi="Times New Roman" w:eastAsia="黑体" w:cs="Times New Roman"/>
          <w:color w:val="auto"/>
        </w:rPr>
        <w:t>“</w:t>
      </w:r>
      <w:r>
        <w:rPr>
          <w:rStyle w:val="34"/>
          <w:rFonts w:hint="default" w:ascii="Times New Roman" w:hAnsi="Times New Roman" w:eastAsia="黑体" w:cs="Times New Roman"/>
          <w:b w:val="0"/>
          <w:color w:val="auto"/>
        </w:rPr>
        <w:t>三公”经费支出决算情况说明</w:t>
      </w:r>
      <w:bookmarkEnd w:id="42"/>
      <w:bookmarkEnd w:id="43"/>
      <w:bookmarkEnd w:id="44"/>
    </w:p>
    <w:p w14:paraId="769F317F">
      <w:pPr>
        <w:suppressAutoHyphens/>
        <w:bidi w:val="0"/>
        <w:spacing w:line="600" w:lineRule="exact"/>
        <w:ind w:firstLine="643" w:firstLineChars="200"/>
        <w:outlineLvl w:val="1"/>
        <w:rPr>
          <w:rFonts w:hint="default" w:ascii="Times New Roman" w:hAnsi="Times New Roman" w:eastAsia="仿宋" w:cs="Times New Roman"/>
          <w:b/>
          <w:color w:val="auto"/>
          <w:sz w:val="32"/>
          <w:szCs w:val="32"/>
          <w:highlight w:val="none"/>
        </w:rPr>
      </w:pPr>
      <w:bookmarkStart w:id="45" w:name="_Toc15377216"/>
      <w:r>
        <w:rPr>
          <w:rFonts w:hint="default" w:ascii="Times New Roman" w:hAnsi="Times New Roman" w:eastAsia="楷体_GB2312" w:cs="Times New Roman"/>
          <w:b/>
          <w:color w:val="auto"/>
          <w:sz w:val="32"/>
          <w:szCs w:val="32"/>
          <w:highlight w:val="none"/>
          <w:lang w:val="en-US" w:eastAsia="zh-CN"/>
        </w:rPr>
        <w:t>（一）“三公”经费财政拨款支出决算总体情况说明</w:t>
      </w:r>
      <w:bookmarkEnd w:id="45"/>
    </w:p>
    <w:p w14:paraId="4519C26F">
      <w:pPr>
        <w:pStyle w:val="2"/>
        <w:keepNext w:val="0"/>
        <w:keepLines w:val="0"/>
        <w:pageBreakBefore w:val="0"/>
        <w:widowControl w:val="0"/>
        <w:kinsoku/>
        <w:wordWrap/>
        <w:overflowPunct/>
        <w:topLinePunct w:val="0"/>
        <w:autoSpaceDE/>
        <w:autoSpaceDN/>
        <w:bidi w:val="0"/>
        <w:adjustRightInd/>
        <w:snapToGrid/>
        <w:spacing w:beforeLines="0" w:line="580" w:lineRule="exact"/>
        <w:ind w:firstLine="640" w:firstLineChars="200"/>
        <w:textAlignment w:val="auto"/>
        <w:rPr>
          <w:rFonts w:hint="default" w:ascii="Times New Roman" w:hAnsi="Times New Roman" w:eastAsia="仿宋_GB2312" w:cs="Times New Roman"/>
          <w:b w:val="0"/>
          <w:bCs w:val="0"/>
          <w:color w:val="000000"/>
          <w:kern w:val="2"/>
          <w:sz w:val="32"/>
          <w:szCs w:val="32"/>
          <w:lang w:val="en-US" w:eastAsia="zh-CN" w:bidi="ar"/>
        </w:rPr>
      </w:pPr>
      <w:r>
        <w:rPr>
          <w:rFonts w:hint="eastAsia" w:ascii="Times New Roman" w:cs="Times New Roman"/>
          <w:b w:val="0"/>
          <w:bCs w:val="0"/>
          <w:color w:val="000000"/>
          <w:kern w:val="2"/>
          <w:sz w:val="32"/>
          <w:szCs w:val="32"/>
          <w:lang w:val="en-US" w:eastAsia="zh-CN" w:bidi="ar"/>
        </w:rPr>
        <w:t>2025</w:t>
      </w:r>
      <w:r>
        <w:rPr>
          <w:rFonts w:hint="default" w:ascii="Times New Roman" w:hAnsi="Times New Roman" w:eastAsia="仿宋_GB2312" w:cs="Times New Roman"/>
          <w:b w:val="0"/>
          <w:bCs w:val="0"/>
          <w:color w:val="000000"/>
          <w:kern w:val="2"/>
          <w:sz w:val="32"/>
          <w:szCs w:val="32"/>
          <w:lang w:val="en-US" w:eastAsia="zh-CN" w:bidi="ar"/>
        </w:rPr>
        <w:t>年度</w:t>
      </w:r>
      <w:r>
        <w:rPr>
          <w:rFonts w:hint="default" w:ascii="Times New Roman" w:hAnsi="Times New Roman" w:cs="Times New Roman"/>
          <w:b w:val="0"/>
          <w:bCs w:val="0"/>
          <w:color w:val="000000"/>
          <w:kern w:val="2"/>
          <w:sz w:val="32"/>
          <w:szCs w:val="32"/>
          <w:lang w:val="en-US" w:eastAsia="zh-CN" w:bidi="ar"/>
        </w:rPr>
        <w:t>“</w:t>
      </w:r>
      <w:r>
        <w:rPr>
          <w:rFonts w:hint="default" w:ascii="Times New Roman" w:hAnsi="Times New Roman" w:eastAsia="仿宋_GB2312" w:cs="Times New Roman"/>
          <w:b w:val="0"/>
          <w:bCs w:val="0"/>
          <w:color w:val="000000"/>
          <w:kern w:val="2"/>
          <w:sz w:val="32"/>
          <w:szCs w:val="32"/>
          <w:lang w:val="en-US" w:eastAsia="zh-CN" w:bidi="ar"/>
        </w:rPr>
        <w:t>三公</w:t>
      </w:r>
      <w:r>
        <w:rPr>
          <w:rFonts w:hint="default" w:ascii="Times New Roman" w:hAnsi="Times New Roman" w:cs="Times New Roman"/>
          <w:b w:val="0"/>
          <w:bCs w:val="0"/>
          <w:color w:val="000000"/>
          <w:kern w:val="2"/>
          <w:sz w:val="32"/>
          <w:szCs w:val="32"/>
          <w:lang w:val="en-US" w:eastAsia="zh-CN" w:bidi="ar"/>
        </w:rPr>
        <w:t>”</w:t>
      </w:r>
      <w:r>
        <w:rPr>
          <w:rFonts w:hint="default" w:ascii="Times New Roman" w:hAnsi="Times New Roman" w:eastAsia="仿宋_GB2312" w:cs="Times New Roman"/>
          <w:b w:val="0"/>
          <w:bCs w:val="0"/>
          <w:color w:val="000000"/>
          <w:kern w:val="2"/>
          <w:sz w:val="32"/>
          <w:szCs w:val="32"/>
          <w:lang w:val="en-US" w:eastAsia="zh-CN" w:bidi="ar"/>
        </w:rPr>
        <w:t>经费财政拨款支出决算为</w:t>
      </w:r>
      <w:r>
        <w:rPr>
          <w:rFonts w:hint="default" w:ascii="Times New Roman" w:hAnsi="Times New Roman" w:cs="Times New Roman"/>
          <w:b w:val="0"/>
          <w:bCs w:val="0"/>
          <w:color w:val="000000"/>
          <w:kern w:val="2"/>
          <w:sz w:val="32"/>
          <w:szCs w:val="32"/>
          <w:lang w:val="en-US" w:eastAsia="zh-CN" w:bidi="ar"/>
        </w:rPr>
        <w:t>17.9</w:t>
      </w:r>
      <w:r>
        <w:rPr>
          <w:rFonts w:hint="eastAsia" w:ascii="Times New Roman" w:cs="Times New Roman"/>
          <w:b w:val="0"/>
          <w:bCs w:val="0"/>
          <w:color w:val="000000"/>
          <w:kern w:val="2"/>
          <w:sz w:val="32"/>
          <w:szCs w:val="32"/>
          <w:lang w:val="en-US" w:eastAsia="zh-CN" w:bidi="ar"/>
        </w:rPr>
        <w:t>1</w:t>
      </w:r>
      <w:r>
        <w:rPr>
          <w:rFonts w:hint="default" w:ascii="Times New Roman" w:hAnsi="Times New Roman" w:eastAsia="仿宋_GB2312" w:cs="Times New Roman"/>
          <w:b w:val="0"/>
          <w:bCs w:val="0"/>
          <w:color w:val="000000"/>
          <w:kern w:val="2"/>
          <w:sz w:val="32"/>
          <w:szCs w:val="32"/>
          <w:lang w:val="en-US" w:eastAsia="zh-CN" w:bidi="ar"/>
        </w:rPr>
        <w:t>万元，完成预算</w:t>
      </w:r>
      <w:r>
        <w:rPr>
          <w:rFonts w:hint="default" w:ascii="Times New Roman" w:hAnsi="Times New Roman" w:cs="Times New Roman"/>
          <w:b w:val="0"/>
          <w:bCs w:val="0"/>
          <w:color w:val="000000"/>
          <w:kern w:val="2"/>
          <w:sz w:val="32"/>
          <w:szCs w:val="32"/>
          <w:lang w:val="en-US" w:eastAsia="zh-CN" w:bidi="ar"/>
        </w:rPr>
        <w:t>100</w:t>
      </w:r>
      <w:r>
        <w:rPr>
          <w:rFonts w:hint="default" w:ascii="Times New Roman" w:hAnsi="Times New Roman" w:eastAsia="仿宋_GB2312" w:cs="Times New Roman"/>
          <w:b w:val="0"/>
          <w:bCs w:val="0"/>
          <w:color w:val="000000"/>
          <w:kern w:val="2"/>
          <w:sz w:val="32"/>
          <w:szCs w:val="32"/>
          <w:lang w:val="en-US" w:eastAsia="zh-CN" w:bidi="ar"/>
        </w:rPr>
        <w:t>%，较上年度</w:t>
      </w:r>
      <w:r>
        <w:rPr>
          <w:rFonts w:hint="default" w:ascii="Times New Roman" w:hAnsi="Times New Roman" w:cs="Times New Roman"/>
          <w:b w:val="0"/>
          <w:bCs w:val="0"/>
          <w:color w:val="000000"/>
          <w:kern w:val="2"/>
          <w:sz w:val="32"/>
          <w:szCs w:val="32"/>
          <w:lang w:val="en-US" w:eastAsia="zh-CN" w:bidi="ar"/>
        </w:rPr>
        <w:t>减少</w:t>
      </w:r>
      <w:r>
        <w:rPr>
          <w:rFonts w:hint="eastAsia" w:ascii="Times New Roman" w:cs="Times New Roman"/>
          <w:b w:val="0"/>
          <w:bCs w:val="0"/>
          <w:color w:val="000000"/>
          <w:kern w:val="2"/>
          <w:sz w:val="32"/>
          <w:szCs w:val="32"/>
          <w:lang w:val="en-US" w:eastAsia="zh-CN" w:bidi="ar"/>
        </w:rPr>
        <w:t>0.01</w:t>
      </w:r>
      <w:r>
        <w:rPr>
          <w:rFonts w:hint="default" w:ascii="Times New Roman" w:hAnsi="Times New Roman" w:eastAsia="仿宋_GB2312" w:cs="Times New Roman"/>
          <w:b w:val="0"/>
          <w:bCs w:val="0"/>
          <w:color w:val="000000"/>
          <w:kern w:val="2"/>
          <w:sz w:val="32"/>
          <w:szCs w:val="32"/>
          <w:lang w:val="en-US" w:eastAsia="zh-CN" w:bidi="ar"/>
        </w:rPr>
        <w:t>万元，</w:t>
      </w:r>
      <w:r>
        <w:rPr>
          <w:rFonts w:hint="default" w:ascii="Times New Roman" w:hAnsi="Times New Roman" w:cs="Times New Roman"/>
          <w:b w:val="0"/>
          <w:bCs w:val="0"/>
          <w:color w:val="000000"/>
          <w:kern w:val="2"/>
          <w:sz w:val="32"/>
          <w:szCs w:val="32"/>
          <w:lang w:val="en-US" w:eastAsia="zh-CN" w:bidi="ar"/>
        </w:rPr>
        <w:t>减少</w:t>
      </w:r>
      <w:r>
        <w:rPr>
          <w:rFonts w:hint="eastAsia" w:ascii="Times New Roman" w:cs="Times New Roman"/>
          <w:b w:val="0"/>
          <w:bCs w:val="0"/>
          <w:color w:val="000000"/>
          <w:kern w:val="2"/>
          <w:sz w:val="32"/>
          <w:szCs w:val="32"/>
          <w:lang w:val="en-US" w:eastAsia="zh-CN" w:bidi="ar"/>
        </w:rPr>
        <w:t>0.05</w:t>
      </w:r>
      <w:r>
        <w:rPr>
          <w:rFonts w:hint="default" w:ascii="Times New Roman" w:hAnsi="Times New Roman" w:eastAsia="仿宋_GB2312" w:cs="Times New Roman"/>
          <w:b w:val="0"/>
          <w:bCs w:val="0"/>
          <w:color w:val="000000"/>
          <w:kern w:val="2"/>
          <w:sz w:val="32"/>
          <w:szCs w:val="32"/>
          <w:lang w:val="en-US" w:eastAsia="zh-CN" w:bidi="ar"/>
        </w:rPr>
        <w:t>%。</w:t>
      </w:r>
      <w:r>
        <w:rPr>
          <w:rFonts w:hint="eastAsia" w:ascii="Times New Roman" w:hAnsi="Times New Roman" w:eastAsia="仿宋_GB2312" w:cs="仿宋_GB2312"/>
          <w:color w:val="auto"/>
          <w:kern w:val="2"/>
          <w:sz w:val="32"/>
          <w:szCs w:val="32"/>
          <w:highlight w:val="none"/>
          <w:lang w:val="en-US" w:eastAsia="zh-CN" w:bidi="ar-SA"/>
        </w:rPr>
        <w:t>决算数与预算数持平</w:t>
      </w:r>
      <w:r>
        <w:rPr>
          <w:rFonts w:hint="eastAsia" w:ascii="Times New Roman" w:hAnsi="Times New Roman" w:cs="仿宋_GB2312"/>
          <w:color w:val="auto"/>
          <w:kern w:val="2"/>
          <w:sz w:val="32"/>
          <w:szCs w:val="32"/>
          <w:highlight w:val="none"/>
          <w:lang w:val="en-US" w:eastAsia="zh-CN" w:bidi="ar-SA"/>
        </w:rPr>
        <w:t>。</w:t>
      </w:r>
    </w:p>
    <w:p w14:paraId="3F819A60">
      <w:pPr>
        <w:suppressAutoHyphens/>
        <w:bidi w:val="0"/>
        <w:spacing w:line="600" w:lineRule="exact"/>
        <w:ind w:firstLine="643" w:firstLineChars="200"/>
        <w:outlineLvl w:val="1"/>
        <w:rPr>
          <w:rFonts w:hint="default" w:ascii="Times New Roman" w:hAnsi="Times New Roman" w:eastAsia="楷体_GB2312" w:cs="Times New Roman"/>
          <w:b/>
          <w:color w:val="auto"/>
          <w:sz w:val="32"/>
          <w:szCs w:val="32"/>
          <w:highlight w:val="none"/>
          <w:lang w:val="en-US" w:eastAsia="zh-CN"/>
        </w:rPr>
      </w:pPr>
      <w:bookmarkStart w:id="46" w:name="_Toc15377217"/>
      <w:r>
        <w:rPr>
          <w:rFonts w:hint="default" w:ascii="Times New Roman" w:hAnsi="Times New Roman" w:eastAsia="楷体_GB2312" w:cs="Times New Roman"/>
          <w:b/>
          <w:color w:val="auto"/>
          <w:sz w:val="32"/>
          <w:szCs w:val="32"/>
          <w:highlight w:val="none"/>
          <w:lang w:val="en-US" w:eastAsia="zh-CN"/>
        </w:rPr>
        <w:t>（二）“三公”经费财政拨款支出决算具体情况说明</w:t>
      </w:r>
      <w:bookmarkEnd w:id="46"/>
    </w:p>
    <w:p w14:paraId="287EA0A5">
      <w:pPr>
        <w:spacing w:line="600" w:lineRule="exact"/>
        <w:ind w:firstLine="640"/>
        <w:rPr>
          <w:rFonts w:hint="default" w:ascii="Times New Roman" w:hAnsi="Times New Roman" w:eastAsia="仿宋_GB2312" w:cs="Times New Roman"/>
          <w:color w:val="auto"/>
          <w:kern w:val="2"/>
          <w:sz w:val="32"/>
          <w:szCs w:val="32"/>
          <w:highlight w:val="none"/>
          <w:lang w:val="en-US" w:eastAsia="zh-CN" w:bidi="ar-SA"/>
        </w:rPr>
      </w:pPr>
      <w:r>
        <w:rPr>
          <w:rFonts w:hint="eastAsia" w:eastAsia="仿宋_GB2312" w:cs="Times New Roman"/>
          <w:color w:val="auto"/>
          <w:kern w:val="2"/>
          <w:sz w:val="32"/>
          <w:szCs w:val="32"/>
          <w:highlight w:val="none"/>
          <w:lang w:val="en-US" w:eastAsia="zh-CN" w:bidi="ar-SA"/>
        </w:rPr>
        <w:t>2025</w:t>
      </w:r>
      <w:r>
        <w:rPr>
          <w:rFonts w:hint="default" w:ascii="Times New Roman" w:hAnsi="Times New Roman" w:eastAsia="仿宋_GB2312" w:cs="Times New Roman"/>
          <w:color w:val="auto"/>
          <w:kern w:val="2"/>
          <w:sz w:val="32"/>
          <w:szCs w:val="32"/>
          <w:highlight w:val="none"/>
          <w:lang w:val="en-US" w:eastAsia="zh-CN" w:bidi="ar-SA"/>
        </w:rPr>
        <w:t>年度“三公”经费财政拨款支出决算中，因公出国（境）费支出决算</w:t>
      </w:r>
      <w:r>
        <w:rPr>
          <w:rFonts w:hint="default" w:ascii="Times New Roman" w:hAnsi="Times New Roman" w:eastAsia="仿宋_GB2312" w:cs="Times New Roman"/>
          <w:sz w:val="32"/>
          <w:szCs w:val="32"/>
        </w:rPr>
        <w:t>0</w:t>
      </w:r>
      <w:r>
        <w:rPr>
          <w:rFonts w:hint="default" w:ascii="Times New Roman" w:hAnsi="Times New Roman" w:eastAsia="仿宋_GB2312" w:cs="Times New Roman"/>
          <w:color w:val="auto"/>
          <w:kern w:val="2"/>
          <w:sz w:val="32"/>
          <w:szCs w:val="32"/>
          <w:highlight w:val="none"/>
          <w:lang w:val="en-US" w:eastAsia="zh-CN" w:bidi="ar-SA"/>
        </w:rPr>
        <w:t>万元，占0%；公务用车购置及运行维护费支出决算</w:t>
      </w:r>
      <w:r>
        <w:rPr>
          <w:rFonts w:hint="default" w:ascii="Times New Roman" w:hAnsi="Times New Roman" w:eastAsia="仿宋_GB2312" w:cs="Times New Roman"/>
          <w:sz w:val="32"/>
          <w:szCs w:val="32"/>
        </w:rPr>
        <w:t>16.5</w:t>
      </w:r>
      <w:r>
        <w:rPr>
          <w:rFonts w:hint="default" w:ascii="Times New Roman" w:hAnsi="Times New Roman" w:eastAsia="仿宋_GB2312" w:cs="Times New Roman"/>
          <w:color w:val="auto"/>
          <w:kern w:val="2"/>
          <w:sz w:val="32"/>
          <w:szCs w:val="32"/>
          <w:highlight w:val="none"/>
          <w:lang w:val="en-US" w:eastAsia="zh-CN" w:bidi="ar-SA"/>
        </w:rPr>
        <w:t>万元，占92.</w:t>
      </w:r>
      <w:r>
        <w:rPr>
          <w:rFonts w:hint="eastAsia" w:eastAsia="仿宋_GB2312" w:cs="Times New Roman"/>
          <w:color w:val="auto"/>
          <w:kern w:val="2"/>
          <w:sz w:val="32"/>
          <w:szCs w:val="32"/>
          <w:highlight w:val="none"/>
          <w:lang w:val="en-US" w:eastAsia="zh-CN" w:bidi="ar-SA"/>
        </w:rPr>
        <w:t>13</w:t>
      </w:r>
      <w:r>
        <w:rPr>
          <w:rFonts w:hint="default" w:ascii="Times New Roman" w:hAnsi="Times New Roman" w:eastAsia="仿宋_GB2312" w:cs="Times New Roman"/>
          <w:color w:val="auto"/>
          <w:kern w:val="2"/>
          <w:sz w:val="32"/>
          <w:szCs w:val="32"/>
          <w:highlight w:val="none"/>
          <w:lang w:val="en-US" w:eastAsia="zh-CN" w:bidi="ar-SA"/>
        </w:rPr>
        <w:t>%；公务接待费支出决算</w:t>
      </w:r>
      <w:r>
        <w:rPr>
          <w:rFonts w:hint="eastAsia" w:ascii="仿宋_GB2312" w:hAnsi="仿宋_GB2312" w:eastAsia="仿宋_GB2312" w:cs="仿宋_GB2312"/>
          <w:sz w:val="32"/>
          <w:szCs w:val="32"/>
        </w:rPr>
        <w:t>1.41</w:t>
      </w:r>
      <w:r>
        <w:rPr>
          <w:rFonts w:hint="default" w:ascii="Times New Roman" w:hAnsi="Times New Roman" w:eastAsia="仿宋_GB2312" w:cs="Times New Roman"/>
          <w:color w:val="auto"/>
          <w:kern w:val="2"/>
          <w:sz w:val="32"/>
          <w:szCs w:val="32"/>
          <w:highlight w:val="none"/>
          <w:lang w:val="en-US" w:eastAsia="zh-CN" w:bidi="ar-SA"/>
        </w:rPr>
        <w:t>万元，占</w:t>
      </w:r>
      <w:r>
        <w:rPr>
          <w:rFonts w:hint="eastAsia" w:eastAsia="仿宋_GB2312" w:cs="Times New Roman"/>
          <w:color w:val="auto"/>
          <w:kern w:val="2"/>
          <w:sz w:val="32"/>
          <w:szCs w:val="32"/>
          <w:highlight w:val="none"/>
          <w:lang w:val="en-US" w:eastAsia="zh-CN" w:bidi="ar-SA"/>
        </w:rPr>
        <w:t>7.87</w:t>
      </w:r>
      <w:r>
        <w:rPr>
          <w:rFonts w:hint="default" w:ascii="Times New Roman" w:hAnsi="Times New Roman" w:eastAsia="仿宋_GB2312" w:cs="Times New Roman"/>
          <w:color w:val="auto"/>
          <w:kern w:val="2"/>
          <w:sz w:val="32"/>
          <w:szCs w:val="32"/>
          <w:highlight w:val="none"/>
          <w:lang w:val="en-US" w:eastAsia="zh-CN" w:bidi="ar-SA"/>
        </w:rPr>
        <w:t>%。具体情况如下：</w:t>
      </w:r>
    </w:p>
    <w:p w14:paraId="0963A614">
      <w:pPr>
        <w:pStyle w:val="2"/>
        <w:rPr>
          <w:rFonts w:hint="eastAsia" w:ascii="仿宋" w:hAnsi="仿宋" w:eastAsia="仿宋"/>
          <w:color w:val="auto"/>
          <w:sz w:val="32"/>
          <w:szCs w:val="32"/>
        </w:rPr>
      </w:pPr>
      <w:r>
        <w:rPr>
          <w:rFonts w:hint="eastAsia" w:ascii="仿宋" w:hAnsi="仿宋" w:eastAsia="仿宋"/>
          <w:color w:val="000000"/>
          <w:sz w:val="32"/>
          <w:szCs w:val="32"/>
          <w:lang w:eastAsia="zh-CN"/>
        </w:rPr>
        <w:drawing>
          <wp:inline distT="0" distB="0" distL="114300" distR="114300">
            <wp:extent cx="5080000" cy="1986915"/>
            <wp:effectExtent l="5080" t="4445" r="20320" b="8890"/>
            <wp:docPr id="7"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3CD9905B">
      <w:pPr>
        <w:spacing w:line="600" w:lineRule="exact"/>
        <w:ind w:firstLine="640" w:firstLineChars="200"/>
        <w:rPr>
          <w:rFonts w:hint="eastAsia" w:ascii="仿宋_GB2312" w:hAnsi="Calibri" w:eastAsia="仿宋_GB2312" w:cs="仿宋_GB2312"/>
          <w:b w:val="0"/>
          <w:bCs w:val="0"/>
          <w:color w:val="000000"/>
          <w:kern w:val="2"/>
          <w:sz w:val="32"/>
          <w:szCs w:val="32"/>
          <w:lang w:val="en-US" w:eastAsia="zh-CN" w:bidi="ar"/>
        </w:rPr>
      </w:pPr>
      <w:r>
        <w:rPr>
          <w:rFonts w:hint="eastAsia" w:ascii="仿宋_GB2312" w:hAnsi="Calibri" w:eastAsia="仿宋_GB2312" w:cs="仿宋_GB2312"/>
          <w:b w:val="0"/>
          <w:bCs w:val="0"/>
          <w:color w:val="000000"/>
          <w:kern w:val="2"/>
          <w:sz w:val="32"/>
          <w:szCs w:val="32"/>
          <w:lang w:val="en-US" w:eastAsia="zh-CN" w:bidi="ar"/>
        </w:rPr>
        <w:t>（图7：“三公”经费财政拨款支出结构）（饼状图）</w:t>
      </w:r>
    </w:p>
    <w:p w14:paraId="013CDC69">
      <w:pPr>
        <w:suppressAutoHyphens/>
        <w:bidi w:val="0"/>
        <w:spacing w:line="600" w:lineRule="exact"/>
        <w:ind w:firstLine="643" w:firstLineChars="200"/>
        <w:outlineLvl w:val="9"/>
        <w:rPr>
          <w:rFonts w:hint="default" w:ascii="Times New Roman" w:hAnsi="Times New Roman" w:eastAsia="仿宋_GB2312" w:cs="Times New Roman"/>
          <w:color w:val="auto"/>
          <w:kern w:val="2"/>
          <w:sz w:val="32"/>
          <w:szCs w:val="32"/>
          <w:highlight w:val="none"/>
          <w:lang w:val="en-US" w:eastAsia="zh-CN" w:bidi="ar-SA"/>
        </w:rPr>
      </w:pPr>
      <w:bookmarkStart w:id="47" w:name="_Toc15396610"/>
      <w:bookmarkStart w:id="48" w:name="_Toc15377218"/>
      <w:r>
        <w:rPr>
          <w:rFonts w:hint="default" w:ascii="Times New Roman" w:hAnsi="Times New Roman" w:eastAsia="仿宋_GB2312" w:cs="Times New Roman"/>
          <w:b/>
          <w:bCs/>
          <w:color w:val="auto"/>
          <w:kern w:val="2"/>
          <w:sz w:val="32"/>
          <w:szCs w:val="32"/>
          <w:highlight w:val="none"/>
          <w:lang w:val="en-US" w:eastAsia="zh-CN" w:bidi="ar-SA"/>
        </w:rPr>
        <w:t>1.因公出国（境）经费支出0万元，完成预算0%。</w:t>
      </w:r>
      <w:r>
        <w:rPr>
          <w:rFonts w:hint="default" w:ascii="Times New Roman" w:hAnsi="Times New Roman" w:eastAsia="仿宋_GB2312" w:cs="Times New Roman"/>
          <w:color w:val="auto"/>
          <w:kern w:val="2"/>
          <w:sz w:val="32"/>
          <w:szCs w:val="32"/>
          <w:highlight w:val="none"/>
          <w:lang w:val="en-US" w:eastAsia="zh-CN" w:bidi="ar-SA"/>
        </w:rPr>
        <w:t>全年安排因公出国（境）团组</w:t>
      </w:r>
      <w:r>
        <w:rPr>
          <w:rFonts w:hint="default" w:ascii="Times New Roman" w:hAnsi="Times New Roman" w:eastAsia="仿宋_GB2312" w:cs="Times New Roman"/>
          <w:sz w:val="32"/>
          <w:szCs w:val="32"/>
        </w:rPr>
        <w:t>0</w:t>
      </w:r>
      <w:r>
        <w:rPr>
          <w:rFonts w:hint="default" w:ascii="Times New Roman" w:hAnsi="Times New Roman" w:eastAsia="仿宋_GB2312" w:cs="Times New Roman"/>
          <w:color w:val="auto"/>
          <w:kern w:val="2"/>
          <w:sz w:val="32"/>
          <w:szCs w:val="32"/>
          <w:highlight w:val="none"/>
          <w:lang w:val="en-US" w:eastAsia="zh-CN" w:bidi="ar-SA"/>
        </w:rPr>
        <w:t>次，出国（境）</w:t>
      </w:r>
      <w:r>
        <w:rPr>
          <w:rFonts w:hint="default" w:ascii="Times New Roman" w:hAnsi="Times New Roman" w:eastAsia="仿宋_GB2312" w:cs="Times New Roman"/>
          <w:sz w:val="32"/>
          <w:szCs w:val="32"/>
        </w:rPr>
        <w:t>0</w:t>
      </w:r>
      <w:r>
        <w:rPr>
          <w:rFonts w:hint="default" w:ascii="Times New Roman" w:hAnsi="Times New Roman" w:eastAsia="仿宋_GB2312" w:cs="Times New Roman"/>
          <w:color w:val="auto"/>
          <w:kern w:val="2"/>
          <w:sz w:val="32"/>
          <w:szCs w:val="32"/>
          <w:highlight w:val="none"/>
          <w:lang w:val="en-US" w:eastAsia="zh-CN" w:bidi="ar-SA"/>
        </w:rPr>
        <w:t>人。</w:t>
      </w:r>
    </w:p>
    <w:p w14:paraId="3103B5D9">
      <w:pPr>
        <w:keepNext w:val="0"/>
        <w:keepLines w:val="0"/>
        <w:pageBreakBefore w:val="0"/>
        <w:widowControl w:val="0"/>
        <w:kinsoku/>
        <w:wordWrap/>
        <w:overflowPunct/>
        <w:topLinePunct w:val="0"/>
        <w:autoSpaceDE/>
        <w:autoSpaceDN/>
        <w:bidi w:val="0"/>
        <w:adjustRightInd/>
        <w:snapToGrid/>
        <w:spacing w:line="580" w:lineRule="exact"/>
        <w:ind w:firstLine="641"/>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b/>
          <w:bCs/>
          <w:color w:val="auto"/>
          <w:kern w:val="2"/>
          <w:sz w:val="32"/>
          <w:szCs w:val="32"/>
          <w:highlight w:val="none"/>
          <w:lang w:val="en-US" w:eastAsia="zh-CN" w:bidi="ar-SA"/>
        </w:rPr>
        <w:t>2.公务用车购置及运行维护费支出16.5万元，完成预算100%。</w:t>
      </w:r>
      <w:r>
        <w:rPr>
          <w:rFonts w:hint="default" w:ascii="Times New Roman" w:hAnsi="Times New Roman" w:eastAsia="仿宋_GB2312" w:cs="Times New Roman"/>
          <w:color w:val="auto"/>
          <w:kern w:val="2"/>
          <w:sz w:val="32"/>
          <w:szCs w:val="32"/>
          <w:highlight w:val="none"/>
          <w:lang w:val="en-US" w:eastAsia="zh-CN" w:bidi="ar-SA"/>
        </w:rPr>
        <w:t>公务用车购置及运行维护费支出决算与</w:t>
      </w:r>
      <w:r>
        <w:rPr>
          <w:rFonts w:hint="eastAsia" w:eastAsia="仿宋_GB2312" w:cs="Times New Roman"/>
          <w:color w:val="auto"/>
          <w:kern w:val="2"/>
          <w:sz w:val="32"/>
          <w:szCs w:val="32"/>
          <w:highlight w:val="none"/>
          <w:lang w:val="en-US" w:eastAsia="zh-CN" w:bidi="ar-SA"/>
        </w:rPr>
        <w:t>2024</w:t>
      </w:r>
      <w:r>
        <w:rPr>
          <w:rFonts w:hint="default" w:ascii="Times New Roman" w:hAnsi="Times New Roman" w:eastAsia="仿宋_GB2312" w:cs="Times New Roman"/>
          <w:color w:val="auto"/>
          <w:kern w:val="2"/>
          <w:sz w:val="32"/>
          <w:szCs w:val="32"/>
          <w:highlight w:val="none"/>
          <w:lang w:val="en-US" w:eastAsia="zh-CN" w:bidi="ar-SA"/>
        </w:rPr>
        <w:t>年度持平。其中：公务用车购置支出</w:t>
      </w:r>
      <w:r>
        <w:rPr>
          <w:rFonts w:hint="default" w:ascii="Times New Roman" w:hAnsi="Times New Roman" w:eastAsia="仿宋_GB2312" w:cs="Times New Roman"/>
          <w:sz w:val="32"/>
          <w:szCs w:val="32"/>
        </w:rPr>
        <w:t>0</w:t>
      </w:r>
      <w:r>
        <w:rPr>
          <w:rFonts w:hint="default" w:ascii="Times New Roman" w:hAnsi="Times New Roman" w:eastAsia="仿宋_GB2312" w:cs="Times New Roman"/>
          <w:color w:val="auto"/>
          <w:kern w:val="2"/>
          <w:sz w:val="32"/>
          <w:szCs w:val="32"/>
          <w:highlight w:val="none"/>
          <w:lang w:val="en-US" w:eastAsia="zh-CN" w:bidi="ar-SA"/>
        </w:rPr>
        <w:t>万元。全年按规定更新购置公务用车</w:t>
      </w:r>
      <w:r>
        <w:rPr>
          <w:rFonts w:hint="eastAsia" w:eastAsia="仿宋_GB2312" w:cs="Times New Roman"/>
          <w:color w:val="auto"/>
          <w:kern w:val="2"/>
          <w:sz w:val="32"/>
          <w:szCs w:val="32"/>
          <w:highlight w:val="none"/>
          <w:lang w:val="en-US" w:eastAsia="zh-CN" w:bidi="ar-SA"/>
        </w:rPr>
        <w:t>0</w:t>
      </w:r>
      <w:r>
        <w:rPr>
          <w:rFonts w:hint="default" w:ascii="Times New Roman" w:hAnsi="Times New Roman" w:eastAsia="仿宋_GB2312" w:cs="Times New Roman"/>
          <w:color w:val="auto"/>
          <w:kern w:val="2"/>
          <w:sz w:val="32"/>
          <w:szCs w:val="32"/>
          <w:highlight w:val="none"/>
          <w:lang w:val="en-US" w:eastAsia="zh-CN" w:bidi="ar-SA"/>
        </w:rPr>
        <w:t>辆，其中：轿车</w:t>
      </w:r>
      <w:r>
        <w:rPr>
          <w:rFonts w:hint="eastAsia" w:eastAsia="仿宋_GB2312" w:cs="Times New Roman"/>
          <w:color w:val="auto"/>
          <w:kern w:val="2"/>
          <w:sz w:val="32"/>
          <w:szCs w:val="32"/>
          <w:highlight w:val="none"/>
          <w:lang w:val="en-US" w:eastAsia="zh-CN" w:bidi="ar-SA"/>
        </w:rPr>
        <w:t>0</w:t>
      </w:r>
      <w:r>
        <w:rPr>
          <w:rFonts w:hint="default" w:ascii="Times New Roman" w:hAnsi="Times New Roman" w:eastAsia="仿宋_GB2312" w:cs="Times New Roman"/>
          <w:color w:val="auto"/>
          <w:kern w:val="2"/>
          <w:sz w:val="32"/>
          <w:szCs w:val="32"/>
          <w:highlight w:val="none"/>
          <w:lang w:val="en-US" w:eastAsia="zh-CN" w:bidi="ar-SA"/>
        </w:rPr>
        <w:t>辆、金额0万元，越野车0辆、金额0万元，载客汽车0辆、金额0万元。截至</w:t>
      </w:r>
      <w:r>
        <w:rPr>
          <w:rFonts w:hint="eastAsia" w:eastAsia="仿宋_GB2312" w:cs="Times New Roman"/>
          <w:color w:val="auto"/>
          <w:kern w:val="2"/>
          <w:sz w:val="32"/>
          <w:szCs w:val="32"/>
          <w:highlight w:val="none"/>
          <w:lang w:val="en-US" w:eastAsia="zh-CN" w:bidi="ar-SA"/>
        </w:rPr>
        <w:t>2025</w:t>
      </w:r>
      <w:r>
        <w:rPr>
          <w:rFonts w:hint="default" w:ascii="Times New Roman" w:hAnsi="Times New Roman" w:eastAsia="仿宋_GB2312" w:cs="Times New Roman"/>
          <w:color w:val="auto"/>
          <w:kern w:val="2"/>
          <w:sz w:val="32"/>
          <w:szCs w:val="32"/>
          <w:highlight w:val="none"/>
          <w:lang w:val="en-US" w:eastAsia="zh-CN" w:bidi="ar-SA"/>
        </w:rPr>
        <w:t>年12月31日，单位共有公务用车6辆，其中：轿车4辆、越野车2辆。</w:t>
      </w:r>
    </w:p>
    <w:p w14:paraId="5EE3F823">
      <w:pPr>
        <w:spacing w:line="600" w:lineRule="exact"/>
        <w:ind w:firstLine="640" w:firstLineChars="200"/>
        <w:rPr>
          <w:rFonts w:hint="default" w:ascii="Times New Roman" w:hAnsi="Times New Roman" w:eastAsia="仿宋_GB2312" w:cs="Times New Roman"/>
          <w:b w:val="0"/>
          <w:bCs w:val="0"/>
          <w:color w:val="000000"/>
          <w:kern w:val="2"/>
          <w:sz w:val="32"/>
          <w:szCs w:val="32"/>
          <w:lang w:val="en-US" w:eastAsia="zh-CN" w:bidi="ar"/>
        </w:rPr>
      </w:pPr>
      <w:r>
        <w:rPr>
          <w:rFonts w:hint="default" w:ascii="Times New Roman" w:hAnsi="Times New Roman" w:eastAsia="仿宋_GB2312" w:cs="Times New Roman"/>
          <w:color w:val="auto"/>
          <w:kern w:val="2"/>
          <w:sz w:val="32"/>
          <w:szCs w:val="32"/>
          <w:highlight w:val="none"/>
          <w:lang w:val="en-US" w:eastAsia="zh-CN" w:bidi="ar-SA"/>
        </w:rPr>
        <w:t>公务用车运行维护费支出</w:t>
      </w:r>
      <w:r>
        <w:rPr>
          <w:rFonts w:hint="default" w:ascii="Times New Roman" w:hAnsi="Times New Roman" w:eastAsia="仿宋_GB2312" w:cs="Times New Roman"/>
          <w:sz w:val="32"/>
          <w:szCs w:val="32"/>
        </w:rPr>
        <w:t>16.5</w:t>
      </w:r>
      <w:r>
        <w:rPr>
          <w:rFonts w:hint="default" w:ascii="Times New Roman" w:hAnsi="Times New Roman" w:eastAsia="仿宋_GB2312" w:cs="Times New Roman"/>
          <w:color w:val="auto"/>
          <w:kern w:val="2"/>
          <w:sz w:val="32"/>
          <w:szCs w:val="32"/>
          <w:highlight w:val="none"/>
          <w:lang w:val="en-US" w:eastAsia="zh-CN" w:bidi="ar-SA"/>
        </w:rPr>
        <w:t>万元。主要用于</w:t>
      </w:r>
      <w:r>
        <w:rPr>
          <w:rFonts w:hint="default" w:ascii="Times New Roman" w:hAnsi="Times New Roman" w:eastAsia="仿宋_GB2312" w:cs="Times New Roman"/>
          <w:b w:val="0"/>
          <w:bCs w:val="0"/>
          <w:color w:val="000000"/>
          <w:kern w:val="2"/>
          <w:sz w:val="32"/>
          <w:szCs w:val="32"/>
          <w:lang w:val="en-US" w:eastAsia="zh-CN" w:bidi="ar"/>
        </w:rPr>
        <w:t>主要用于办案和检察业务工作中出差等所需的公务用车燃料费、维修费、过路过桥费、保险费等支出。</w:t>
      </w:r>
    </w:p>
    <w:p w14:paraId="1E869E3C">
      <w:pPr>
        <w:spacing w:line="600" w:lineRule="exact"/>
        <w:ind w:firstLine="64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b/>
          <w:bCs/>
          <w:color w:val="auto"/>
          <w:kern w:val="2"/>
          <w:sz w:val="32"/>
          <w:szCs w:val="32"/>
          <w:highlight w:val="none"/>
          <w:lang w:val="en-US" w:eastAsia="zh-CN" w:bidi="ar-SA"/>
        </w:rPr>
        <w:t>3.公务接待费支出1.4</w:t>
      </w:r>
      <w:r>
        <w:rPr>
          <w:rFonts w:hint="eastAsia" w:eastAsia="仿宋_GB2312" w:cs="Times New Roman"/>
          <w:b/>
          <w:bCs/>
          <w:color w:val="auto"/>
          <w:kern w:val="2"/>
          <w:sz w:val="32"/>
          <w:szCs w:val="32"/>
          <w:highlight w:val="none"/>
          <w:lang w:val="en-US" w:eastAsia="zh-CN" w:bidi="ar-SA"/>
        </w:rPr>
        <w:t>1</w:t>
      </w:r>
      <w:r>
        <w:rPr>
          <w:rFonts w:hint="default" w:ascii="Times New Roman" w:hAnsi="Times New Roman" w:eastAsia="仿宋_GB2312" w:cs="Times New Roman"/>
          <w:b/>
          <w:bCs/>
          <w:color w:val="auto"/>
          <w:kern w:val="2"/>
          <w:sz w:val="32"/>
          <w:szCs w:val="32"/>
          <w:highlight w:val="none"/>
          <w:lang w:val="en-US" w:eastAsia="zh-CN" w:bidi="ar-SA"/>
        </w:rPr>
        <w:t>万元，完成预算100%。</w:t>
      </w:r>
      <w:r>
        <w:rPr>
          <w:rFonts w:hint="default" w:ascii="Times New Roman" w:hAnsi="Times New Roman" w:eastAsia="仿宋_GB2312" w:cs="Times New Roman"/>
          <w:color w:val="auto"/>
          <w:kern w:val="2"/>
          <w:sz w:val="32"/>
          <w:szCs w:val="32"/>
          <w:highlight w:val="none"/>
          <w:lang w:val="en-US" w:eastAsia="zh-CN" w:bidi="ar-SA"/>
        </w:rPr>
        <w:t>公务接待费支出决算比</w:t>
      </w:r>
      <w:r>
        <w:rPr>
          <w:rFonts w:hint="eastAsia" w:eastAsia="仿宋_GB2312" w:cs="Times New Roman"/>
          <w:color w:val="auto"/>
          <w:kern w:val="2"/>
          <w:sz w:val="32"/>
          <w:szCs w:val="32"/>
          <w:highlight w:val="none"/>
          <w:lang w:val="en-US" w:eastAsia="zh-CN" w:bidi="ar-SA"/>
        </w:rPr>
        <w:t>2024</w:t>
      </w:r>
      <w:r>
        <w:rPr>
          <w:rFonts w:hint="default" w:ascii="Times New Roman" w:hAnsi="Times New Roman" w:eastAsia="仿宋_GB2312" w:cs="Times New Roman"/>
          <w:color w:val="auto"/>
          <w:kern w:val="2"/>
          <w:sz w:val="32"/>
          <w:szCs w:val="32"/>
          <w:highlight w:val="none"/>
          <w:lang w:val="en-US" w:eastAsia="zh-CN" w:bidi="ar-SA"/>
        </w:rPr>
        <w:t>年度减少</w:t>
      </w:r>
      <w:r>
        <w:rPr>
          <w:rFonts w:hint="eastAsia" w:eastAsia="仿宋_GB2312" w:cs="Times New Roman"/>
          <w:color w:val="auto"/>
          <w:kern w:val="2"/>
          <w:sz w:val="32"/>
          <w:szCs w:val="32"/>
          <w:highlight w:val="none"/>
          <w:lang w:val="en-US" w:eastAsia="zh-CN" w:bidi="ar-SA"/>
        </w:rPr>
        <w:t>0.01</w:t>
      </w:r>
      <w:r>
        <w:rPr>
          <w:rFonts w:hint="default" w:ascii="Times New Roman" w:hAnsi="Times New Roman" w:eastAsia="仿宋_GB2312" w:cs="Times New Roman"/>
          <w:color w:val="auto"/>
          <w:kern w:val="2"/>
          <w:sz w:val="32"/>
          <w:szCs w:val="32"/>
          <w:highlight w:val="none"/>
          <w:lang w:val="en-US" w:eastAsia="zh-CN" w:bidi="ar-SA"/>
        </w:rPr>
        <w:t>万元，下降</w:t>
      </w:r>
      <w:r>
        <w:rPr>
          <w:rFonts w:hint="eastAsia" w:eastAsia="仿宋_GB2312" w:cs="Times New Roman"/>
          <w:color w:val="auto"/>
          <w:kern w:val="2"/>
          <w:sz w:val="32"/>
          <w:szCs w:val="32"/>
          <w:highlight w:val="none"/>
          <w:lang w:val="en-US" w:eastAsia="zh-CN" w:bidi="ar-SA"/>
        </w:rPr>
        <w:t>0.05</w:t>
      </w:r>
      <w:r>
        <w:rPr>
          <w:rFonts w:hint="default" w:ascii="Times New Roman" w:hAnsi="Times New Roman" w:eastAsia="仿宋_GB2312" w:cs="Times New Roman"/>
          <w:color w:val="auto"/>
          <w:kern w:val="2"/>
          <w:sz w:val="32"/>
          <w:szCs w:val="32"/>
          <w:highlight w:val="none"/>
          <w:lang w:val="en-US" w:eastAsia="zh-CN" w:bidi="ar-SA"/>
        </w:rPr>
        <w:t>%。主要原因是</w:t>
      </w:r>
      <w:r>
        <w:rPr>
          <w:rFonts w:hint="default" w:ascii="Times New Roman" w:hAnsi="Times New Roman" w:eastAsia="仿宋_GB2312" w:cs="Times New Roman"/>
          <w:b w:val="0"/>
          <w:bCs w:val="0"/>
          <w:color w:val="000000"/>
          <w:kern w:val="2"/>
          <w:sz w:val="32"/>
          <w:szCs w:val="32"/>
          <w:lang w:val="en-US" w:eastAsia="zh-CN" w:bidi="ar"/>
        </w:rPr>
        <w:t>主要原因是我院坚持厉行勤俭节约、反对铺张浪费原则，严格按照公务接待标准执行，同时</w:t>
      </w:r>
      <w:r>
        <w:rPr>
          <w:rFonts w:hint="eastAsia" w:eastAsia="仿宋_GB2312" w:cs="Times New Roman"/>
          <w:b w:val="0"/>
          <w:bCs w:val="0"/>
          <w:color w:val="000000"/>
          <w:kern w:val="2"/>
          <w:sz w:val="32"/>
          <w:szCs w:val="32"/>
          <w:lang w:val="en-US" w:eastAsia="zh-CN" w:bidi="ar"/>
        </w:rPr>
        <w:t>2025</w:t>
      </w:r>
      <w:r>
        <w:rPr>
          <w:rFonts w:hint="default" w:ascii="Times New Roman" w:hAnsi="Times New Roman" w:eastAsia="仿宋_GB2312" w:cs="Times New Roman"/>
          <w:b w:val="0"/>
          <w:bCs w:val="0"/>
          <w:color w:val="000000"/>
          <w:kern w:val="2"/>
          <w:sz w:val="32"/>
          <w:szCs w:val="32"/>
          <w:lang w:val="en-US" w:eastAsia="zh-CN" w:bidi="ar"/>
        </w:rPr>
        <w:t>年上级部门来院案件指导较上年有所减少，导致公务接待费用较上年减少。</w:t>
      </w:r>
      <w:r>
        <w:rPr>
          <w:rFonts w:hint="default" w:ascii="Times New Roman" w:hAnsi="Times New Roman" w:eastAsia="仿宋_GB2312" w:cs="Times New Roman"/>
          <w:color w:val="auto"/>
          <w:kern w:val="2"/>
          <w:sz w:val="32"/>
          <w:szCs w:val="32"/>
          <w:highlight w:val="none"/>
          <w:lang w:val="en-US" w:eastAsia="zh-CN" w:bidi="ar-SA"/>
        </w:rPr>
        <w:t>其中：</w:t>
      </w:r>
    </w:p>
    <w:p w14:paraId="3221389B">
      <w:pPr>
        <w:spacing w:line="600" w:lineRule="exact"/>
        <w:ind w:firstLine="64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国内公务接待支出</w:t>
      </w:r>
      <w:r>
        <w:rPr>
          <w:rFonts w:hint="default" w:ascii="Times New Roman" w:hAnsi="Times New Roman" w:eastAsia="仿宋_GB2312" w:cs="Times New Roman"/>
          <w:sz w:val="32"/>
          <w:szCs w:val="32"/>
        </w:rPr>
        <w:t>1.4</w:t>
      </w:r>
      <w:r>
        <w:rPr>
          <w:rFonts w:hint="eastAsia" w:eastAsia="仿宋_GB2312" w:cs="Times New Roman"/>
          <w:sz w:val="32"/>
          <w:szCs w:val="32"/>
          <w:lang w:val="en-US" w:eastAsia="zh-CN"/>
        </w:rPr>
        <w:t>1</w:t>
      </w:r>
      <w:r>
        <w:rPr>
          <w:rFonts w:hint="default" w:ascii="Times New Roman" w:hAnsi="Times New Roman" w:eastAsia="仿宋_GB2312" w:cs="Times New Roman"/>
          <w:color w:val="auto"/>
          <w:kern w:val="2"/>
          <w:sz w:val="32"/>
          <w:szCs w:val="32"/>
          <w:highlight w:val="none"/>
          <w:lang w:val="en-US" w:eastAsia="zh-CN" w:bidi="ar-SA"/>
        </w:rPr>
        <w:t>万元，主要用于</w:t>
      </w:r>
      <w:r>
        <w:rPr>
          <w:rFonts w:hint="default" w:ascii="Times New Roman" w:hAnsi="Times New Roman" w:eastAsia="仿宋_GB2312" w:cs="Times New Roman"/>
          <w:b w:val="0"/>
          <w:bCs w:val="0"/>
          <w:color w:val="000000"/>
          <w:kern w:val="2"/>
          <w:sz w:val="32"/>
          <w:szCs w:val="32"/>
          <w:lang w:val="en-US" w:eastAsia="zh-CN" w:bidi="ar"/>
        </w:rPr>
        <w:t>主要用于上级部门来院检查调研、案件指导等工作和各县区院交流学习过程中接待费用</w:t>
      </w:r>
      <w:r>
        <w:rPr>
          <w:rFonts w:hint="default" w:ascii="Times New Roman" w:hAnsi="Times New Roman" w:eastAsia="仿宋_GB2312" w:cs="Times New Roman"/>
          <w:color w:val="auto"/>
          <w:kern w:val="2"/>
          <w:sz w:val="32"/>
          <w:szCs w:val="32"/>
          <w:highlight w:val="none"/>
          <w:lang w:val="en-US" w:eastAsia="zh-CN" w:bidi="ar-SA"/>
        </w:rPr>
        <w:t>。国内公务接待</w:t>
      </w:r>
      <w:r>
        <w:rPr>
          <w:rFonts w:hint="eastAsia" w:eastAsia="仿宋_GB2312" w:cs="Times New Roman"/>
          <w:sz w:val="32"/>
          <w:szCs w:val="32"/>
          <w:lang w:val="en-US" w:eastAsia="zh-CN"/>
        </w:rPr>
        <w:t>10</w:t>
      </w:r>
      <w:r>
        <w:rPr>
          <w:rFonts w:hint="default" w:ascii="Times New Roman" w:hAnsi="Times New Roman" w:eastAsia="仿宋_GB2312" w:cs="Times New Roman"/>
          <w:color w:val="auto"/>
          <w:kern w:val="2"/>
          <w:sz w:val="32"/>
          <w:szCs w:val="32"/>
          <w:highlight w:val="none"/>
          <w:lang w:val="en-US" w:eastAsia="zh-CN" w:bidi="ar-SA"/>
        </w:rPr>
        <w:t>批次，</w:t>
      </w:r>
      <w:r>
        <w:rPr>
          <w:rFonts w:hint="eastAsia" w:eastAsia="仿宋_GB2312" w:cs="Times New Roman"/>
          <w:sz w:val="32"/>
          <w:szCs w:val="32"/>
          <w:lang w:val="en-US" w:eastAsia="zh-CN"/>
        </w:rPr>
        <w:t>88</w:t>
      </w:r>
      <w:r>
        <w:rPr>
          <w:rFonts w:hint="default" w:ascii="Times New Roman" w:hAnsi="Times New Roman" w:eastAsia="仿宋_GB2312" w:cs="Times New Roman"/>
          <w:color w:val="auto"/>
          <w:kern w:val="2"/>
          <w:sz w:val="32"/>
          <w:szCs w:val="32"/>
          <w:highlight w:val="none"/>
          <w:lang w:val="en-US" w:eastAsia="zh-CN" w:bidi="ar-SA"/>
        </w:rPr>
        <w:t>人次（不包括陪同人员），共计支出1.4</w:t>
      </w:r>
      <w:r>
        <w:rPr>
          <w:rFonts w:hint="eastAsia" w:eastAsia="仿宋_GB2312" w:cs="Times New Roman"/>
          <w:color w:val="auto"/>
          <w:kern w:val="2"/>
          <w:sz w:val="32"/>
          <w:szCs w:val="32"/>
          <w:highlight w:val="none"/>
          <w:lang w:val="en-US" w:eastAsia="zh-CN" w:bidi="ar-SA"/>
        </w:rPr>
        <w:t>1</w:t>
      </w:r>
      <w:r>
        <w:rPr>
          <w:rFonts w:hint="default" w:ascii="Times New Roman" w:hAnsi="Times New Roman" w:eastAsia="仿宋_GB2312" w:cs="Times New Roman"/>
          <w:color w:val="auto"/>
          <w:kern w:val="2"/>
          <w:sz w:val="32"/>
          <w:szCs w:val="32"/>
          <w:highlight w:val="none"/>
          <w:lang w:val="en-US" w:eastAsia="zh-CN" w:bidi="ar-SA"/>
        </w:rPr>
        <w:t>万元，具体内容包括：</w:t>
      </w:r>
      <w:r>
        <w:rPr>
          <w:rFonts w:hint="default" w:ascii="Times New Roman" w:hAnsi="Times New Roman" w:eastAsia="仿宋_GB2312" w:cs="Times New Roman"/>
          <w:b w:val="0"/>
          <w:bCs w:val="0"/>
          <w:color w:val="000000"/>
          <w:kern w:val="2"/>
          <w:sz w:val="32"/>
          <w:szCs w:val="32"/>
          <w:lang w:val="en-US" w:eastAsia="zh-CN" w:bidi="ar"/>
        </w:rPr>
        <w:t>体内容包括上级部门工作检查、上级业务部门案件指导和各县区院交流学习事项</w:t>
      </w:r>
      <w:r>
        <w:rPr>
          <w:rFonts w:hint="default" w:ascii="Times New Roman" w:hAnsi="Times New Roman" w:eastAsia="仿宋_GB2312" w:cs="Times New Roman"/>
          <w:color w:val="auto"/>
          <w:kern w:val="2"/>
          <w:sz w:val="32"/>
          <w:szCs w:val="32"/>
          <w:highlight w:val="none"/>
          <w:lang w:val="en-US" w:eastAsia="zh-CN" w:bidi="ar-SA"/>
        </w:rPr>
        <w:t>。</w:t>
      </w:r>
    </w:p>
    <w:p w14:paraId="526F2BBD">
      <w:pPr>
        <w:spacing w:line="600" w:lineRule="exact"/>
        <w:ind w:firstLine="64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外事接待支出</w:t>
      </w:r>
      <w:r>
        <w:rPr>
          <w:rFonts w:hint="default" w:ascii="Times New Roman" w:hAnsi="Times New Roman" w:eastAsia="仿宋_GB2312" w:cs="Times New Roman"/>
          <w:sz w:val="32"/>
          <w:szCs w:val="32"/>
        </w:rPr>
        <w:t>0</w:t>
      </w:r>
      <w:r>
        <w:rPr>
          <w:rFonts w:hint="default" w:ascii="Times New Roman" w:hAnsi="Times New Roman" w:eastAsia="仿宋_GB2312" w:cs="Times New Roman"/>
          <w:color w:val="auto"/>
          <w:kern w:val="2"/>
          <w:sz w:val="32"/>
          <w:szCs w:val="32"/>
          <w:highlight w:val="none"/>
          <w:lang w:val="en-US" w:eastAsia="zh-CN" w:bidi="ar-SA"/>
        </w:rPr>
        <w:t>万元。</w:t>
      </w:r>
    </w:p>
    <w:p w14:paraId="4CF8B95F">
      <w:pPr>
        <w:spacing w:line="600" w:lineRule="exact"/>
        <w:ind w:firstLine="640" w:firstLineChars="0"/>
        <w:outlineLvl w:val="0"/>
        <w:rPr>
          <w:rStyle w:val="34"/>
          <w:rFonts w:hint="default" w:ascii="Times New Roman" w:hAnsi="Times New Roman" w:eastAsia="黑体" w:cs="Times New Roman"/>
          <w:color w:val="auto"/>
        </w:rPr>
      </w:pPr>
      <w:bookmarkStart w:id="49" w:name="_Toc3011"/>
      <w:r>
        <w:rPr>
          <w:rFonts w:hint="default" w:ascii="Times New Roman" w:hAnsi="Times New Roman" w:eastAsia="黑体" w:cs="Times New Roman"/>
          <w:color w:val="auto"/>
          <w:sz w:val="32"/>
          <w:szCs w:val="32"/>
        </w:rPr>
        <w:t>八、</w:t>
      </w:r>
      <w:r>
        <w:rPr>
          <w:rStyle w:val="34"/>
          <w:rFonts w:hint="default" w:ascii="Times New Roman" w:hAnsi="Times New Roman" w:eastAsia="黑体" w:cs="Times New Roman"/>
          <w:b w:val="0"/>
          <w:color w:val="auto"/>
        </w:rPr>
        <w:t>政府性基金预算支出决算情况说明</w:t>
      </w:r>
      <w:bookmarkEnd w:id="47"/>
      <w:bookmarkEnd w:id="48"/>
      <w:bookmarkEnd w:id="49"/>
    </w:p>
    <w:p w14:paraId="5D90DF48">
      <w:pPr>
        <w:spacing w:line="600" w:lineRule="exact"/>
        <w:ind w:firstLine="640" w:firstLineChars="200"/>
        <w:rPr>
          <w:rFonts w:hint="default" w:ascii="Times New Roman" w:hAnsi="Times New Roman" w:eastAsia="仿宋_GB2312" w:cs="Times New Roman"/>
          <w:b w:val="0"/>
          <w:bCs w:val="0"/>
          <w:color w:val="000000"/>
          <w:kern w:val="2"/>
          <w:sz w:val="32"/>
          <w:szCs w:val="32"/>
          <w:lang w:val="en-US" w:eastAsia="zh-CN" w:bidi="ar"/>
        </w:rPr>
      </w:pPr>
      <w:r>
        <w:rPr>
          <w:rFonts w:hint="eastAsia" w:eastAsia="仿宋_GB2312" w:cs="Times New Roman"/>
          <w:b w:val="0"/>
          <w:bCs w:val="0"/>
          <w:color w:val="000000"/>
          <w:kern w:val="2"/>
          <w:sz w:val="32"/>
          <w:szCs w:val="32"/>
          <w:lang w:val="en-US" w:eastAsia="zh-CN" w:bidi="ar"/>
        </w:rPr>
        <w:t>2025</w:t>
      </w:r>
      <w:r>
        <w:rPr>
          <w:rFonts w:hint="default" w:ascii="Times New Roman" w:hAnsi="Times New Roman" w:eastAsia="仿宋_GB2312" w:cs="Times New Roman"/>
          <w:b w:val="0"/>
          <w:bCs w:val="0"/>
          <w:color w:val="000000"/>
          <w:kern w:val="2"/>
          <w:sz w:val="32"/>
          <w:szCs w:val="32"/>
          <w:lang w:val="en-US" w:eastAsia="zh-CN" w:bidi="ar"/>
        </w:rPr>
        <w:t>年度政府性基金预算财政拨款支出0万元。</w:t>
      </w:r>
    </w:p>
    <w:p w14:paraId="63CCF568">
      <w:pPr>
        <w:numPr>
          <w:ilvl w:val="0"/>
          <w:numId w:val="2"/>
        </w:numPr>
        <w:spacing w:line="600" w:lineRule="exact"/>
        <w:ind w:firstLine="640" w:firstLineChars="0"/>
        <w:outlineLvl w:val="0"/>
        <w:rPr>
          <w:rStyle w:val="34"/>
          <w:rFonts w:hint="default" w:ascii="Times New Roman" w:hAnsi="Times New Roman" w:eastAsia="黑体" w:cs="Times New Roman"/>
          <w:b w:val="0"/>
          <w:color w:val="auto"/>
        </w:rPr>
      </w:pPr>
      <w:bookmarkStart w:id="50" w:name="_Toc15411"/>
      <w:bookmarkStart w:id="51" w:name="_Toc15377219"/>
      <w:bookmarkStart w:id="52" w:name="_Toc15396611"/>
      <w:r>
        <w:rPr>
          <w:rStyle w:val="34"/>
          <w:rFonts w:hint="default" w:ascii="Times New Roman" w:hAnsi="Times New Roman" w:eastAsia="黑体" w:cs="Times New Roman"/>
          <w:b w:val="0"/>
          <w:color w:val="auto"/>
        </w:rPr>
        <w:t>国有资本经营预算支出决算情况说明</w:t>
      </w:r>
      <w:bookmarkEnd w:id="50"/>
      <w:bookmarkEnd w:id="51"/>
      <w:bookmarkEnd w:id="52"/>
    </w:p>
    <w:p w14:paraId="18843BB2">
      <w:pPr>
        <w:spacing w:line="600" w:lineRule="exact"/>
        <w:ind w:firstLine="640" w:firstLineChars="200"/>
        <w:rPr>
          <w:rFonts w:hint="default" w:ascii="Times New Roman" w:hAnsi="Times New Roman" w:eastAsia="仿宋_GB2312" w:cs="Times New Roman"/>
          <w:b w:val="0"/>
          <w:bCs w:val="0"/>
          <w:color w:val="000000"/>
          <w:kern w:val="2"/>
          <w:sz w:val="32"/>
          <w:szCs w:val="32"/>
          <w:lang w:val="en-US" w:eastAsia="zh-CN" w:bidi="ar"/>
        </w:rPr>
      </w:pPr>
      <w:r>
        <w:rPr>
          <w:rFonts w:hint="eastAsia" w:eastAsia="仿宋_GB2312" w:cs="Times New Roman"/>
          <w:b w:val="0"/>
          <w:bCs w:val="0"/>
          <w:color w:val="000000"/>
          <w:kern w:val="2"/>
          <w:sz w:val="32"/>
          <w:szCs w:val="32"/>
          <w:lang w:val="en-US" w:eastAsia="zh-CN" w:bidi="ar"/>
        </w:rPr>
        <w:t>2025</w:t>
      </w:r>
      <w:r>
        <w:rPr>
          <w:rFonts w:hint="default" w:ascii="Times New Roman" w:hAnsi="Times New Roman" w:eastAsia="仿宋_GB2312" w:cs="Times New Roman"/>
          <w:b w:val="0"/>
          <w:bCs w:val="0"/>
          <w:color w:val="000000"/>
          <w:kern w:val="2"/>
          <w:sz w:val="32"/>
          <w:szCs w:val="32"/>
          <w:lang w:val="en-US" w:eastAsia="zh-CN" w:bidi="ar"/>
        </w:rPr>
        <w:t>年度国有资本经营预算财政拨款支出0万元。</w:t>
      </w:r>
    </w:p>
    <w:p w14:paraId="75D223BB">
      <w:pPr>
        <w:numPr>
          <w:ilvl w:val="0"/>
          <w:numId w:val="2"/>
        </w:numPr>
        <w:spacing w:line="600" w:lineRule="exact"/>
        <w:ind w:firstLine="640" w:firstLineChars="0"/>
        <w:outlineLvl w:val="0"/>
        <w:rPr>
          <w:rStyle w:val="34"/>
          <w:rFonts w:hint="default" w:ascii="Times New Roman" w:hAnsi="Times New Roman" w:eastAsia="黑体" w:cs="Times New Roman"/>
          <w:b w:val="0"/>
          <w:color w:val="auto"/>
        </w:rPr>
      </w:pPr>
      <w:bookmarkStart w:id="53" w:name="_Toc552"/>
      <w:bookmarkStart w:id="54" w:name="_Toc15377221"/>
      <w:bookmarkStart w:id="55" w:name="_Toc15396612"/>
      <w:r>
        <w:rPr>
          <w:rStyle w:val="34"/>
          <w:rFonts w:hint="default" w:ascii="Times New Roman" w:hAnsi="Times New Roman" w:eastAsia="黑体" w:cs="Times New Roman"/>
          <w:b w:val="0"/>
          <w:color w:val="auto"/>
        </w:rPr>
        <w:t>其他重要事项的情况说明</w:t>
      </w:r>
      <w:bookmarkEnd w:id="53"/>
      <w:bookmarkEnd w:id="54"/>
      <w:bookmarkEnd w:id="55"/>
    </w:p>
    <w:p w14:paraId="0BB59888">
      <w:pPr>
        <w:suppressAutoHyphens/>
        <w:bidi w:val="0"/>
        <w:spacing w:line="600" w:lineRule="exact"/>
        <w:ind w:firstLine="643" w:firstLineChars="200"/>
        <w:outlineLvl w:val="1"/>
        <w:rPr>
          <w:rFonts w:hint="default" w:ascii="Times New Roman" w:hAnsi="Times New Roman" w:eastAsia="楷体_GB2312" w:cs="Times New Roman"/>
          <w:b/>
          <w:color w:val="auto"/>
          <w:sz w:val="32"/>
          <w:szCs w:val="32"/>
          <w:highlight w:val="none"/>
          <w:lang w:val="en-US" w:eastAsia="zh-CN"/>
        </w:rPr>
      </w:pPr>
      <w:bookmarkStart w:id="56" w:name="_Toc15377222"/>
      <w:r>
        <w:rPr>
          <w:rFonts w:hint="default" w:ascii="Times New Roman" w:hAnsi="Times New Roman" w:eastAsia="楷体_GB2312" w:cs="Times New Roman"/>
          <w:b/>
          <w:color w:val="auto"/>
          <w:sz w:val="32"/>
          <w:szCs w:val="32"/>
          <w:highlight w:val="none"/>
          <w:lang w:val="en-US" w:eastAsia="zh-CN"/>
        </w:rPr>
        <w:t>（一）机关运行经费支出情况</w:t>
      </w:r>
      <w:bookmarkEnd w:id="56"/>
    </w:p>
    <w:p w14:paraId="77014888">
      <w:pPr>
        <w:keepNext w:val="0"/>
        <w:keepLines w:val="0"/>
        <w:pageBreakBefore w:val="0"/>
        <w:widowControl w:val="0"/>
        <w:kinsoku/>
        <w:wordWrap/>
        <w:overflowPunct/>
        <w:topLinePunct w:val="0"/>
        <w:bidi w:val="0"/>
        <w:snapToGrid/>
        <w:spacing w:line="580" w:lineRule="exact"/>
        <w:ind w:firstLine="640"/>
        <w:textAlignment w:val="auto"/>
        <w:rPr>
          <w:rFonts w:hint="default" w:ascii="Times New Roman" w:hAnsi="Times New Roman" w:eastAsia="仿宋_GB2312" w:cs="Times New Roman"/>
          <w:color w:val="auto"/>
          <w:kern w:val="2"/>
          <w:sz w:val="32"/>
          <w:szCs w:val="32"/>
          <w:highlight w:val="none"/>
          <w:lang w:val="en-US" w:eastAsia="zh-CN" w:bidi="ar-SA"/>
        </w:rPr>
      </w:pPr>
      <w:r>
        <w:rPr>
          <w:rFonts w:hint="eastAsia" w:eastAsia="仿宋_GB2312" w:cs="Times New Roman"/>
          <w:color w:val="auto"/>
          <w:kern w:val="2"/>
          <w:sz w:val="32"/>
          <w:szCs w:val="32"/>
          <w:highlight w:val="none"/>
          <w:lang w:val="en-US" w:eastAsia="zh-CN" w:bidi="ar-SA"/>
        </w:rPr>
        <w:t>2025</w:t>
      </w:r>
      <w:r>
        <w:rPr>
          <w:rFonts w:hint="default" w:ascii="Times New Roman" w:hAnsi="Times New Roman" w:eastAsia="仿宋_GB2312" w:cs="Times New Roman"/>
          <w:color w:val="auto"/>
          <w:kern w:val="2"/>
          <w:sz w:val="32"/>
          <w:szCs w:val="32"/>
          <w:highlight w:val="none"/>
          <w:lang w:val="en-US" w:eastAsia="zh-CN" w:bidi="ar-SA"/>
        </w:rPr>
        <w:t>年度，</w:t>
      </w:r>
      <w:r>
        <w:rPr>
          <w:rFonts w:hint="default" w:ascii="Times New Roman" w:hAnsi="Times New Roman" w:eastAsia="仿宋_GB2312" w:cs="Times New Roman"/>
          <w:sz w:val="32"/>
          <w:szCs w:val="32"/>
        </w:rPr>
        <w:t>南江县人民检察院</w:t>
      </w:r>
      <w:r>
        <w:rPr>
          <w:rFonts w:hint="default" w:ascii="Times New Roman" w:hAnsi="Times New Roman" w:eastAsia="仿宋_GB2312" w:cs="Times New Roman"/>
          <w:color w:val="auto"/>
          <w:kern w:val="2"/>
          <w:sz w:val="32"/>
          <w:szCs w:val="32"/>
          <w:highlight w:val="none"/>
          <w:lang w:val="en-US" w:eastAsia="zh-CN" w:bidi="ar-SA"/>
        </w:rPr>
        <w:t>机关运行经费支出</w:t>
      </w:r>
      <w:r>
        <w:rPr>
          <w:rFonts w:hint="eastAsia" w:ascii="仿宋_GB2312" w:hAnsi="仿宋_GB2312" w:eastAsia="仿宋_GB2312" w:cs="仿宋_GB2312"/>
          <w:sz w:val="32"/>
          <w:szCs w:val="32"/>
        </w:rPr>
        <w:t>217.82</w:t>
      </w:r>
      <w:r>
        <w:rPr>
          <w:rFonts w:hint="default" w:ascii="Times New Roman" w:hAnsi="Times New Roman" w:eastAsia="仿宋_GB2312" w:cs="Times New Roman"/>
          <w:color w:val="auto"/>
          <w:kern w:val="2"/>
          <w:sz w:val="32"/>
          <w:szCs w:val="32"/>
          <w:highlight w:val="none"/>
          <w:lang w:val="en-US" w:eastAsia="zh-CN" w:bidi="ar-SA"/>
        </w:rPr>
        <w:t>万元，比</w:t>
      </w:r>
      <w:r>
        <w:rPr>
          <w:rFonts w:hint="eastAsia" w:eastAsia="仿宋_GB2312" w:cs="Times New Roman"/>
          <w:color w:val="auto"/>
          <w:kern w:val="2"/>
          <w:sz w:val="32"/>
          <w:szCs w:val="32"/>
          <w:highlight w:val="none"/>
          <w:lang w:val="en-US" w:eastAsia="zh-CN" w:bidi="ar-SA"/>
        </w:rPr>
        <w:t>2024</w:t>
      </w:r>
      <w:r>
        <w:rPr>
          <w:rFonts w:hint="default" w:ascii="Times New Roman" w:hAnsi="Times New Roman" w:eastAsia="仿宋_GB2312" w:cs="Times New Roman"/>
          <w:color w:val="auto"/>
          <w:kern w:val="2"/>
          <w:sz w:val="32"/>
          <w:szCs w:val="32"/>
          <w:highlight w:val="none"/>
          <w:lang w:val="en-US" w:eastAsia="zh-CN" w:bidi="ar-SA"/>
        </w:rPr>
        <w:t>年度减少</w:t>
      </w:r>
      <w:r>
        <w:rPr>
          <w:rFonts w:hint="eastAsia" w:eastAsia="仿宋_GB2312" w:cs="Times New Roman"/>
          <w:color w:val="auto"/>
          <w:kern w:val="2"/>
          <w:sz w:val="32"/>
          <w:szCs w:val="32"/>
          <w:highlight w:val="none"/>
          <w:lang w:val="en-US" w:eastAsia="zh-CN" w:bidi="ar-SA"/>
        </w:rPr>
        <w:t>4.5</w:t>
      </w:r>
      <w:r>
        <w:rPr>
          <w:rFonts w:hint="default" w:ascii="Times New Roman" w:hAnsi="Times New Roman" w:eastAsia="仿宋_GB2312" w:cs="Times New Roman"/>
          <w:color w:val="auto"/>
          <w:kern w:val="2"/>
          <w:sz w:val="32"/>
          <w:szCs w:val="32"/>
          <w:highlight w:val="none"/>
          <w:lang w:val="en-US" w:eastAsia="zh-CN" w:bidi="ar-SA"/>
        </w:rPr>
        <w:t>万元，下降</w:t>
      </w:r>
      <w:r>
        <w:rPr>
          <w:rFonts w:hint="eastAsia" w:eastAsia="仿宋_GB2312" w:cs="Times New Roman"/>
          <w:color w:val="auto"/>
          <w:kern w:val="2"/>
          <w:sz w:val="32"/>
          <w:szCs w:val="32"/>
          <w:highlight w:val="none"/>
          <w:lang w:val="en-US" w:eastAsia="zh-CN" w:bidi="ar-SA"/>
        </w:rPr>
        <w:t>2.11</w:t>
      </w:r>
      <w:r>
        <w:rPr>
          <w:rFonts w:hint="default" w:ascii="Times New Roman" w:hAnsi="Times New Roman" w:eastAsia="仿宋_GB2312" w:cs="Times New Roman"/>
          <w:color w:val="auto"/>
          <w:kern w:val="2"/>
          <w:sz w:val="32"/>
          <w:szCs w:val="32"/>
          <w:highlight w:val="none"/>
          <w:lang w:val="en-US" w:eastAsia="zh-CN" w:bidi="ar-SA"/>
        </w:rPr>
        <w:t>%。主要原因是</w:t>
      </w:r>
      <w:r>
        <w:rPr>
          <w:rFonts w:hint="default" w:ascii="Times New Roman" w:hAnsi="Times New Roman" w:eastAsia="仿宋_GB2312" w:cs="Times New Roman"/>
          <w:b w:val="0"/>
          <w:bCs w:val="0"/>
          <w:color w:val="000000"/>
          <w:kern w:val="2"/>
          <w:sz w:val="32"/>
          <w:szCs w:val="32"/>
          <w:lang w:val="en-US" w:eastAsia="zh-CN" w:bidi="ar"/>
        </w:rPr>
        <w:t>我院坚持厉行勤俭节约、反对铺张浪费原则</w:t>
      </w:r>
      <w:r>
        <w:rPr>
          <w:rFonts w:hint="default" w:ascii="Times New Roman" w:hAnsi="Times New Roman" w:eastAsia="仿宋_GB2312" w:cs="Times New Roman"/>
          <w:sz w:val="32"/>
          <w:szCs w:val="32"/>
          <w:highlight w:val="none"/>
          <w:lang w:val="en-US" w:eastAsia="zh-CN"/>
        </w:rPr>
        <w:t>减少了公务接待活动的开支，同时减少了水费和办公经费的支出。</w:t>
      </w:r>
    </w:p>
    <w:p w14:paraId="0E6C3EF7">
      <w:pPr>
        <w:keepNext w:val="0"/>
        <w:keepLines w:val="0"/>
        <w:pageBreakBefore w:val="0"/>
        <w:widowControl w:val="0"/>
        <w:kinsoku/>
        <w:wordWrap/>
        <w:overflowPunct/>
        <w:topLinePunct w:val="0"/>
        <w:bidi w:val="0"/>
        <w:snapToGrid/>
        <w:spacing w:line="580" w:lineRule="exact"/>
        <w:ind w:firstLine="643" w:firstLineChars="200"/>
        <w:textAlignment w:val="auto"/>
        <w:rPr>
          <w:rFonts w:hint="default" w:ascii="Times New Roman" w:hAnsi="Times New Roman" w:eastAsia="仿宋" w:cs="Times New Roman"/>
          <w:b/>
          <w:color w:val="auto"/>
          <w:sz w:val="32"/>
          <w:szCs w:val="32"/>
        </w:rPr>
      </w:pPr>
      <w:r>
        <w:rPr>
          <w:rFonts w:hint="default" w:ascii="Times New Roman" w:hAnsi="Times New Roman" w:eastAsia="仿宋" w:cs="Times New Roman"/>
          <w:b/>
          <w:color w:val="auto"/>
          <w:sz w:val="32"/>
          <w:szCs w:val="32"/>
        </w:rPr>
        <w:t>（注：数据来源于财决附03表）</w:t>
      </w:r>
    </w:p>
    <w:p w14:paraId="35823461">
      <w:pPr>
        <w:keepNext w:val="0"/>
        <w:keepLines w:val="0"/>
        <w:pageBreakBefore w:val="0"/>
        <w:widowControl w:val="0"/>
        <w:suppressAutoHyphens/>
        <w:kinsoku/>
        <w:wordWrap/>
        <w:overflowPunct/>
        <w:topLinePunct w:val="0"/>
        <w:bidi w:val="0"/>
        <w:snapToGrid/>
        <w:spacing w:line="580" w:lineRule="exact"/>
        <w:ind w:firstLine="643" w:firstLineChars="200"/>
        <w:textAlignment w:val="auto"/>
        <w:outlineLvl w:val="1"/>
        <w:rPr>
          <w:rFonts w:hint="default" w:ascii="Times New Roman" w:hAnsi="Times New Roman" w:eastAsia="楷体_GB2312" w:cs="Times New Roman"/>
          <w:b/>
          <w:color w:val="auto"/>
          <w:sz w:val="32"/>
          <w:szCs w:val="32"/>
          <w:highlight w:val="none"/>
          <w:lang w:val="en-US" w:eastAsia="zh-CN"/>
        </w:rPr>
      </w:pPr>
      <w:bookmarkStart w:id="57" w:name="_Toc15377223"/>
      <w:r>
        <w:rPr>
          <w:rFonts w:hint="default" w:ascii="Times New Roman" w:hAnsi="Times New Roman" w:eastAsia="楷体_GB2312" w:cs="Times New Roman"/>
          <w:b/>
          <w:color w:val="auto"/>
          <w:sz w:val="32"/>
          <w:szCs w:val="32"/>
          <w:highlight w:val="none"/>
          <w:lang w:val="en-US" w:eastAsia="zh-CN"/>
        </w:rPr>
        <w:t>（二）政府采购支出情况</w:t>
      </w:r>
      <w:bookmarkEnd w:id="57"/>
    </w:p>
    <w:p w14:paraId="2357B30B">
      <w:pPr>
        <w:keepNext w:val="0"/>
        <w:keepLines w:val="0"/>
        <w:pageBreakBefore w:val="0"/>
        <w:widowControl w:val="0"/>
        <w:kinsoku/>
        <w:wordWrap/>
        <w:overflowPunct/>
        <w:topLinePunct w:val="0"/>
        <w:bidi w:val="0"/>
        <w:snapToGrid/>
        <w:spacing w:line="580" w:lineRule="exact"/>
        <w:ind w:firstLine="640" w:firstLineChars="200"/>
        <w:textAlignment w:val="auto"/>
        <w:rPr>
          <w:rFonts w:hint="default" w:ascii="Times New Roman" w:hAnsi="Times New Roman" w:eastAsia="仿宋_GB2312" w:cs="Times New Roman"/>
          <w:color w:val="auto"/>
          <w:kern w:val="2"/>
          <w:sz w:val="32"/>
          <w:szCs w:val="32"/>
          <w:highlight w:val="none"/>
          <w:lang w:val="en-US" w:eastAsia="zh-CN" w:bidi="ar-SA"/>
        </w:rPr>
      </w:pPr>
      <w:r>
        <w:rPr>
          <w:rFonts w:hint="eastAsia" w:eastAsia="仿宋_GB2312" w:cs="Times New Roman"/>
          <w:color w:val="auto"/>
          <w:kern w:val="2"/>
          <w:sz w:val="32"/>
          <w:szCs w:val="32"/>
          <w:highlight w:val="none"/>
          <w:lang w:val="en-US" w:eastAsia="zh-CN" w:bidi="ar-SA"/>
        </w:rPr>
        <w:t>2025</w:t>
      </w:r>
      <w:r>
        <w:rPr>
          <w:rFonts w:hint="default" w:ascii="Times New Roman" w:hAnsi="Times New Roman" w:eastAsia="仿宋_GB2312" w:cs="Times New Roman"/>
          <w:color w:val="auto"/>
          <w:kern w:val="2"/>
          <w:sz w:val="32"/>
          <w:szCs w:val="32"/>
          <w:highlight w:val="none"/>
          <w:lang w:val="en-US" w:eastAsia="zh-CN" w:bidi="ar-SA"/>
        </w:rPr>
        <w:t>年度，</w:t>
      </w:r>
      <w:r>
        <w:rPr>
          <w:rFonts w:hint="default" w:ascii="Times New Roman" w:hAnsi="Times New Roman" w:eastAsia="仿宋_GB2312" w:cs="Times New Roman"/>
          <w:sz w:val="32"/>
          <w:szCs w:val="32"/>
        </w:rPr>
        <w:t>南江县人民检察院</w:t>
      </w:r>
      <w:r>
        <w:rPr>
          <w:rFonts w:hint="default" w:ascii="Times New Roman" w:hAnsi="Times New Roman" w:eastAsia="仿宋_GB2312" w:cs="Times New Roman"/>
          <w:color w:val="auto"/>
          <w:kern w:val="2"/>
          <w:sz w:val="32"/>
          <w:szCs w:val="32"/>
          <w:highlight w:val="none"/>
          <w:lang w:val="en-US" w:eastAsia="zh-CN" w:bidi="ar-SA"/>
        </w:rPr>
        <w:t>政府采购支出总额</w:t>
      </w:r>
      <w:r>
        <w:rPr>
          <w:rFonts w:hint="eastAsia" w:ascii="仿宋_GB2312" w:hAnsi="仿宋_GB2312" w:eastAsia="仿宋_GB2312" w:cs="仿宋_GB2312"/>
          <w:sz w:val="32"/>
          <w:szCs w:val="32"/>
        </w:rPr>
        <w:t>30.07</w:t>
      </w:r>
      <w:r>
        <w:rPr>
          <w:rFonts w:hint="default" w:ascii="Times New Roman" w:hAnsi="Times New Roman" w:eastAsia="仿宋_GB2312" w:cs="Times New Roman"/>
          <w:color w:val="auto"/>
          <w:kern w:val="2"/>
          <w:sz w:val="32"/>
          <w:szCs w:val="32"/>
          <w:highlight w:val="none"/>
          <w:lang w:val="en-US" w:eastAsia="zh-CN" w:bidi="ar-SA"/>
        </w:rPr>
        <w:t>万元，其中：政府采购货物支出</w:t>
      </w:r>
      <w:r>
        <w:rPr>
          <w:rFonts w:hint="eastAsia" w:ascii="仿宋_GB2312" w:hAnsi="仿宋_GB2312" w:eastAsia="仿宋_GB2312" w:cs="仿宋_GB2312"/>
          <w:sz w:val="32"/>
          <w:szCs w:val="32"/>
        </w:rPr>
        <w:t>30.07</w:t>
      </w:r>
      <w:r>
        <w:rPr>
          <w:rFonts w:hint="default" w:ascii="Times New Roman" w:hAnsi="Times New Roman" w:eastAsia="仿宋_GB2312" w:cs="Times New Roman"/>
          <w:color w:val="auto"/>
          <w:kern w:val="2"/>
          <w:sz w:val="32"/>
          <w:szCs w:val="32"/>
          <w:highlight w:val="none"/>
          <w:lang w:val="en-US" w:eastAsia="zh-CN" w:bidi="ar-SA"/>
        </w:rPr>
        <w:t>万元、政府采购工程支出</w:t>
      </w:r>
      <w:r>
        <w:rPr>
          <w:rFonts w:hint="default" w:ascii="Times New Roman" w:hAnsi="Times New Roman" w:eastAsia="仿宋_GB2312" w:cs="Times New Roman"/>
          <w:sz w:val="32"/>
          <w:szCs w:val="32"/>
        </w:rPr>
        <w:t>0</w:t>
      </w:r>
      <w:r>
        <w:rPr>
          <w:rFonts w:hint="default" w:ascii="Times New Roman" w:hAnsi="Times New Roman" w:eastAsia="仿宋_GB2312" w:cs="Times New Roman"/>
          <w:color w:val="auto"/>
          <w:kern w:val="2"/>
          <w:sz w:val="32"/>
          <w:szCs w:val="32"/>
          <w:highlight w:val="none"/>
          <w:lang w:val="en-US" w:eastAsia="zh-CN" w:bidi="ar-SA"/>
        </w:rPr>
        <w:t>万元、政府采购服务支出</w:t>
      </w:r>
      <w:r>
        <w:rPr>
          <w:rFonts w:hint="default" w:ascii="Times New Roman" w:hAnsi="Times New Roman" w:eastAsia="仿宋_GB2312" w:cs="Times New Roman"/>
          <w:sz w:val="32"/>
          <w:szCs w:val="32"/>
        </w:rPr>
        <w:t>0</w:t>
      </w:r>
      <w:r>
        <w:rPr>
          <w:rFonts w:hint="default" w:ascii="Times New Roman" w:hAnsi="Times New Roman" w:eastAsia="仿宋_GB2312" w:cs="Times New Roman"/>
          <w:color w:val="auto"/>
          <w:kern w:val="2"/>
          <w:sz w:val="32"/>
          <w:szCs w:val="32"/>
          <w:highlight w:val="none"/>
          <w:lang w:val="en-US" w:eastAsia="zh-CN" w:bidi="ar-SA"/>
        </w:rPr>
        <w:t>万元。</w:t>
      </w:r>
      <w:r>
        <w:rPr>
          <w:rFonts w:hint="default" w:ascii="Times New Roman" w:hAnsi="Times New Roman" w:eastAsia="仿宋_GB2312" w:cs="Times New Roman"/>
          <w:b w:val="0"/>
          <w:bCs w:val="0"/>
          <w:color w:val="000000"/>
          <w:kern w:val="2"/>
          <w:sz w:val="32"/>
          <w:szCs w:val="32"/>
          <w:lang w:val="en-US" w:eastAsia="zh-CN" w:bidi="ar"/>
        </w:rPr>
        <w:t>主要用于办案办公设备采购、信息网络及软件购置更新</w:t>
      </w:r>
      <w:r>
        <w:rPr>
          <w:rFonts w:hint="default" w:ascii="Times New Roman" w:hAnsi="Times New Roman" w:eastAsia="仿宋_GB2312" w:cs="Times New Roman"/>
          <w:color w:val="auto"/>
          <w:kern w:val="2"/>
          <w:sz w:val="32"/>
          <w:szCs w:val="32"/>
          <w:highlight w:val="none"/>
          <w:lang w:val="en-US" w:eastAsia="zh-CN" w:bidi="ar-SA"/>
        </w:rPr>
        <w:t>。授予中小企业合同金额</w:t>
      </w:r>
      <w:r>
        <w:rPr>
          <w:rFonts w:hint="default" w:ascii="Times New Roman" w:hAnsi="Times New Roman" w:eastAsia="仿宋_GB2312" w:cs="Times New Roman"/>
          <w:sz w:val="32"/>
          <w:szCs w:val="32"/>
        </w:rPr>
        <w:t>0</w:t>
      </w:r>
      <w:r>
        <w:rPr>
          <w:rFonts w:hint="default" w:ascii="Times New Roman" w:hAnsi="Times New Roman" w:eastAsia="仿宋_GB2312" w:cs="Times New Roman"/>
          <w:color w:val="auto"/>
          <w:kern w:val="2"/>
          <w:sz w:val="32"/>
          <w:szCs w:val="32"/>
          <w:highlight w:val="none"/>
          <w:lang w:val="en-US" w:eastAsia="zh-CN" w:bidi="ar-SA"/>
        </w:rPr>
        <w:t>万元，占政府采购支出总额的</w:t>
      </w:r>
      <w:r>
        <w:rPr>
          <w:rFonts w:hint="default" w:ascii="Times New Roman" w:hAnsi="Times New Roman" w:eastAsia="仿宋_GB2312" w:cs="Times New Roman"/>
          <w:sz w:val="32"/>
          <w:szCs w:val="32"/>
        </w:rPr>
        <w:t>0</w:t>
      </w:r>
      <w:r>
        <w:rPr>
          <w:rFonts w:hint="default" w:ascii="Times New Roman" w:hAnsi="Times New Roman" w:eastAsia="仿宋_GB2312" w:cs="Times New Roman"/>
          <w:color w:val="auto"/>
          <w:kern w:val="2"/>
          <w:sz w:val="32"/>
          <w:szCs w:val="32"/>
          <w:highlight w:val="none"/>
          <w:lang w:val="en-US" w:eastAsia="zh-CN" w:bidi="ar-SA"/>
        </w:rPr>
        <w:t>%，其中：授予小微企业合同金额</w:t>
      </w:r>
      <w:r>
        <w:rPr>
          <w:rFonts w:hint="default" w:ascii="Times New Roman" w:hAnsi="Times New Roman" w:eastAsia="仿宋_GB2312" w:cs="Times New Roman"/>
          <w:sz w:val="32"/>
          <w:szCs w:val="32"/>
        </w:rPr>
        <w:t>0</w:t>
      </w:r>
      <w:r>
        <w:rPr>
          <w:rFonts w:hint="default" w:ascii="Times New Roman" w:hAnsi="Times New Roman" w:eastAsia="仿宋_GB2312" w:cs="Times New Roman"/>
          <w:color w:val="auto"/>
          <w:kern w:val="2"/>
          <w:sz w:val="32"/>
          <w:szCs w:val="32"/>
          <w:highlight w:val="none"/>
          <w:lang w:val="en-US" w:eastAsia="zh-CN" w:bidi="ar-SA"/>
        </w:rPr>
        <w:t>万元，占政府采购支出总额的</w:t>
      </w:r>
      <w:r>
        <w:rPr>
          <w:rFonts w:hint="default" w:ascii="Times New Roman" w:hAnsi="Times New Roman" w:eastAsia="仿宋_GB2312" w:cs="Times New Roman"/>
          <w:sz w:val="32"/>
          <w:szCs w:val="32"/>
        </w:rPr>
        <w:t>0</w:t>
      </w:r>
      <w:r>
        <w:rPr>
          <w:rFonts w:hint="default" w:ascii="Times New Roman" w:hAnsi="Times New Roman" w:eastAsia="仿宋_GB2312" w:cs="Times New Roman"/>
          <w:color w:val="auto"/>
          <w:kern w:val="2"/>
          <w:sz w:val="32"/>
          <w:szCs w:val="32"/>
          <w:highlight w:val="none"/>
          <w:lang w:val="en-US" w:eastAsia="zh-CN" w:bidi="ar-SA"/>
        </w:rPr>
        <w:t>%。</w:t>
      </w:r>
    </w:p>
    <w:p w14:paraId="5AC47436">
      <w:pPr>
        <w:keepNext w:val="0"/>
        <w:keepLines w:val="0"/>
        <w:pageBreakBefore w:val="0"/>
        <w:widowControl w:val="0"/>
        <w:kinsoku/>
        <w:wordWrap/>
        <w:overflowPunct/>
        <w:topLinePunct w:val="0"/>
        <w:bidi w:val="0"/>
        <w:snapToGrid/>
        <w:spacing w:line="580" w:lineRule="exact"/>
        <w:ind w:firstLine="643" w:firstLineChars="200"/>
        <w:textAlignment w:val="auto"/>
        <w:rPr>
          <w:rFonts w:hint="default" w:ascii="Times New Roman" w:hAnsi="Times New Roman" w:eastAsia="仿宋" w:cs="Times New Roman"/>
          <w:b/>
          <w:color w:val="auto"/>
          <w:sz w:val="32"/>
          <w:szCs w:val="32"/>
        </w:rPr>
      </w:pPr>
      <w:r>
        <w:rPr>
          <w:rFonts w:hint="default" w:ascii="Times New Roman" w:hAnsi="Times New Roman" w:eastAsia="仿宋" w:cs="Times New Roman"/>
          <w:b/>
          <w:color w:val="auto"/>
          <w:sz w:val="32"/>
          <w:szCs w:val="32"/>
        </w:rPr>
        <w:t>（注：数据来源于财决附03表）</w:t>
      </w:r>
    </w:p>
    <w:p w14:paraId="235C19C9">
      <w:pPr>
        <w:keepNext w:val="0"/>
        <w:keepLines w:val="0"/>
        <w:pageBreakBefore w:val="0"/>
        <w:widowControl w:val="0"/>
        <w:suppressAutoHyphens/>
        <w:kinsoku/>
        <w:wordWrap/>
        <w:overflowPunct/>
        <w:topLinePunct w:val="0"/>
        <w:bidi w:val="0"/>
        <w:snapToGrid/>
        <w:spacing w:line="580" w:lineRule="exact"/>
        <w:ind w:firstLine="643" w:firstLineChars="200"/>
        <w:textAlignment w:val="auto"/>
        <w:outlineLvl w:val="1"/>
        <w:rPr>
          <w:rFonts w:hint="default" w:ascii="Times New Roman" w:hAnsi="Times New Roman" w:eastAsia="楷体_GB2312" w:cs="Times New Roman"/>
          <w:b/>
          <w:color w:val="auto"/>
          <w:sz w:val="32"/>
          <w:szCs w:val="32"/>
          <w:highlight w:val="none"/>
          <w:lang w:val="en-US" w:eastAsia="zh-CN"/>
        </w:rPr>
      </w:pPr>
      <w:bookmarkStart w:id="58" w:name="_Toc15377224"/>
      <w:r>
        <w:rPr>
          <w:rFonts w:hint="default" w:ascii="Times New Roman" w:hAnsi="Times New Roman" w:eastAsia="楷体_GB2312" w:cs="Times New Roman"/>
          <w:b/>
          <w:color w:val="auto"/>
          <w:sz w:val="32"/>
          <w:szCs w:val="32"/>
          <w:highlight w:val="none"/>
          <w:lang w:val="en-US" w:eastAsia="zh-CN"/>
        </w:rPr>
        <w:t>（三）国有资产占有使用情况</w:t>
      </w:r>
      <w:bookmarkEnd w:id="58"/>
    </w:p>
    <w:p w14:paraId="068B4669">
      <w:pPr>
        <w:keepNext w:val="0"/>
        <w:keepLines w:val="0"/>
        <w:pageBreakBefore w:val="0"/>
        <w:widowControl w:val="0"/>
        <w:kinsoku/>
        <w:wordWrap/>
        <w:overflowPunct/>
        <w:topLinePunct w:val="0"/>
        <w:bidi w:val="0"/>
        <w:snapToGrid/>
        <w:spacing w:line="580" w:lineRule="exact"/>
        <w:ind w:firstLine="640"/>
        <w:textAlignment w:val="auto"/>
        <w:rPr>
          <w:rFonts w:hint="default" w:ascii="Times New Roman" w:hAnsi="Times New Roman" w:eastAsia="仿宋_GB2312" w:cs="Times New Roman"/>
          <w:color w:val="auto"/>
          <w:kern w:val="2"/>
          <w:sz w:val="32"/>
          <w:szCs w:val="32"/>
          <w:highlight w:val="none"/>
          <w:lang w:val="en-US" w:eastAsia="zh-CN" w:bidi="ar-SA"/>
        </w:rPr>
      </w:pPr>
      <w:bookmarkStart w:id="59" w:name="OLE_LINK1"/>
      <w:r>
        <w:rPr>
          <w:rFonts w:hint="default" w:ascii="Times New Roman" w:hAnsi="Times New Roman" w:eastAsia="仿宋_GB2312" w:cs="Times New Roman"/>
          <w:color w:val="auto"/>
          <w:kern w:val="2"/>
          <w:sz w:val="32"/>
          <w:szCs w:val="32"/>
          <w:highlight w:val="none"/>
          <w:lang w:val="en-US" w:eastAsia="zh-CN" w:bidi="ar-SA"/>
        </w:rPr>
        <w:t>截至</w:t>
      </w:r>
      <w:r>
        <w:rPr>
          <w:rFonts w:hint="eastAsia" w:eastAsia="仿宋_GB2312" w:cs="Times New Roman"/>
          <w:color w:val="auto"/>
          <w:kern w:val="2"/>
          <w:sz w:val="32"/>
          <w:szCs w:val="32"/>
          <w:highlight w:val="none"/>
          <w:lang w:val="en-US" w:eastAsia="zh-CN" w:bidi="ar-SA"/>
        </w:rPr>
        <w:t>2025</w:t>
      </w:r>
      <w:r>
        <w:rPr>
          <w:rFonts w:hint="default" w:ascii="Times New Roman" w:hAnsi="Times New Roman" w:eastAsia="仿宋_GB2312" w:cs="Times New Roman"/>
          <w:color w:val="auto"/>
          <w:kern w:val="2"/>
          <w:sz w:val="32"/>
          <w:szCs w:val="32"/>
          <w:highlight w:val="none"/>
          <w:lang w:val="en-US" w:eastAsia="zh-CN" w:bidi="ar-SA"/>
        </w:rPr>
        <w:t>年12月31日，</w:t>
      </w:r>
      <w:r>
        <w:rPr>
          <w:rFonts w:hint="default" w:ascii="Times New Roman" w:hAnsi="Times New Roman" w:eastAsia="仿宋_GB2312" w:cs="Times New Roman"/>
          <w:sz w:val="32"/>
          <w:szCs w:val="32"/>
        </w:rPr>
        <w:t>南江县人民检察院</w:t>
      </w:r>
      <w:r>
        <w:rPr>
          <w:rFonts w:hint="default" w:ascii="Times New Roman" w:hAnsi="Times New Roman" w:eastAsia="仿宋_GB2312" w:cs="Times New Roman"/>
          <w:color w:val="auto"/>
          <w:kern w:val="2"/>
          <w:sz w:val="32"/>
          <w:szCs w:val="32"/>
          <w:highlight w:val="none"/>
          <w:lang w:val="en-US" w:eastAsia="zh-CN" w:bidi="ar-SA"/>
        </w:rPr>
        <w:t>共有车辆</w:t>
      </w:r>
      <w:r>
        <w:rPr>
          <w:rFonts w:hint="default" w:ascii="Times New Roman" w:hAnsi="Times New Roman" w:eastAsia="仿宋_GB2312" w:cs="Times New Roman"/>
          <w:sz w:val="32"/>
          <w:szCs w:val="32"/>
        </w:rPr>
        <w:t>6</w:t>
      </w:r>
      <w:r>
        <w:rPr>
          <w:rFonts w:hint="default" w:ascii="Times New Roman" w:hAnsi="Times New Roman" w:eastAsia="仿宋_GB2312" w:cs="Times New Roman"/>
          <w:color w:val="auto"/>
          <w:kern w:val="2"/>
          <w:sz w:val="32"/>
          <w:szCs w:val="32"/>
          <w:highlight w:val="none"/>
          <w:lang w:val="en-US" w:eastAsia="zh-CN" w:bidi="ar-SA"/>
        </w:rPr>
        <w:t>辆，其中：主要负责人用车</w:t>
      </w:r>
      <w:r>
        <w:rPr>
          <w:rFonts w:hint="default" w:ascii="Times New Roman" w:hAnsi="Times New Roman" w:eastAsia="仿宋_GB2312" w:cs="Times New Roman"/>
          <w:sz w:val="32"/>
          <w:szCs w:val="32"/>
        </w:rPr>
        <w:t>0</w:t>
      </w:r>
      <w:r>
        <w:rPr>
          <w:rFonts w:hint="default" w:ascii="Times New Roman" w:hAnsi="Times New Roman" w:eastAsia="仿宋_GB2312" w:cs="Times New Roman"/>
          <w:color w:val="auto"/>
          <w:kern w:val="2"/>
          <w:sz w:val="32"/>
          <w:szCs w:val="32"/>
          <w:highlight w:val="none"/>
          <w:lang w:val="en-US" w:eastAsia="zh-CN" w:bidi="ar-SA"/>
        </w:rPr>
        <w:t>辆、机要通信用车</w:t>
      </w:r>
      <w:r>
        <w:rPr>
          <w:rFonts w:hint="default" w:ascii="Times New Roman" w:hAnsi="Times New Roman" w:eastAsia="仿宋_GB2312" w:cs="Times New Roman"/>
          <w:sz w:val="32"/>
          <w:szCs w:val="32"/>
        </w:rPr>
        <w:t>0</w:t>
      </w:r>
      <w:r>
        <w:rPr>
          <w:rFonts w:hint="default" w:ascii="Times New Roman" w:hAnsi="Times New Roman" w:eastAsia="仿宋_GB2312" w:cs="Times New Roman"/>
          <w:color w:val="auto"/>
          <w:kern w:val="2"/>
          <w:sz w:val="32"/>
          <w:szCs w:val="32"/>
          <w:highlight w:val="none"/>
          <w:lang w:val="en-US" w:eastAsia="zh-CN" w:bidi="ar-SA"/>
        </w:rPr>
        <w:t>辆、应急保障用车</w:t>
      </w:r>
      <w:r>
        <w:rPr>
          <w:rFonts w:hint="default" w:ascii="Times New Roman" w:hAnsi="Times New Roman" w:eastAsia="仿宋_GB2312" w:cs="Times New Roman"/>
          <w:sz w:val="32"/>
          <w:szCs w:val="32"/>
        </w:rPr>
        <w:t>0</w:t>
      </w:r>
      <w:r>
        <w:rPr>
          <w:rFonts w:hint="default" w:ascii="Times New Roman" w:hAnsi="Times New Roman" w:eastAsia="仿宋_GB2312" w:cs="Times New Roman"/>
          <w:color w:val="auto"/>
          <w:kern w:val="2"/>
          <w:sz w:val="32"/>
          <w:szCs w:val="32"/>
          <w:highlight w:val="none"/>
          <w:lang w:val="en-US" w:eastAsia="zh-CN" w:bidi="ar-SA"/>
        </w:rPr>
        <w:t>辆、其他用车</w:t>
      </w:r>
      <w:r>
        <w:rPr>
          <w:rFonts w:hint="default" w:ascii="Times New Roman" w:hAnsi="Times New Roman" w:eastAsia="仿宋_GB2312" w:cs="Times New Roman"/>
          <w:sz w:val="32"/>
          <w:szCs w:val="32"/>
        </w:rPr>
        <w:t>0</w:t>
      </w:r>
      <w:r>
        <w:rPr>
          <w:rFonts w:hint="default" w:ascii="Times New Roman" w:hAnsi="Times New Roman" w:eastAsia="仿宋_GB2312" w:cs="Times New Roman"/>
          <w:color w:val="auto"/>
          <w:kern w:val="2"/>
          <w:sz w:val="32"/>
          <w:szCs w:val="32"/>
          <w:highlight w:val="none"/>
          <w:lang w:val="en-US" w:eastAsia="zh-CN" w:bidi="ar-SA"/>
        </w:rPr>
        <w:t>辆。单价100万元（含）以上设备（不含车辆）</w:t>
      </w:r>
      <w:r>
        <w:rPr>
          <w:rFonts w:hint="default" w:ascii="Times New Roman" w:hAnsi="Times New Roman" w:eastAsia="仿宋_GB2312" w:cs="Times New Roman"/>
          <w:sz w:val="32"/>
          <w:szCs w:val="32"/>
        </w:rPr>
        <w:t>0</w:t>
      </w:r>
      <w:r>
        <w:rPr>
          <w:rFonts w:hint="default" w:ascii="Times New Roman" w:hAnsi="Times New Roman" w:eastAsia="仿宋_GB2312" w:cs="Times New Roman"/>
          <w:color w:val="auto"/>
          <w:kern w:val="2"/>
          <w:sz w:val="32"/>
          <w:szCs w:val="32"/>
          <w:highlight w:val="none"/>
          <w:lang w:val="en-US" w:eastAsia="zh-CN" w:bidi="ar-SA"/>
        </w:rPr>
        <w:t>台（套）。</w:t>
      </w:r>
    </w:p>
    <w:bookmarkEnd w:id="59"/>
    <w:p w14:paraId="49A790CD">
      <w:pPr>
        <w:keepNext w:val="0"/>
        <w:keepLines w:val="0"/>
        <w:pageBreakBefore w:val="0"/>
        <w:widowControl w:val="0"/>
        <w:kinsoku/>
        <w:wordWrap/>
        <w:overflowPunct/>
        <w:topLinePunct w:val="0"/>
        <w:autoSpaceDE w:val="0"/>
        <w:autoSpaceDN w:val="0"/>
        <w:bidi w:val="0"/>
        <w:adjustRightInd w:val="0"/>
        <w:snapToGrid/>
        <w:spacing w:line="580" w:lineRule="exact"/>
        <w:ind w:firstLine="643" w:firstLineChars="200"/>
        <w:jc w:val="left"/>
        <w:textAlignment w:val="auto"/>
        <w:rPr>
          <w:rFonts w:hint="default" w:ascii="Times New Roman" w:hAnsi="Times New Roman" w:eastAsia="仿宋" w:cs="Times New Roman"/>
          <w:b/>
          <w:color w:val="auto"/>
          <w:sz w:val="32"/>
          <w:szCs w:val="32"/>
        </w:rPr>
      </w:pPr>
      <w:r>
        <w:rPr>
          <w:rFonts w:hint="default" w:ascii="Times New Roman" w:hAnsi="Times New Roman" w:eastAsia="仿宋" w:cs="Times New Roman"/>
          <w:b/>
          <w:color w:val="auto"/>
          <w:sz w:val="32"/>
          <w:szCs w:val="32"/>
        </w:rPr>
        <w:t>（注：数据来源于财决附03表，按单位决算报表填报数据罗列车辆情况。）</w:t>
      </w:r>
    </w:p>
    <w:p w14:paraId="7B5B7AA0">
      <w:pPr>
        <w:keepNext w:val="0"/>
        <w:keepLines w:val="0"/>
        <w:pageBreakBefore w:val="0"/>
        <w:widowControl w:val="0"/>
        <w:suppressAutoHyphens/>
        <w:kinsoku/>
        <w:wordWrap/>
        <w:overflowPunct/>
        <w:topLinePunct w:val="0"/>
        <w:bidi w:val="0"/>
        <w:snapToGrid/>
        <w:spacing w:line="580" w:lineRule="exact"/>
        <w:ind w:firstLine="643" w:firstLineChars="200"/>
        <w:textAlignment w:val="auto"/>
        <w:outlineLvl w:val="1"/>
        <w:rPr>
          <w:rFonts w:hint="default" w:ascii="Times New Roman" w:hAnsi="Times New Roman" w:eastAsia="楷体_GB2312" w:cs="Times New Roman"/>
          <w:b/>
          <w:color w:val="auto"/>
          <w:sz w:val="32"/>
          <w:szCs w:val="32"/>
          <w:highlight w:val="none"/>
          <w:lang w:val="en-US" w:eastAsia="zh-CN"/>
        </w:rPr>
      </w:pPr>
      <w:r>
        <w:rPr>
          <w:rFonts w:hint="default" w:ascii="Times New Roman" w:hAnsi="Times New Roman" w:eastAsia="楷体_GB2312" w:cs="Times New Roman"/>
          <w:b/>
          <w:color w:val="auto"/>
          <w:sz w:val="32"/>
          <w:szCs w:val="32"/>
          <w:highlight w:val="none"/>
          <w:lang w:val="en-US" w:eastAsia="zh-CN"/>
        </w:rPr>
        <w:t>（四）预算绩效管理情况</w:t>
      </w:r>
    </w:p>
    <w:p w14:paraId="2296D12D">
      <w:pPr>
        <w:keepNext w:val="0"/>
        <w:keepLines w:val="0"/>
        <w:pageBreakBefore w:val="0"/>
        <w:widowControl w:val="0"/>
        <w:kinsoku/>
        <w:wordWrap/>
        <w:overflowPunct/>
        <w:topLinePunct w:val="0"/>
        <w:bidi w:val="0"/>
        <w:snapToGrid/>
        <w:spacing w:line="580" w:lineRule="exact"/>
        <w:ind w:firstLine="640" w:firstLineChars="200"/>
        <w:textAlignment w:val="auto"/>
        <w:rPr>
          <w:rFonts w:ascii="仿宋_GB2312" w:eastAsia="仿宋_GB2312"/>
          <w:color w:val="0000FF"/>
          <w:sz w:val="32"/>
          <w:szCs w:val="32"/>
        </w:rPr>
      </w:pPr>
      <w:r>
        <w:rPr>
          <w:rFonts w:hint="default" w:ascii="Times New Roman" w:hAnsi="Times New Roman" w:eastAsia="仿宋_GB2312" w:cs="Times New Roman"/>
          <w:b w:val="0"/>
          <w:bCs w:val="0"/>
          <w:color w:val="000000"/>
          <w:kern w:val="2"/>
          <w:sz w:val="32"/>
          <w:szCs w:val="32"/>
          <w:lang w:val="en-US" w:eastAsia="zh-CN" w:bidi="ar"/>
        </w:rPr>
        <w:t>根据预算绩效管理要求，本单位在</w:t>
      </w:r>
      <w:r>
        <w:rPr>
          <w:rFonts w:hint="eastAsia" w:eastAsia="仿宋_GB2312" w:cs="Times New Roman"/>
          <w:b w:val="0"/>
          <w:bCs w:val="0"/>
          <w:color w:val="000000"/>
          <w:kern w:val="2"/>
          <w:sz w:val="32"/>
          <w:szCs w:val="32"/>
          <w:lang w:val="en-US" w:eastAsia="zh-CN" w:bidi="ar"/>
        </w:rPr>
        <w:t>2025</w:t>
      </w:r>
      <w:r>
        <w:rPr>
          <w:rFonts w:hint="default" w:ascii="Times New Roman" w:hAnsi="Times New Roman" w:eastAsia="仿宋_GB2312" w:cs="Times New Roman"/>
          <w:b w:val="0"/>
          <w:bCs w:val="0"/>
          <w:color w:val="000000"/>
          <w:kern w:val="2"/>
          <w:sz w:val="32"/>
          <w:szCs w:val="32"/>
          <w:lang w:val="en-US" w:eastAsia="zh-CN" w:bidi="ar"/>
        </w:rPr>
        <w:t>年度预算编制阶段，组织对检察移动办案办公平台及执法执勤用车GPS租赁费、检察服装经费、检察办案业务经费项目等</w:t>
      </w:r>
      <w:r>
        <w:rPr>
          <w:rFonts w:hint="eastAsia" w:eastAsia="仿宋_GB2312" w:cs="Times New Roman"/>
          <w:b w:val="0"/>
          <w:bCs w:val="0"/>
          <w:color w:val="000000"/>
          <w:kern w:val="2"/>
          <w:sz w:val="32"/>
          <w:szCs w:val="32"/>
          <w:lang w:val="en-US" w:eastAsia="zh-CN" w:bidi="ar"/>
        </w:rPr>
        <w:t>3</w:t>
      </w:r>
      <w:r>
        <w:rPr>
          <w:rFonts w:hint="default" w:ascii="Times New Roman" w:hAnsi="Times New Roman" w:eastAsia="仿宋_GB2312" w:cs="Times New Roman"/>
          <w:b w:val="0"/>
          <w:bCs w:val="0"/>
          <w:color w:val="000000"/>
          <w:kern w:val="2"/>
          <w:sz w:val="32"/>
          <w:szCs w:val="32"/>
          <w:lang w:val="en-US" w:eastAsia="zh-CN" w:bidi="ar"/>
        </w:rPr>
        <w:t>个项目开展了预算事前绩效评估，对</w:t>
      </w:r>
      <w:r>
        <w:rPr>
          <w:rFonts w:hint="eastAsia" w:eastAsia="仿宋_GB2312" w:cs="Times New Roman"/>
          <w:b w:val="0"/>
          <w:bCs w:val="0"/>
          <w:color w:val="000000"/>
          <w:kern w:val="2"/>
          <w:sz w:val="32"/>
          <w:szCs w:val="32"/>
          <w:lang w:val="en-US" w:eastAsia="zh-CN" w:bidi="ar"/>
        </w:rPr>
        <w:t>3</w:t>
      </w:r>
      <w:r>
        <w:rPr>
          <w:rFonts w:hint="default" w:ascii="Times New Roman" w:hAnsi="Times New Roman" w:eastAsia="仿宋_GB2312" w:cs="Times New Roman"/>
          <w:b w:val="0"/>
          <w:bCs w:val="0"/>
          <w:color w:val="000000"/>
          <w:kern w:val="2"/>
          <w:sz w:val="32"/>
          <w:szCs w:val="32"/>
          <w:lang w:val="en-US" w:eastAsia="zh-CN" w:bidi="ar"/>
        </w:rPr>
        <w:t>个项目编制了绩效目标，预算执行过程中，选取</w:t>
      </w:r>
      <w:r>
        <w:rPr>
          <w:rFonts w:hint="eastAsia" w:eastAsia="仿宋_GB2312" w:cs="Times New Roman"/>
          <w:b w:val="0"/>
          <w:bCs w:val="0"/>
          <w:color w:val="000000"/>
          <w:kern w:val="2"/>
          <w:sz w:val="32"/>
          <w:szCs w:val="32"/>
          <w:lang w:val="en-US" w:eastAsia="zh-CN" w:bidi="ar"/>
        </w:rPr>
        <w:t>3</w:t>
      </w:r>
      <w:r>
        <w:rPr>
          <w:rFonts w:hint="default" w:ascii="Times New Roman" w:hAnsi="Times New Roman" w:eastAsia="仿宋_GB2312" w:cs="Times New Roman"/>
          <w:b w:val="0"/>
          <w:bCs w:val="0"/>
          <w:color w:val="000000"/>
          <w:kern w:val="2"/>
          <w:sz w:val="32"/>
          <w:szCs w:val="32"/>
          <w:lang w:val="en-US" w:eastAsia="zh-CN" w:bidi="ar"/>
        </w:rPr>
        <w:t>个项目开展绩效监控，组织对</w:t>
      </w:r>
      <w:r>
        <w:rPr>
          <w:rFonts w:hint="eastAsia" w:eastAsia="仿宋_GB2312" w:cs="Times New Roman"/>
          <w:b w:val="0"/>
          <w:bCs w:val="0"/>
          <w:color w:val="000000"/>
          <w:kern w:val="2"/>
          <w:sz w:val="32"/>
          <w:szCs w:val="32"/>
          <w:lang w:val="en-US" w:eastAsia="zh-CN" w:bidi="ar"/>
        </w:rPr>
        <w:t>3</w:t>
      </w:r>
      <w:r>
        <w:rPr>
          <w:rFonts w:hint="default" w:ascii="Times New Roman" w:hAnsi="Times New Roman" w:eastAsia="仿宋_GB2312" w:cs="Times New Roman"/>
          <w:b w:val="0"/>
          <w:bCs w:val="0"/>
          <w:color w:val="000000"/>
          <w:kern w:val="2"/>
          <w:sz w:val="32"/>
          <w:szCs w:val="32"/>
          <w:lang w:val="en-US" w:eastAsia="zh-CN" w:bidi="ar"/>
        </w:rPr>
        <w:t>个项目开展绩效自评，绩效自评表详见第四部分附件。</w:t>
      </w:r>
      <w:r>
        <w:rPr>
          <w:rFonts w:hint="eastAsia" w:ascii="仿宋_GB2312" w:eastAsia="仿宋_GB2312"/>
          <w:color w:val="0000FF"/>
          <w:sz w:val="32"/>
          <w:szCs w:val="32"/>
        </w:rPr>
        <w:br w:type="page"/>
      </w:r>
    </w:p>
    <w:p w14:paraId="58147016">
      <w:pPr>
        <w:numPr>
          <w:ilvl w:val="0"/>
          <w:numId w:val="3"/>
        </w:numPr>
        <w:spacing w:line="600" w:lineRule="exact"/>
        <w:ind w:firstLine="660" w:firstLineChars="150"/>
        <w:jc w:val="center"/>
        <w:outlineLvl w:val="0"/>
        <w:rPr>
          <w:rStyle w:val="33"/>
          <w:rFonts w:ascii="黑体" w:hAnsi="黑体" w:eastAsia="黑体"/>
          <w:b w:val="0"/>
          <w:color w:val="auto"/>
        </w:rPr>
      </w:pPr>
      <w:bookmarkStart w:id="60" w:name="_Toc15396613"/>
      <w:bookmarkStart w:id="61" w:name="_Toc15377225"/>
      <w:bookmarkStart w:id="62" w:name="_Toc31722"/>
      <w:r>
        <w:rPr>
          <w:rFonts w:hint="eastAsia" w:ascii="黑体" w:hAnsi="黑体" w:eastAsia="黑体"/>
          <w:color w:val="auto"/>
          <w:sz w:val="44"/>
          <w:szCs w:val="44"/>
        </w:rPr>
        <w:t>名</w:t>
      </w:r>
      <w:r>
        <w:rPr>
          <w:rStyle w:val="33"/>
          <w:rFonts w:hint="eastAsia" w:ascii="黑体" w:hAnsi="黑体" w:eastAsia="黑体"/>
          <w:b w:val="0"/>
          <w:color w:val="auto"/>
        </w:rPr>
        <w:t>词解释</w:t>
      </w:r>
      <w:bookmarkEnd w:id="60"/>
      <w:bookmarkEnd w:id="61"/>
      <w:bookmarkEnd w:id="62"/>
    </w:p>
    <w:p w14:paraId="0357A6DB">
      <w:pPr>
        <w:spacing w:line="600" w:lineRule="exact"/>
        <w:jc w:val="left"/>
        <w:rPr>
          <w:rFonts w:ascii="宋体"/>
          <w:b/>
          <w:color w:val="auto"/>
          <w:sz w:val="44"/>
          <w:szCs w:val="44"/>
        </w:rPr>
      </w:pPr>
    </w:p>
    <w:p w14:paraId="7165E09F">
      <w:pPr>
        <w:pStyle w:val="31"/>
        <w:spacing w:line="560" w:lineRule="exact"/>
        <w:ind w:firstLine="640" w:firstLineChars="200"/>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1.财政拨款收入：指单位从同级财政部门取得的财政预算资金。</w:t>
      </w:r>
    </w:p>
    <w:p w14:paraId="10FBA2EA">
      <w:pPr>
        <w:pStyle w:val="31"/>
        <w:spacing w:line="560" w:lineRule="exact"/>
        <w:ind w:firstLine="640" w:firstLineChars="200"/>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2.事业收入：指事业单位开展专业业务活动及辅助活动取得的收入。如…（二级预算单位事业收入情况）等。</w:t>
      </w:r>
    </w:p>
    <w:p w14:paraId="509F7D83">
      <w:pPr>
        <w:pStyle w:val="31"/>
        <w:spacing w:line="560" w:lineRule="exact"/>
        <w:ind w:firstLine="640" w:firstLineChars="200"/>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3.经营收入：指事业单位在专业业务活动及其辅助活动之外开展非独立核算经营活动取得的收入。如…（二级预算单位经营收入情况）等。</w:t>
      </w:r>
    </w:p>
    <w:p w14:paraId="120E2B14">
      <w:pPr>
        <w:pStyle w:val="31"/>
        <w:spacing w:line="560" w:lineRule="exact"/>
        <w:ind w:firstLine="640" w:firstLineChars="200"/>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 xml:space="preserve">4.其他收入：指单位取得的除上述收入以外的各项收入。主要是…（收入类型）等。 </w:t>
      </w:r>
    </w:p>
    <w:p w14:paraId="3D71BD11">
      <w:pPr>
        <w:pStyle w:val="31"/>
        <w:spacing w:line="560" w:lineRule="exact"/>
        <w:ind w:firstLine="640" w:firstLineChars="200"/>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 xml:space="preserve">5.使用非财政拨款结余（含专用结余）：指事业单位使用以前年度积累的非财政拨款结余弥补当年收支差额的金额。 </w:t>
      </w:r>
    </w:p>
    <w:p w14:paraId="3B27DDEF">
      <w:pPr>
        <w:pStyle w:val="31"/>
        <w:spacing w:line="560" w:lineRule="exact"/>
        <w:ind w:firstLine="640" w:firstLineChars="200"/>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 xml:space="preserve">6.年初结转和结余：指以前年度尚未完成、结转到本年按有关规定继续使用的资金。 </w:t>
      </w:r>
    </w:p>
    <w:p w14:paraId="56DEDDFE">
      <w:pPr>
        <w:pStyle w:val="31"/>
        <w:spacing w:line="560" w:lineRule="exact"/>
        <w:ind w:firstLine="640" w:firstLineChars="200"/>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7.结余分配：指事业单位按照会计制度规定缴纳的所得税、提取的专用结余以及转入非财政拨款结余的金额等。</w:t>
      </w:r>
    </w:p>
    <w:p w14:paraId="4B9D737C">
      <w:pPr>
        <w:pStyle w:val="31"/>
        <w:spacing w:line="560" w:lineRule="exact"/>
        <w:ind w:firstLine="640" w:firstLineChars="200"/>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8.年末结转和结余：指单位按有关规定结转到下年或以后年度继续使用的资金。</w:t>
      </w:r>
    </w:p>
    <w:p w14:paraId="7D2677AB">
      <w:pPr>
        <w:ind w:firstLine="640" w:firstLineChars="200"/>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9.公共安全（类）20404检察（款）2040401行政运行（项）：指检察行政单位（包括实行公务员管理的事业单位）的基本支出。</w:t>
      </w:r>
    </w:p>
    <w:p w14:paraId="25D4EBD2">
      <w:pPr>
        <w:autoSpaceDE w:val="0"/>
        <w:autoSpaceDN w:val="0"/>
        <w:adjustRightInd w:val="0"/>
        <w:spacing w:line="600" w:lineRule="exact"/>
        <w:ind w:firstLine="640" w:firstLineChars="200"/>
        <w:jc w:val="left"/>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11.公共安全（类）20404检察（款）2040402一般行政管理事务（项）：指检察行政单位（包括实行公务员管理的事业单位）未单独设置项级科目的其他项目支出。</w:t>
      </w:r>
    </w:p>
    <w:p w14:paraId="7808EFFB">
      <w:pPr>
        <w:autoSpaceDE w:val="0"/>
        <w:autoSpaceDN w:val="0"/>
        <w:adjustRightInd w:val="0"/>
        <w:spacing w:line="600" w:lineRule="exact"/>
        <w:ind w:firstLine="640" w:firstLineChars="200"/>
        <w:jc w:val="left"/>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12.公共安全（类）20404检察（款）2040410检察监督（项）：指检察机关依法开展法律监督工作的支出，包括侦查监督、公诉、审判监督、执行监督、民事行政监督、公益诉讼、控告申诉等。</w:t>
      </w:r>
    </w:p>
    <w:p w14:paraId="2A8EDDDE">
      <w:pPr>
        <w:autoSpaceDE w:val="0"/>
        <w:autoSpaceDN w:val="0"/>
        <w:adjustRightInd w:val="0"/>
        <w:spacing w:line="600" w:lineRule="exact"/>
        <w:ind w:firstLine="640" w:firstLineChars="200"/>
        <w:jc w:val="left"/>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13.公共安全（类）20404检察（款）2040450事业运行（项）：指事业单位的基本支出，不包括行政单位（包括实行公务员管理的事业单位）后勤服务中心、医务室等附属事业单位。</w:t>
      </w:r>
    </w:p>
    <w:p w14:paraId="39A78FCF">
      <w:pPr>
        <w:ind w:firstLine="640" w:firstLineChars="200"/>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14.社会保障和就业（类）20805行政事业单位养老保险支出（款）2080505机关事业单位基本养老保险缴费支出（项）：指反映机关事业单位实施养老保险制度由单位缴纳的基本养老保险费支出。</w:t>
      </w:r>
    </w:p>
    <w:p w14:paraId="5C67B7C6">
      <w:pPr>
        <w:ind w:firstLine="640" w:firstLineChars="200"/>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15.社会保障和就业（类）20805行政事业单位养老保险支出（款）2080599其他行政事业单位养老支出（项）：指反映机关事业单位除实施保险支出以外其他用于行政事业单位养老方面支出。</w:t>
      </w:r>
    </w:p>
    <w:p w14:paraId="621AC7E5">
      <w:pPr>
        <w:ind w:firstLine="640" w:firstLineChars="200"/>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16.社会保障和就业（类）20808抚恤（款）2080801死亡抚恤（项）：指按规定用于烈士和牺牲、病故人员家属的一次性和定期抚恤金、丧葬补助费以及烈士褒扬金。</w:t>
      </w:r>
    </w:p>
    <w:p w14:paraId="31105BF8">
      <w:pPr>
        <w:ind w:firstLine="640" w:firstLineChars="200"/>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17.卫生健康（类）21011行政事业单位医疗（款）2101101行政单位医疗（项）：指财政部门安排的行政单位（包括实行公务员管理的事业单位）基本医疗保险缴费经费，未参加医疗保险的行政单位的公费医疗经费，按国家规定享受离休人员、红军老战士待遇人员的医疗经费。</w:t>
      </w:r>
    </w:p>
    <w:p w14:paraId="78DE174A">
      <w:pPr>
        <w:ind w:firstLine="640" w:firstLineChars="200"/>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18.卫生健康（类）21011行政事业单位医疗（款）2101102事业单位医疗（项）：指财政部门安排的事业单位基本医疗保险缴费经费，未参加医疗保险的事业单位的公费医疗经费，按国家规定享受离休人员待遇的医疗经费。</w:t>
      </w:r>
    </w:p>
    <w:p w14:paraId="663B7E7B">
      <w:pPr>
        <w:ind w:firstLine="640" w:firstLineChars="200"/>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19.卫生健康（类）21011行政事业单位医疗（款）21011031公务员医疗补助（项）：指财政部门安排的公务员医疗补助经费。</w:t>
      </w:r>
    </w:p>
    <w:p w14:paraId="37DA9C38">
      <w:pPr>
        <w:ind w:firstLine="640" w:firstLineChars="200"/>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20.住房保障（类）22102住房改革（款）2210201住房公积金（项）：指行政事业单位按人力资源和社会保障部、财政部规定的基本工资和津贴补贴以及规定比例为职工缴纳的住房公积金。</w:t>
      </w:r>
    </w:p>
    <w:p w14:paraId="784BBC93">
      <w:pPr>
        <w:spacing w:line="600" w:lineRule="exact"/>
        <w:ind w:firstLine="640"/>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（解释本单位决算报表中涉及的全部功能分类科目至项级，不涉及的科目请自行删除。请参照《2024年政府收支分类科目》增减内容。）</w:t>
      </w:r>
    </w:p>
    <w:p w14:paraId="72F76CB9">
      <w:pPr>
        <w:ind w:firstLine="640" w:firstLineChars="200"/>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21.基本支出：指为保障机构正常运转、完成日常工作任务而发生的人员支出和公用支出。</w:t>
      </w:r>
    </w:p>
    <w:p w14:paraId="09C54CD4">
      <w:pPr>
        <w:ind w:firstLine="640" w:firstLineChars="200"/>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 xml:space="preserve">22.项目支出：指在基本支出之外为完成特定行政任务和事业发展目标所发生的支出。 </w:t>
      </w:r>
    </w:p>
    <w:p w14:paraId="10FAA252">
      <w:pPr>
        <w:ind w:firstLine="640" w:firstLineChars="200"/>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23.经营支出：指事业单位在专业业务活动及其辅助活动之外开展非独立核算经营活动发生的支出。</w:t>
      </w:r>
    </w:p>
    <w:p w14:paraId="39434DB2">
      <w:pPr>
        <w:pStyle w:val="31"/>
        <w:spacing w:line="560" w:lineRule="exact"/>
        <w:ind w:firstLine="640" w:firstLineChars="200"/>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24.“三公”经费：指单位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0248916E">
      <w:pPr>
        <w:pStyle w:val="31"/>
        <w:spacing w:line="560" w:lineRule="exact"/>
        <w:ind w:firstLine="640" w:firstLineChars="200"/>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25.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6B80B302">
      <w:pPr>
        <w:pStyle w:val="31"/>
        <w:spacing w:line="560" w:lineRule="exact"/>
        <w:ind w:firstLine="640" w:firstLineChars="200"/>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26.办案业务经费：为保障人民检察院依法履行法律监督职责，在开侦查监督、公诉、审判监督、执行监督、民事行政监督、公益诉讼、控告申诉等检察工作和与检察业务相关工作的过程中所需开支费经费，包括办案和检察业务工作开展过程中发生的办公及印刷费、邮电费、差旅费、会议费、日常维修费、宣传费、调查取证费、交通费等费用以及为开展工作所购置一般设备、专用设备等设施设备费。</w:t>
      </w:r>
    </w:p>
    <w:p w14:paraId="0ED0AB46">
      <w:pPr>
        <w:pStyle w:val="31"/>
        <w:spacing w:line="560" w:lineRule="exact"/>
        <w:ind w:firstLine="640" w:firstLineChars="200"/>
        <w:rPr>
          <w:rFonts w:hint="eastAsia" w:ascii="仿宋" w:hAnsi="仿宋" w:eastAsia="仿宋" w:cs="Times New Roman"/>
          <w:color w:val="auto"/>
          <w:kern w:val="2"/>
          <w:sz w:val="32"/>
          <w:szCs w:val="32"/>
          <w:lang w:val="en-US" w:eastAsia="zh-CN" w:bidi="ar-SA"/>
        </w:rPr>
      </w:pPr>
    </w:p>
    <w:p w14:paraId="63471474">
      <w:pPr>
        <w:pStyle w:val="8"/>
        <w:rPr>
          <w:rFonts w:hint="eastAsia"/>
        </w:rPr>
      </w:pPr>
      <w:bookmarkStart w:id="63" w:name="_Toc15396614"/>
      <w:bookmarkStart w:id="64" w:name="_Toc15377226"/>
    </w:p>
    <w:p w14:paraId="65467B75">
      <w:pPr>
        <w:spacing w:line="600" w:lineRule="exact"/>
        <w:jc w:val="center"/>
        <w:outlineLvl w:val="0"/>
        <w:rPr>
          <w:rStyle w:val="33"/>
          <w:rFonts w:ascii="黑体" w:hAnsi="黑体" w:eastAsia="黑体"/>
          <w:b w:val="0"/>
          <w:color w:val="auto"/>
        </w:rPr>
      </w:pPr>
      <w:bookmarkStart w:id="65" w:name="_Toc30581"/>
      <w:r>
        <w:rPr>
          <w:rFonts w:hint="eastAsia" w:ascii="黑体" w:hAnsi="黑体" w:eastAsia="黑体"/>
          <w:color w:val="auto"/>
          <w:sz w:val="44"/>
          <w:szCs w:val="44"/>
        </w:rPr>
        <w:t>第</w:t>
      </w:r>
      <w:r>
        <w:rPr>
          <w:rStyle w:val="33"/>
          <w:rFonts w:hint="eastAsia" w:ascii="黑体" w:hAnsi="黑体" w:eastAsia="黑体"/>
          <w:b w:val="0"/>
          <w:color w:val="auto"/>
        </w:rPr>
        <w:t>四部分 附件</w:t>
      </w:r>
      <w:bookmarkEnd w:id="63"/>
      <w:bookmarkEnd w:id="65"/>
    </w:p>
    <w:p w14:paraId="29B14460">
      <w:pPr>
        <w:pStyle w:val="2"/>
        <w:spacing w:before="93"/>
        <w:rPr>
          <w:rFonts w:hAnsi="Calibri" w:cs="仿宋"/>
          <w:color w:val="0000FF"/>
          <w:sz w:val="32"/>
          <w:szCs w:val="32"/>
        </w:rPr>
      </w:pPr>
      <w:bookmarkStart w:id="66" w:name="_Toc15396618"/>
    </w:p>
    <w:p w14:paraId="30122189">
      <w:pPr>
        <w:keepNext w:val="0"/>
        <w:keepLines w:val="0"/>
        <w:pageBreakBefore w:val="0"/>
        <w:kinsoku/>
        <w:wordWrap/>
        <w:overflowPunct/>
        <w:topLinePunct w:val="0"/>
        <w:autoSpaceDE/>
        <w:autoSpaceDN/>
        <w:bidi w:val="0"/>
        <w:spacing w:line="572" w:lineRule="exact"/>
        <w:jc w:val="left"/>
        <w:textAlignment w:val="auto"/>
        <w:outlineLvl w:val="0"/>
        <w:rPr>
          <w:rFonts w:hint="eastAsia" w:ascii="方正小标宋简体" w:hAnsi="方正小标宋简体" w:eastAsia="黑体" w:cs="方正小标宋简体"/>
          <w:color w:val="auto"/>
          <w:sz w:val="44"/>
          <w:szCs w:val="44"/>
          <w:highlight w:val="none"/>
          <w:lang w:val="en-US" w:eastAsia="zh-CN"/>
        </w:rPr>
      </w:pPr>
      <w:bookmarkStart w:id="67" w:name="_Toc10062"/>
      <w:r>
        <w:rPr>
          <w:rFonts w:hint="eastAsia" w:ascii="黑体" w:hAnsi="黑体" w:eastAsia="黑体" w:cs="黑体"/>
          <w:color w:val="auto"/>
          <w:sz w:val="32"/>
          <w:szCs w:val="32"/>
          <w:highlight w:val="none"/>
        </w:rPr>
        <w:t>附件</w:t>
      </w:r>
      <w:r>
        <w:rPr>
          <w:rFonts w:hint="eastAsia" w:ascii="黑体" w:hAnsi="黑体" w:eastAsia="黑体" w:cs="黑体"/>
          <w:color w:val="auto"/>
          <w:sz w:val="32"/>
          <w:szCs w:val="32"/>
          <w:highlight w:val="none"/>
          <w:lang w:val="en-US" w:eastAsia="zh-CN"/>
        </w:rPr>
        <w:t>1</w:t>
      </w:r>
      <w:bookmarkEnd w:id="67"/>
    </w:p>
    <w:p w14:paraId="233EC973">
      <w:pPr>
        <w:spacing w:line="580" w:lineRule="exact"/>
        <w:jc w:val="center"/>
        <w:rPr>
          <w:rFonts w:hint="eastAsia" w:ascii="宋体" w:hAnsi="宋体" w:eastAsia="宋体" w:cs="宋体"/>
          <w:sz w:val="44"/>
          <w:szCs w:val="44"/>
          <w:shd w:val="clear" w:color="auto" w:fill="FFFFFF"/>
          <w:lang w:val="en-US" w:eastAsia="zh-CN"/>
        </w:rPr>
      </w:pPr>
      <w:r>
        <w:rPr>
          <w:rFonts w:hint="eastAsia" w:ascii="宋体" w:hAnsi="宋体" w:eastAsia="宋体" w:cs="宋体"/>
          <w:sz w:val="44"/>
          <w:szCs w:val="44"/>
          <w:shd w:val="clear" w:color="auto" w:fill="FFFFFF"/>
          <w:lang w:val="en-US" w:eastAsia="zh-CN"/>
        </w:rPr>
        <w:t>南江县人民检察院</w:t>
      </w:r>
    </w:p>
    <w:p w14:paraId="3C39D00D">
      <w:pPr>
        <w:spacing w:line="580" w:lineRule="exact"/>
        <w:jc w:val="center"/>
        <w:rPr>
          <w:rFonts w:hint="eastAsia" w:ascii="宋体" w:hAnsi="宋体" w:eastAsia="宋体" w:cs="宋体"/>
          <w:sz w:val="44"/>
          <w:szCs w:val="44"/>
          <w:shd w:val="clear" w:color="auto" w:fill="FFFFFF"/>
        </w:rPr>
      </w:pPr>
      <w:r>
        <w:rPr>
          <w:rFonts w:hint="eastAsia" w:ascii="宋体" w:hAnsi="宋体" w:eastAsia="宋体" w:cs="宋体"/>
          <w:sz w:val="44"/>
          <w:szCs w:val="44"/>
          <w:shd w:val="clear" w:color="auto" w:fill="FFFFFF"/>
        </w:rPr>
        <w:t>部门</w:t>
      </w:r>
      <w:r>
        <w:rPr>
          <w:rFonts w:hint="eastAsia" w:ascii="宋体" w:hAnsi="宋体" w:eastAsia="宋体" w:cs="宋体"/>
          <w:sz w:val="44"/>
          <w:szCs w:val="44"/>
          <w:shd w:val="clear" w:color="auto" w:fill="FFFFFF"/>
          <w:lang w:val="en-US" w:eastAsia="zh-CN"/>
        </w:rPr>
        <w:t>预算（整体）</w:t>
      </w:r>
      <w:r>
        <w:rPr>
          <w:rFonts w:hint="eastAsia" w:ascii="宋体" w:hAnsi="宋体" w:eastAsia="宋体" w:cs="宋体"/>
          <w:sz w:val="44"/>
          <w:szCs w:val="44"/>
          <w:shd w:val="clear" w:color="auto" w:fill="FFFFFF"/>
        </w:rPr>
        <w:t>绩效</w:t>
      </w:r>
      <w:r>
        <w:rPr>
          <w:rFonts w:hint="eastAsia" w:ascii="宋体" w:hAnsi="宋体" w:eastAsia="宋体" w:cs="宋体"/>
          <w:sz w:val="44"/>
          <w:szCs w:val="44"/>
          <w:shd w:val="clear" w:color="auto" w:fill="FFFFFF"/>
          <w:lang w:val="en-US" w:eastAsia="zh-CN"/>
        </w:rPr>
        <w:t>自评</w:t>
      </w:r>
      <w:r>
        <w:rPr>
          <w:rFonts w:hint="eastAsia" w:ascii="宋体" w:hAnsi="宋体" w:eastAsia="宋体" w:cs="宋体"/>
          <w:sz w:val="44"/>
          <w:szCs w:val="44"/>
          <w:shd w:val="clear" w:color="auto" w:fill="FFFFFF"/>
        </w:rPr>
        <w:t>报告</w:t>
      </w:r>
    </w:p>
    <w:p w14:paraId="675A131F">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contextualSpacing/>
        <w:jc w:val="left"/>
        <w:textAlignment w:val="auto"/>
        <w:outlineLvl w:val="9"/>
        <w:rPr>
          <w:rFonts w:hint="default" w:ascii="Times New Roman" w:hAnsi="Times New Roman" w:eastAsia="方正仿宋_GBK"/>
          <w:color w:val="000000"/>
          <w:kern w:val="0"/>
          <w:sz w:val="32"/>
          <w:szCs w:val="32"/>
          <w:highlight w:val="none"/>
          <w:shd w:val="clear" w:color="auto" w:fill="FFFFFF"/>
        </w:rPr>
      </w:pPr>
    </w:p>
    <w:p w14:paraId="4B245662">
      <w:pPr>
        <w:keepNext w:val="0"/>
        <w:keepLines w:val="0"/>
        <w:pageBreakBefore w:val="0"/>
        <w:widowControl/>
        <w:kinsoku/>
        <w:wordWrap/>
        <w:overflowPunct/>
        <w:topLinePunct w:val="0"/>
        <w:autoSpaceDE/>
        <w:autoSpaceDN/>
        <w:bidi w:val="0"/>
        <w:adjustRightInd w:val="0"/>
        <w:snapToGrid w:val="0"/>
        <w:spacing w:line="560" w:lineRule="exact"/>
        <w:ind w:left="0" w:firstLine="640" w:firstLineChars="200"/>
        <w:contextualSpacing/>
        <w:jc w:val="left"/>
        <w:textAlignment w:val="auto"/>
        <w:outlineLvl w:val="9"/>
        <w:rPr>
          <w:rFonts w:hint="eastAsia" w:ascii="方正黑体_GBK" w:hAnsi="Calibri" w:eastAsia="方正黑体_GBK"/>
          <w:sz w:val="32"/>
          <w:szCs w:val="32"/>
        </w:rPr>
      </w:pPr>
      <w:r>
        <w:rPr>
          <w:rFonts w:hint="eastAsia" w:ascii="方正黑体_GBK" w:hAnsi="Calibri" w:eastAsia="方正黑体_GBK"/>
          <w:color w:val="000000"/>
          <w:kern w:val="0"/>
          <w:sz w:val="32"/>
          <w:szCs w:val="32"/>
          <w:highlight w:val="none"/>
          <w:shd w:val="clear" w:color="auto" w:fill="FFFFFF"/>
          <w:lang w:val="zh-CN" w:eastAsia="zh-CN"/>
        </w:rPr>
        <w:t>一、</w:t>
      </w:r>
      <w:r>
        <w:rPr>
          <w:rFonts w:hint="eastAsia" w:ascii="方正黑体_GBK" w:hAnsi="Calibri" w:eastAsia="方正黑体_GBK"/>
          <w:color w:val="000000"/>
          <w:kern w:val="0"/>
          <w:sz w:val="32"/>
          <w:szCs w:val="32"/>
          <w:highlight w:val="none"/>
          <w:shd w:val="clear" w:color="auto" w:fill="FFFFFF"/>
          <w:lang w:val="en-US" w:eastAsia="zh-CN"/>
        </w:rPr>
        <w:t>单位</w:t>
      </w:r>
      <w:r>
        <w:rPr>
          <w:rFonts w:hint="eastAsia" w:ascii="方正黑体_GBK" w:hAnsi="Calibri" w:eastAsia="方正黑体_GBK"/>
          <w:color w:val="000000"/>
          <w:kern w:val="0"/>
          <w:sz w:val="32"/>
          <w:szCs w:val="32"/>
          <w:highlight w:val="none"/>
          <w:shd w:val="clear" w:color="auto" w:fill="FFFFFF"/>
          <w:lang w:val="zh-CN" w:eastAsia="zh-CN"/>
        </w:rPr>
        <w:t>基本情况</w:t>
      </w:r>
    </w:p>
    <w:p w14:paraId="5370824F">
      <w:pPr>
        <w:keepNext w:val="0"/>
        <w:keepLines w:val="0"/>
        <w:pageBreakBefore w:val="0"/>
        <w:widowControl/>
        <w:kinsoku/>
        <w:wordWrap/>
        <w:overflowPunct/>
        <w:topLinePunct w:val="0"/>
        <w:autoSpaceDE/>
        <w:autoSpaceDN/>
        <w:bidi w:val="0"/>
        <w:adjustRightInd w:val="0"/>
        <w:snapToGrid w:val="0"/>
        <w:spacing w:line="560" w:lineRule="exact"/>
        <w:ind w:left="0" w:firstLine="640" w:firstLineChars="200"/>
        <w:contextualSpacing/>
        <w:jc w:val="left"/>
        <w:textAlignment w:val="auto"/>
        <w:outlineLvl w:val="9"/>
        <w:rPr>
          <w:rFonts w:hint="eastAsia" w:ascii="方正楷体_GBK" w:hAnsi="Calibri" w:eastAsia="方正楷体_GBK"/>
          <w:color w:val="000000"/>
          <w:kern w:val="0"/>
          <w:sz w:val="32"/>
          <w:szCs w:val="32"/>
          <w:highlight w:val="none"/>
          <w:shd w:val="clear" w:color="auto" w:fill="FFFFFF"/>
          <w:lang w:val="zh-CN" w:eastAsia="zh-CN"/>
        </w:rPr>
      </w:pPr>
      <w:r>
        <w:rPr>
          <w:rFonts w:hint="eastAsia" w:ascii="方正楷体_GBK" w:hAnsi="Calibri" w:eastAsia="方正楷体_GBK"/>
          <w:color w:val="000000"/>
          <w:kern w:val="0"/>
          <w:sz w:val="32"/>
          <w:szCs w:val="32"/>
          <w:highlight w:val="none"/>
          <w:shd w:val="clear" w:color="auto" w:fill="FFFFFF"/>
          <w:lang w:val="zh-CN" w:eastAsia="zh-CN"/>
        </w:rPr>
        <w:t>（一）机构组成</w:t>
      </w:r>
    </w:p>
    <w:p w14:paraId="46D202EB">
      <w:pPr>
        <w:ind w:firstLine="800" w:firstLineChars="250"/>
        <w:rPr>
          <w:rFonts w:hint="eastAsia" w:ascii="Times New Roman" w:hAnsi="Times New Roman" w:eastAsia="仿宋_GB2312" w:cs="仿宋_GB2312"/>
          <w:color w:val="auto"/>
          <w:sz w:val="32"/>
          <w:szCs w:val="32"/>
          <w:highlight w:val="none"/>
        </w:rPr>
      </w:pPr>
      <w:r>
        <w:rPr>
          <w:rFonts w:hint="default" w:ascii="Times New Roman" w:hAnsi="Times New Roman" w:eastAsia="仿宋" w:cs="Times New Roman"/>
          <w:color w:val="000000"/>
          <w:spacing w:val="0"/>
          <w:kern w:val="2"/>
          <w:sz w:val="32"/>
          <w:szCs w:val="32"/>
          <w:highlight w:val="none"/>
          <w:lang w:val="en-US" w:eastAsia="zh-CN" w:bidi="zh-CN"/>
        </w:rPr>
        <w:t>南江县人民检察院是一个独立核算机构，内设5个机构，主要包括办公室、政治部、第一检察部、第二检察部、第三检察部</w:t>
      </w:r>
      <w:r>
        <w:rPr>
          <w:rFonts w:hint="eastAsia" w:ascii="Times New Roman" w:hAnsi="Times New Roman" w:eastAsia="仿宋" w:cs="Times New Roman"/>
          <w:color w:val="000000"/>
          <w:spacing w:val="0"/>
          <w:kern w:val="2"/>
          <w:sz w:val="32"/>
          <w:szCs w:val="32"/>
          <w:highlight w:val="none"/>
          <w:lang w:val="en-US" w:eastAsia="zh-CN" w:bidi="zh-CN"/>
        </w:rPr>
        <w:t>；派驻检察室2个，</w:t>
      </w:r>
      <w:r>
        <w:rPr>
          <w:rFonts w:hint="default" w:ascii="Times New Roman" w:hAnsi="Times New Roman" w:eastAsia="仿宋" w:cs="Times New Roman"/>
          <w:color w:val="000000"/>
          <w:spacing w:val="0"/>
          <w:kern w:val="2"/>
          <w:sz w:val="32"/>
          <w:szCs w:val="32"/>
          <w:highlight w:val="none"/>
          <w:lang w:val="en-US" w:eastAsia="zh-CN" w:bidi="zh-CN"/>
        </w:rPr>
        <w:t>驻长赤、光雾山乡镇检察室</w:t>
      </w:r>
      <w:r>
        <w:rPr>
          <w:rFonts w:hint="eastAsia" w:ascii="Times New Roman" w:hAnsi="Times New Roman" w:eastAsia="仿宋_GB2312" w:cs="仿宋_GB2312"/>
          <w:color w:val="auto"/>
          <w:sz w:val="32"/>
          <w:szCs w:val="32"/>
          <w:highlight w:val="none"/>
        </w:rPr>
        <w:t>。</w:t>
      </w:r>
    </w:p>
    <w:p w14:paraId="031A0353">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方正楷体_GBK" w:hAnsi="Times New Roman" w:eastAsia="方正楷体_GBK" w:cs="Times New Roman"/>
          <w:bCs/>
          <w:color w:val="000000"/>
          <w:kern w:val="0"/>
          <w:sz w:val="32"/>
          <w:szCs w:val="32"/>
          <w:highlight w:val="none"/>
          <w:shd w:val="clear" w:color="auto" w:fill="FFFFFF"/>
          <w:lang w:val="zh-CN" w:eastAsia="zh-CN" w:bidi="ar-SA"/>
        </w:rPr>
      </w:pPr>
      <w:r>
        <w:rPr>
          <w:rFonts w:hint="eastAsia" w:ascii="方正楷体_GBK" w:hAnsi="Times New Roman" w:eastAsia="方正楷体_GBK" w:cs="Times New Roman"/>
          <w:bCs/>
          <w:color w:val="000000"/>
          <w:kern w:val="0"/>
          <w:sz w:val="32"/>
          <w:szCs w:val="32"/>
          <w:highlight w:val="none"/>
          <w:shd w:val="clear" w:color="auto" w:fill="FFFFFF"/>
          <w:lang w:val="zh-CN" w:eastAsia="zh-CN" w:bidi="ar-SA"/>
        </w:rPr>
        <w:t>（二）机构职能</w:t>
      </w:r>
    </w:p>
    <w:p w14:paraId="000F21F5">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南江县人民检察院属国家法律监督机关，按照上级检察院和县委的决策部署，依法履行法律监督职责。主要职能如下：</w:t>
      </w:r>
    </w:p>
    <w:p w14:paraId="29CF97B2">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1.通过行使检察权，追诉犯罪，保障人权，维护国家安全和社会秩序，依法监督国家机关及其工作人员行使职权，保障国家法律正确实施，维护社会公共利益，维护社会公平正义，维护国家法制统一、尊严、权威。</w:t>
      </w:r>
    </w:p>
    <w:p w14:paraId="735CFE30">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b w:val="0"/>
          <w:bCs w:val="0"/>
          <w:kern w:val="2"/>
          <w:sz w:val="32"/>
          <w:szCs w:val="32"/>
          <w:highlight w:val="none"/>
          <w:lang w:val="en-US" w:eastAsia="zh-CN" w:bidi="ar-SA"/>
        </w:rPr>
      </w:pPr>
      <w:r>
        <w:rPr>
          <w:rFonts w:hint="eastAsia" w:ascii="仿宋" w:hAnsi="仿宋" w:eastAsia="仿宋" w:cs="仿宋"/>
          <w:kern w:val="2"/>
          <w:sz w:val="32"/>
          <w:szCs w:val="32"/>
          <w:lang w:val="en-US" w:eastAsia="zh-CN" w:bidi="ar-SA"/>
        </w:rPr>
        <w:t>2.主要行使下列职权：对依照法律规定由其办理的刑事案件行使侦查权；对刑事案件进行审查，决定是否逮捕犯罪嫌疑人；对侦查终结的刑事案件进行审查，决定是否提起公诉；对刑事、民事、行政诉讼实行法律监督；对刑事、民事、行政判决、裁定等生效法律文书的执行工作实行法律监督；对社区矫正机构、看守</w:t>
      </w:r>
      <w:r>
        <w:rPr>
          <w:rFonts w:hint="eastAsia" w:ascii="仿宋" w:hAnsi="仿宋" w:eastAsia="仿宋" w:cs="仿宋"/>
          <w:b w:val="0"/>
          <w:bCs w:val="0"/>
          <w:kern w:val="2"/>
          <w:sz w:val="32"/>
          <w:szCs w:val="32"/>
          <w:highlight w:val="none"/>
          <w:lang w:val="en-US" w:eastAsia="zh-CN" w:bidi="ar-SA"/>
        </w:rPr>
        <w:t>所的执法工作实行法律监督；依照法律规定提起公益诉讼；以及法律规定的其他职权。</w:t>
      </w:r>
    </w:p>
    <w:p w14:paraId="521F6A2C">
      <w:pPr>
        <w:keepNext w:val="0"/>
        <w:keepLines w:val="0"/>
        <w:pageBreakBefore w:val="0"/>
        <w:widowControl/>
        <w:kinsoku/>
        <w:wordWrap/>
        <w:overflowPunct/>
        <w:topLinePunct w:val="0"/>
        <w:autoSpaceDE/>
        <w:autoSpaceDN/>
        <w:bidi w:val="0"/>
        <w:adjustRightInd w:val="0"/>
        <w:snapToGrid w:val="0"/>
        <w:spacing w:line="560" w:lineRule="exact"/>
        <w:ind w:firstLine="643" w:firstLineChars="200"/>
        <w:contextualSpacing/>
        <w:jc w:val="left"/>
        <w:textAlignment w:val="auto"/>
        <w:outlineLvl w:val="9"/>
        <w:rPr>
          <w:rFonts w:hint="default" w:ascii="Times New Roman" w:hAnsi="Times New Roman" w:eastAsia="方正仿宋_GBK"/>
          <w:b/>
          <w:bCs/>
          <w:color w:val="000000"/>
          <w:kern w:val="0"/>
          <w:sz w:val="32"/>
          <w:szCs w:val="32"/>
          <w:highlight w:val="none"/>
          <w:shd w:val="clear" w:color="auto" w:fill="FFFFFF"/>
          <w:lang w:val="zh-CN" w:eastAsia="zh-CN"/>
        </w:rPr>
      </w:pPr>
    </w:p>
    <w:p w14:paraId="26B2FB8F">
      <w:pPr>
        <w:keepNext w:val="0"/>
        <w:keepLines w:val="0"/>
        <w:pageBreakBefore w:val="0"/>
        <w:widowControl w:val="0"/>
        <w:kinsoku/>
        <w:wordWrap/>
        <w:overflowPunct/>
        <w:topLinePunct w:val="0"/>
        <w:autoSpaceDE/>
        <w:autoSpaceDN/>
        <w:bidi w:val="0"/>
        <w:adjustRightInd/>
        <w:snapToGrid/>
        <w:spacing w:after="120" w:line="560" w:lineRule="exact"/>
        <w:ind w:firstLine="640" w:firstLineChars="200"/>
        <w:jc w:val="both"/>
        <w:textAlignment w:val="auto"/>
        <w:rPr>
          <w:rFonts w:hint="eastAsia" w:ascii="方正楷体_GBK" w:hAnsi="楷体_GB2312" w:eastAsia="方正楷体_GBK" w:cs="Times New Roman"/>
          <w:bCs/>
          <w:color w:val="000000"/>
          <w:kern w:val="0"/>
          <w:position w:val="3"/>
          <w:sz w:val="32"/>
          <w:szCs w:val="32"/>
          <w:highlight w:val="none"/>
          <w:shd w:val="clear" w:color="auto" w:fill="FFFFFF"/>
          <w:lang w:val="zh-CN" w:eastAsia="zh-CN" w:bidi="ar-SA"/>
        </w:rPr>
      </w:pPr>
      <w:r>
        <w:rPr>
          <w:rFonts w:hint="eastAsia" w:ascii="方正楷体_GBK" w:hAnsi="楷体_GB2312" w:eastAsia="方正楷体_GBK" w:cs="Times New Roman"/>
          <w:bCs/>
          <w:color w:val="000000"/>
          <w:kern w:val="0"/>
          <w:position w:val="3"/>
          <w:sz w:val="32"/>
          <w:szCs w:val="32"/>
          <w:highlight w:val="none"/>
          <w:shd w:val="clear" w:color="auto" w:fill="FFFFFF"/>
          <w:lang w:val="zh-CN" w:eastAsia="zh-CN" w:bidi="ar-SA"/>
        </w:rPr>
        <w:t>（三）人员概况</w:t>
      </w:r>
    </w:p>
    <w:p w14:paraId="77ABE5E2">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南江县人民检察院共一个独立核算机构，无下属单位。人员编制57人，其中：政法编制44人、事业编制5人、机关工勤8人。2025年年末实有人数为73人，其中：政法编制人员42人、事业人员5人、机关工勤8人、聘用制书记员18人。</w:t>
      </w:r>
    </w:p>
    <w:p w14:paraId="66312B8F">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contextualSpacing/>
        <w:jc w:val="left"/>
        <w:textAlignment w:val="auto"/>
        <w:outlineLvl w:val="9"/>
        <w:rPr>
          <w:rFonts w:hint="eastAsia" w:ascii="方正黑体_GBK" w:hAnsi="Calibri" w:eastAsia="方正黑体_GBK"/>
          <w:color w:val="000000"/>
          <w:kern w:val="0"/>
          <w:sz w:val="32"/>
          <w:szCs w:val="32"/>
          <w:highlight w:val="none"/>
          <w:shd w:val="clear" w:color="auto" w:fill="FFFFFF"/>
        </w:rPr>
      </w:pPr>
      <w:r>
        <w:rPr>
          <w:rFonts w:hint="eastAsia" w:ascii="方正黑体_GBK" w:hAnsi="Calibri" w:eastAsia="方正黑体_GBK"/>
          <w:color w:val="000000"/>
          <w:kern w:val="0"/>
          <w:sz w:val="32"/>
          <w:szCs w:val="32"/>
          <w:highlight w:val="none"/>
          <w:shd w:val="clear" w:color="auto" w:fill="FFFFFF"/>
        </w:rPr>
        <w:t>二、</w:t>
      </w:r>
      <w:r>
        <w:rPr>
          <w:rFonts w:hint="eastAsia" w:ascii="方正黑体_GBK" w:hAnsi="Calibri" w:eastAsia="方正黑体_GBK"/>
          <w:color w:val="000000"/>
          <w:kern w:val="0"/>
          <w:sz w:val="32"/>
          <w:szCs w:val="32"/>
          <w:highlight w:val="none"/>
          <w:shd w:val="clear" w:color="auto" w:fill="FFFFFF"/>
          <w:lang w:eastAsia="zh-CN"/>
        </w:rPr>
        <w:t>部门</w:t>
      </w:r>
      <w:r>
        <w:rPr>
          <w:rFonts w:hint="eastAsia" w:ascii="方正黑体_GBK" w:hAnsi="Calibri" w:eastAsia="方正黑体_GBK"/>
          <w:color w:val="000000"/>
          <w:kern w:val="0"/>
          <w:sz w:val="32"/>
          <w:szCs w:val="32"/>
          <w:highlight w:val="none"/>
          <w:shd w:val="clear" w:color="auto" w:fill="FFFFFF"/>
        </w:rPr>
        <w:t>资金收支情况</w:t>
      </w:r>
    </w:p>
    <w:p w14:paraId="2BCEA9AD">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contextualSpacing/>
        <w:jc w:val="left"/>
        <w:textAlignment w:val="auto"/>
        <w:outlineLvl w:val="9"/>
        <w:rPr>
          <w:rFonts w:hint="eastAsia" w:ascii="方正楷体_GBK" w:hAnsi="Calibri" w:eastAsia="方正楷体_GBK"/>
          <w:bCs/>
          <w:color w:val="000000"/>
          <w:kern w:val="0"/>
          <w:sz w:val="32"/>
          <w:szCs w:val="32"/>
          <w:highlight w:val="none"/>
          <w:shd w:val="clear" w:color="auto" w:fill="FFFFFF"/>
          <w:lang w:val="zh-CN" w:eastAsia="zh-CN"/>
        </w:rPr>
      </w:pPr>
      <w:r>
        <w:rPr>
          <w:rFonts w:hint="eastAsia" w:ascii="方正楷体_GBK" w:hAnsi="Calibri" w:eastAsia="方正楷体_GBK"/>
          <w:bCs/>
          <w:color w:val="000000"/>
          <w:kern w:val="0"/>
          <w:sz w:val="32"/>
          <w:szCs w:val="32"/>
          <w:highlight w:val="none"/>
          <w:shd w:val="clear" w:color="auto" w:fill="FFFFFF"/>
          <w:lang w:val="zh-CN" w:eastAsia="zh-CN"/>
        </w:rPr>
        <w:t>（一）收入情况</w:t>
      </w:r>
    </w:p>
    <w:p w14:paraId="072FA6E7">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contextualSpacing/>
        <w:jc w:val="left"/>
        <w:textAlignment w:val="auto"/>
        <w:outlineLvl w:val="9"/>
        <w:rPr>
          <w:rFonts w:hint="default" w:ascii="Times New Roman" w:hAnsi="Times New Roman" w:eastAsia="仿宋" w:cs="Times New Roman"/>
          <w:color w:val="000000"/>
          <w:spacing w:val="0"/>
          <w:kern w:val="2"/>
          <w:sz w:val="32"/>
          <w:szCs w:val="32"/>
          <w:highlight w:val="none"/>
          <w:lang w:val="en-US" w:eastAsia="zh-CN" w:bidi="zh-CN"/>
        </w:rPr>
      </w:pPr>
      <w:r>
        <w:rPr>
          <w:rFonts w:hint="eastAsia" w:ascii="仿宋" w:hAnsi="仿宋" w:eastAsia="仿宋" w:cs="仿宋"/>
          <w:color w:val="000000"/>
          <w:kern w:val="0"/>
          <w:sz w:val="32"/>
          <w:szCs w:val="32"/>
          <w:highlight w:val="none"/>
          <w:shd w:val="clear" w:color="auto" w:fill="FFFFFF"/>
          <w:lang w:val="en-US" w:eastAsia="zh-CN"/>
        </w:rPr>
        <w:t>南江县人民检察院</w:t>
      </w:r>
      <w:r>
        <w:rPr>
          <w:rFonts w:hint="default" w:ascii="Times New Roman" w:hAnsi="Times New Roman" w:eastAsia="仿宋" w:cs="Times New Roman"/>
          <w:color w:val="000000"/>
          <w:spacing w:val="0"/>
          <w:kern w:val="2"/>
          <w:sz w:val="32"/>
          <w:szCs w:val="32"/>
          <w:highlight w:val="none"/>
          <w:lang w:val="en-US" w:eastAsia="zh-CN" w:bidi="zh-CN"/>
        </w:rPr>
        <w:t>202</w:t>
      </w:r>
      <w:r>
        <w:rPr>
          <w:rFonts w:hint="eastAsia" w:ascii="Times New Roman" w:hAnsi="Times New Roman" w:eastAsia="仿宋" w:cs="Times New Roman"/>
          <w:color w:val="000000"/>
          <w:spacing w:val="0"/>
          <w:kern w:val="2"/>
          <w:sz w:val="32"/>
          <w:szCs w:val="32"/>
          <w:highlight w:val="none"/>
          <w:lang w:val="en-US" w:eastAsia="zh-CN" w:bidi="zh-CN"/>
        </w:rPr>
        <w:t>5</w:t>
      </w:r>
      <w:r>
        <w:rPr>
          <w:rFonts w:hint="default" w:ascii="Times New Roman" w:hAnsi="Times New Roman" w:eastAsia="仿宋" w:cs="Times New Roman"/>
          <w:color w:val="000000"/>
          <w:spacing w:val="0"/>
          <w:kern w:val="2"/>
          <w:sz w:val="32"/>
          <w:szCs w:val="32"/>
          <w:highlight w:val="none"/>
          <w:lang w:val="en-US" w:eastAsia="zh-CN" w:bidi="zh-CN"/>
        </w:rPr>
        <w:t>年全年财政预算收入</w:t>
      </w:r>
      <w:r>
        <w:rPr>
          <w:rFonts w:hint="eastAsia" w:ascii="仿宋_GB2312" w:hAnsi="仿宋" w:eastAsia="仿宋_GB2312" w:cs="Times New Roman"/>
          <w:sz w:val="32"/>
          <w:szCs w:val="32"/>
          <w:highlight w:val="none"/>
          <w:lang w:val="en-US" w:eastAsia="zh-CN"/>
        </w:rPr>
        <w:t>1634.96</w:t>
      </w:r>
      <w:r>
        <w:rPr>
          <w:rFonts w:hint="default" w:ascii="Times New Roman" w:hAnsi="Times New Roman" w:eastAsia="仿宋" w:cs="Times New Roman"/>
          <w:color w:val="000000"/>
          <w:spacing w:val="0"/>
          <w:kern w:val="2"/>
          <w:sz w:val="32"/>
          <w:szCs w:val="32"/>
          <w:highlight w:val="none"/>
          <w:lang w:val="en-US" w:eastAsia="zh-CN" w:bidi="zh-CN"/>
        </w:rPr>
        <w:t>万元</w:t>
      </w:r>
      <w:r>
        <w:rPr>
          <w:rFonts w:hint="eastAsia" w:ascii="Times New Roman" w:hAnsi="Times New Roman" w:eastAsia="仿宋" w:cs="Times New Roman"/>
          <w:color w:val="000000"/>
          <w:spacing w:val="0"/>
          <w:kern w:val="2"/>
          <w:sz w:val="32"/>
          <w:szCs w:val="32"/>
          <w:highlight w:val="none"/>
          <w:lang w:val="en-US" w:eastAsia="zh-CN" w:bidi="zh-CN"/>
        </w:rPr>
        <w:t>。</w:t>
      </w:r>
      <w:r>
        <w:rPr>
          <w:rFonts w:hint="default" w:ascii="Times New Roman" w:hAnsi="Times New Roman" w:eastAsia="仿宋" w:cs="Times New Roman"/>
          <w:color w:val="000000"/>
          <w:spacing w:val="0"/>
          <w:kern w:val="2"/>
          <w:sz w:val="32"/>
          <w:szCs w:val="32"/>
          <w:highlight w:val="none"/>
          <w:lang w:val="en-US" w:eastAsia="zh-CN" w:bidi="zh-CN"/>
        </w:rPr>
        <w:t>决算</w:t>
      </w:r>
      <w:r>
        <w:rPr>
          <w:rFonts w:hint="eastAsia" w:ascii="Times New Roman" w:hAnsi="Times New Roman" w:eastAsia="仿宋" w:cs="Times New Roman"/>
          <w:color w:val="000000"/>
          <w:spacing w:val="0"/>
          <w:kern w:val="2"/>
          <w:sz w:val="32"/>
          <w:szCs w:val="32"/>
          <w:highlight w:val="none"/>
          <w:lang w:val="en-US" w:eastAsia="zh-CN" w:bidi="zh-CN"/>
        </w:rPr>
        <w:t>收入</w:t>
      </w:r>
      <w:r>
        <w:rPr>
          <w:rFonts w:hint="eastAsia" w:ascii="仿宋_GB2312" w:hAnsi="仿宋" w:eastAsia="仿宋_GB2312" w:cs="Times New Roman"/>
          <w:sz w:val="32"/>
          <w:szCs w:val="32"/>
          <w:highlight w:val="none"/>
          <w:lang w:val="en-US" w:eastAsia="zh-CN"/>
        </w:rPr>
        <w:t>1634.96</w:t>
      </w:r>
      <w:r>
        <w:rPr>
          <w:rFonts w:hint="default" w:ascii="Times New Roman" w:hAnsi="Times New Roman" w:eastAsia="仿宋" w:cs="Times New Roman"/>
          <w:color w:val="000000"/>
          <w:spacing w:val="0"/>
          <w:kern w:val="2"/>
          <w:sz w:val="32"/>
          <w:szCs w:val="32"/>
          <w:highlight w:val="none"/>
          <w:lang w:val="en-US" w:eastAsia="zh-CN" w:bidi="zh-CN"/>
        </w:rPr>
        <w:t>万元。</w:t>
      </w:r>
    </w:p>
    <w:p w14:paraId="33B8D5F6">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contextualSpacing/>
        <w:jc w:val="left"/>
        <w:textAlignment w:val="auto"/>
        <w:outlineLvl w:val="9"/>
        <w:rPr>
          <w:rFonts w:hint="eastAsia" w:ascii="方正楷体_GBK" w:hAnsi="Calibri" w:eastAsia="方正楷体_GBK"/>
          <w:bCs/>
          <w:color w:val="000000"/>
          <w:kern w:val="0"/>
          <w:sz w:val="32"/>
          <w:szCs w:val="32"/>
          <w:highlight w:val="none"/>
          <w:shd w:val="clear" w:color="auto" w:fill="FFFFFF"/>
          <w:lang w:val="zh-CN" w:eastAsia="zh-CN"/>
        </w:rPr>
      </w:pPr>
      <w:r>
        <w:rPr>
          <w:rFonts w:hint="eastAsia" w:ascii="方正楷体_GBK" w:hAnsi="Calibri" w:eastAsia="方正楷体_GBK"/>
          <w:bCs/>
          <w:color w:val="000000"/>
          <w:kern w:val="0"/>
          <w:sz w:val="32"/>
          <w:szCs w:val="32"/>
          <w:highlight w:val="none"/>
          <w:shd w:val="clear" w:color="auto" w:fill="FFFFFF"/>
          <w:lang w:val="zh-CN" w:eastAsia="zh-CN"/>
        </w:rPr>
        <w:t>（</w:t>
      </w:r>
      <w:r>
        <w:rPr>
          <w:rFonts w:hint="eastAsia" w:ascii="方正楷体_GBK" w:hAnsi="Calibri" w:eastAsia="方正楷体_GBK"/>
          <w:bCs/>
          <w:color w:val="000000"/>
          <w:kern w:val="0"/>
          <w:sz w:val="32"/>
          <w:szCs w:val="32"/>
          <w:highlight w:val="none"/>
          <w:shd w:val="clear" w:color="auto" w:fill="FFFFFF"/>
          <w:lang w:val="en-US" w:eastAsia="zh-CN"/>
        </w:rPr>
        <w:t xml:space="preserve"> </w:t>
      </w:r>
      <w:r>
        <w:rPr>
          <w:rFonts w:hint="eastAsia" w:ascii="方正楷体_GBK" w:hAnsi="Calibri" w:eastAsia="方正楷体_GBK"/>
          <w:bCs/>
          <w:color w:val="000000"/>
          <w:kern w:val="0"/>
          <w:sz w:val="32"/>
          <w:szCs w:val="32"/>
          <w:highlight w:val="none"/>
          <w:shd w:val="clear" w:color="auto" w:fill="FFFFFF"/>
          <w:lang w:val="zh-CN" w:eastAsia="zh-CN"/>
        </w:rPr>
        <w:t>二）支出情况</w:t>
      </w:r>
    </w:p>
    <w:p w14:paraId="5E1308E3">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仿宋" w:hAnsi="仿宋" w:eastAsia="仿宋" w:cs="仿宋"/>
          <w:kern w:val="2"/>
          <w:sz w:val="32"/>
          <w:szCs w:val="32"/>
          <w:lang w:val="en-US" w:eastAsia="zh-CN" w:bidi="ar-SA"/>
        </w:rPr>
      </w:pPr>
      <w:r>
        <w:rPr>
          <w:rFonts w:hint="eastAsia" w:ascii="仿宋" w:hAnsi="仿宋" w:eastAsia="仿宋" w:cs="仿宋"/>
          <w:kern w:val="2"/>
          <w:sz w:val="32"/>
          <w:szCs w:val="32"/>
          <w:lang w:val="zh-CN" w:eastAsia="zh-CN" w:bidi="ar-SA"/>
        </w:rPr>
        <w:t>南江县人民</w:t>
      </w:r>
      <w:r>
        <w:rPr>
          <w:rFonts w:hint="eastAsia" w:ascii="仿宋" w:hAnsi="仿宋" w:eastAsia="仿宋" w:cs="仿宋"/>
          <w:kern w:val="2"/>
          <w:sz w:val="32"/>
          <w:szCs w:val="32"/>
          <w:lang w:val="en-US" w:eastAsia="zh-CN" w:bidi="ar-SA"/>
        </w:rPr>
        <w:t>检察</w:t>
      </w:r>
      <w:r>
        <w:rPr>
          <w:rFonts w:hint="eastAsia" w:ascii="仿宋" w:hAnsi="仿宋" w:eastAsia="仿宋" w:cs="仿宋"/>
          <w:kern w:val="2"/>
          <w:sz w:val="32"/>
          <w:szCs w:val="32"/>
          <w:lang w:val="zh-CN" w:eastAsia="zh-CN" w:bidi="ar-SA"/>
        </w:rPr>
        <w:t>院</w:t>
      </w:r>
      <w:r>
        <w:rPr>
          <w:rFonts w:hint="eastAsia" w:ascii="仿宋" w:hAnsi="仿宋" w:eastAsia="仿宋" w:cs="仿宋"/>
          <w:kern w:val="2"/>
          <w:sz w:val="32"/>
          <w:szCs w:val="32"/>
          <w:lang w:val="en-US" w:eastAsia="zh-CN" w:bidi="ar-SA"/>
        </w:rPr>
        <w:t>2025年年初预算支出1634.96万元。2025年决算全年支出1634.96万元，其中基本支出1136.08万元，项目支出498.88万元。</w:t>
      </w:r>
      <w:r>
        <w:rPr>
          <w:rFonts w:hint="default" w:ascii="仿宋" w:hAnsi="仿宋" w:eastAsia="仿宋" w:cs="仿宋"/>
          <w:kern w:val="2"/>
          <w:sz w:val="32"/>
          <w:szCs w:val="32"/>
          <w:lang w:val="en-US" w:eastAsia="zh-CN" w:bidi="ar-SA"/>
        </w:rPr>
        <w:t>基本支出是保障我单位正常运转，完成日常工作任务而发生的各项支出，包括在职人员工资、津贴补贴等人员经费以及</w:t>
      </w:r>
      <w:r>
        <w:rPr>
          <w:rFonts w:hint="eastAsia" w:ascii="仿宋" w:hAnsi="仿宋" w:eastAsia="仿宋" w:cs="仿宋"/>
          <w:kern w:val="2"/>
          <w:sz w:val="32"/>
          <w:szCs w:val="32"/>
          <w:lang w:val="en-US" w:eastAsia="zh-CN" w:bidi="ar-SA"/>
        </w:rPr>
        <w:t>公务接待费</w:t>
      </w:r>
      <w:r>
        <w:rPr>
          <w:rFonts w:hint="default" w:ascii="仿宋" w:hAnsi="仿宋" w:eastAsia="仿宋" w:cs="仿宋"/>
          <w:kern w:val="2"/>
          <w:sz w:val="32"/>
          <w:szCs w:val="32"/>
          <w:lang w:val="en-US" w:eastAsia="zh-CN" w:bidi="ar-SA"/>
        </w:rPr>
        <w:t>、公务用车运行维护费等日常公用经费；项目支出主要用于</w:t>
      </w:r>
      <w:r>
        <w:rPr>
          <w:rFonts w:hint="eastAsia" w:ascii="仿宋" w:hAnsi="仿宋" w:eastAsia="仿宋" w:cs="仿宋"/>
          <w:kern w:val="2"/>
          <w:sz w:val="32"/>
          <w:szCs w:val="32"/>
          <w:lang w:val="en-US" w:eastAsia="zh-CN" w:bidi="ar-SA"/>
        </w:rPr>
        <w:t>检察业务</w:t>
      </w:r>
      <w:r>
        <w:rPr>
          <w:rFonts w:hint="default" w:ascii="仿宋" w:hAnsi="仿宋" w:eastAsia="仿宋" w:cs="仿宋"/>
          <w:kern w:val="2"/>
          <w:sz w:val="32"/>
          <w:szCs w:val="32"/>
          <w:lang w:val="en-US" w:eastAsia="zh-CN" w:bidi="ar-SA"/>
        </w:rPr>
        <w:t>办公</w:t>
      </w:r>
      <w:r>
        <w:rPr>
          <w:rFonts w:hint="eastAsia" w:ascii="仿宋" w:hAnsi="仿宋" w:eastAsia="仿宋" w:cs="仿宋"/>
          <w:kern w:val="2"/>
          <w:sz w:val="32"/>
          <w:szCs w:val="32"/>
          <w:lang w:val="en-US" w:eastAsia="zh-CN" w:bidi="ar-SA"/>
        </w:rPr>
        <w:t>办案支出及设施</w:t>
      </w:r>
      <w:r>
        <w:rPr>
          <w:rFonts w:hint="default" w:ascii="仿宋" w:hAnsi="仿宋" w:eastAsia="仿宋" w:cs="仿宋"/>
          <w:kern w:val="2"/>
          <w:sz w:val="32"/>
          <w:szCs w:val="32"/>
          <w:lang w:val="en-US" w:eastAsia="zh-CN" w:bidi="ar-SA"/>
        </w:rPr>
        <w:t>设备</w:t>
      </w:r>
      <w:r>
        <w:rPr>
          <w:rFonts w:hint="eastAsia" w:ascii="仿宋" w:hAnsi="仿宋" w:eastAsia="仿宋" w:cs="仿宋"/>
          <w:kern w:val="2"/>
          <w:sz w:val="32"/>
          <w:szCs w:val="32"/>
          <w:lang w:val="en-US" w:eastAsia="zh-CN" w:bidi="ar-SA"/>
        </w:rPr>
        <w:t>维护更新、其他检察宣传支出等。</w:t>
      </w:r>
    </w:p>
    <w:p w14:paraId="5500B3D1">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contextualSpacing/>
        <w:jc w:val="left"/>
        <w:textAlignment w:val="auto"/>
        <w:outlineLvl w:val="9"/>
        <w:rPr>
          <w:rFonts w:hint="eastAsia" w:ascii="方正楷体_GBK" w:hAnsi="Calibri" w:eastAsia="方正楷体_GBK"/>
          <w:color w:val="000000"/>
          <w:kern w:val="0"/>
          <w:sz w:val="32"/>
          <w:szCs w:val="32"/>
          <w:shd w:val="clear" w:color="auto" w:fill="FFFFFF"/>
          <w:lang w:val="zh-CN" w:eastAsia="zh-CN"/>
        </w:rPr>
      </w:pPr>
      <w:r>
        <w:rPr>
          <w:rFonts w:hint="eastAsia" w:ascii="方正楷体_GBK" w:hAnsi="Calibri" w:eastAsia="方正楷体_GBK"/>
          <w:bCs/>
          <w:color w:val="000000"/>
          <w:kern w:val="0"/>
          <w:sz w:val="32"/>
          <w:szCs w:val="32"/>
          <w:highlight w:val="none"/>
          <w:shd w:val="clear" w:color="auto" w:fill="FFFFFF"/>
          <w:lang w:val="zh-CN" w:eastAsia="zh-CN"/>
        </w:rPr>
        <w:t>（三）</w:t>
      </w:r>
      <w:r>
        <w:rPr>
          <w:rFonts w:hint="eastAsia" w:ascii="方正楷体_GBK" w:hAnsi="Calibri" w:eastAsia="方正楷体_GBK"/>
          <w:color w:val="000000"/>
          <w:kern w:val="0"/>
          <w:sz w:val="32"/>
          <w:szCs w:val="32"/>
          <w:shd w:val="clear" w:color="auto" w:fill="FFFFFF"/>
          <w:lang w:val="zh-CN" w:eastAsia="zh-CN"/>
        </w:rPr>
        <w:t>结余分配和结转结余情况</w:t>
      </w:r>
    </w:p>
    <w:p w14:paraId="26F68A42">
      <w:pPr>
        <w:widowControl/>
        <w:spacing w:line="480" w:lineRule="auto"/>
        <w:ind w:firstLine="960" w:firstLineChars="300"/>
        <w:jc w:val="left"/>
        <w:rPr>
          <w:rFonts w:hint="eastAsia" w:ascii="仿宋" w:hAnsi="仿宋" w:eastAsia="仿宋" w:cs="仿宋"/>
          <w:b w:val="0"/>
          <w:bCs w:val="0"/>
          <w:kern w:val="0"/>
          <w:position w:val="3"/>
          <w:sz w:val="20"/>
          <w:szCs w:val="20"/>
          <w:lang w:val="en-US" w:eastAsia="zh-CN" w:bidi="ar-SA"/>
        </w:rPr>
      </w:pPr>
      <w:r>
        <w:rPr>
          <w:rFonts w:hint="eastAsia" w:ascii="仿宋" w:hAnsi="仿宋" w:eastAsia="仿宋" w:cs="仿宋"/>
          <w:b w:val="0"/>
          <w:bCs w:val="0"/>
          <w:color w:val="000000"/>
          <w:kern w:val="0"/>
          <w:position w:val="3"/>
          <w:sz w:val="32"/>
          <w:szCs w:val="32"/>
          <w:shd w:val="clear" w:color="auto" w:fill="FFFFFF"/>
          <w:lang w:val="en-US" w:eastAsia="zh-CN" w:bidi="ar-SA"/>
        </w:rPr>
        <w:t>南江县人民检察院2025年无结转结余</w:t>
      </w:r>
    </w:p>
    <w:p w14:paraId="6C7A95BE">
      <w:pPr>
        <w:keepNext w:val="0"/>
        <w:keepLines w:val="0"/>
        <w:pageBreakBefore w:val="0"/>
        <w:widowControl/>
        <w:kinsoku/>
        <w:wordWrap/>
        <w:overflowPunct/>
        <w:topLinePunct w:val="0"/>
        <w:autoSpaceDE/>
        <w:autoSpaceDN/>
        <w:adjustRightInd w:val="0"/>
        <w:snapToGrid w:val="0"/>
        <w:spacing w:line="560" w:lineRule="exact"/>
        <w:ind w:firstLine="640" w:firstLineChars="200"/>
        <w:contextualSpacing/>
        <w:jc w:val="left"/>
        <w:rPr>
          <w:rFonts w:hint="eastAsia" w:ascii="方正黑体_GBK" w:hAnsi="Calibri" w:eastAsia="方正黑体_GBK"/>
          <w:color w:val="000000"/>
          <w:kern w:val="0"/>
          <w:sz w:val="32"/>
          <w:szCs w:val="32"/>
          <w:highlight w:val="none"/>
          <w:shd w:val="clear" w:color="auto" w:fill="FFFFFF"/>
        </w:rPr>
      </w:pPr>
      <w:r>
        <w:rPr>
          <w:rFonts w:hint="eastAsia" w:ascii="方正黑体_GBK" w:hAnsi="Calibri" w:eastAsia="方正黑体_GBK"/>
          <w:color w:val="000000"/>
          <w:kern w:val="0"/>
          <w:sz w:val="32"/>
          <w:szCs w:val="32"/>
          <w:highlight w:val="none"/>
          <w:shd w:val="clear" w:color="auto" w:fill="FFFFFF"/>
        </w:rPr>
        <w:t>三、部门</w:t>
      </w:r>
      <w:r>
        <w:rPr>
          <w:rFonts w:hint="eastAsia" w:ascii="方正黑体_GBK" w:hAnsi="Calibri" w:eastAsia="方正黑体_GBK"/>
          <w:color w:val="000000"/>
          <w:kern w:val="0"/>
          <w:sz w:val="32"/>
          <w:szCs w:val="32"/>
          <w:highlight w:val="none"/>
          <w:shd w:val="clear" w:color="auto" w:fill="FFFFFF"/>
          <w:lang w:eastAsia="zh-CN"/>
        </w:rPr>
        <w:t>预算</w:t>
      </w:r>
      <w:r>
        <w:rPr>
          <w:rFonts w:hint="eastAsia" w:ascii="方正黑体_GBK" w:hAnsi="Calibri" w:eastAsia="方正黑体_GBK"/>
          <w:color w:val="000000"/>
          <w:kern w:val="0"/>
          <w:sz w:val="32"/>
          <w:szCs w:val="32"/>
          <w:highlight w:val="none"/>
          <w:shd w:val="clear" w:color="auto" w:fill="FFFFFF"/>
        </w:rPr>
        <w:t>绩效</w:t>
      </w:r>
      <w:r>
        <w:rPr>
          <w:rFonts w:hint="eastAsia" w:ascii="方正黑体_GBK" w:hAnsi="Calibri" w:eastAsia="方正黑体_GBK"/>
          <w:color w:val="000000"/>
          <w:kern w:val="0"/>
          <w:sz w:val="32"/>
          <w:szCs w:val="32"/>
          <w:highlight w:val="none"/>
          <w:shd w:val="clear" w:color="auto" w:fill="FFFFFF"/>
          <w:lang w:eastAsia="zh-CN"/>
        </w:rPr>
        <w:t>分析</w:t>
      </w:r>
    </w:p>
    <w:p w14:paraId="563E83AF">
      <w:pPr>
        <w:keepNext w:val="0"/>
        <w:keepLines w:val="0"/>
        <w:pageBreakBefore w:val="0"/>
        <w:widowControl w:val="0"/>
        <w:kinsoku/>
        <w:wordWrap/>
        <w:overflowPunct/>
        <w:topLinePunct w:val="0"/>
        <w:autoSpaceDE/>
        <w:autoSpaceDN/>
        <w:bidi w:val="0"/>
        <w:adjustRightInd w:val="0"/>
        <w:snapToGrid w:val="0"/>
        <w:spacing w:line="560" w:lineRule="exact"/>
        <w:ind w:left="0" w:firstLine="640" w:firstLineChars="200"/>
        <w:contextualSpacing/>
        <w:jc w:val="left"/>
        <w:textAlignment w:val="auto"/>
        <w:outlineLvl w:val="9"/>
        <w:rPr>
          <w:rFonts w:hint="eastAsia" w:ascii="方正楷体_GBK" w:hAnsi="Calibri" w:eastAsia="方正楷体_GBK"/>
          <w:bCs/>
          <w:color w:val="000000"/>
          <w:kern w:val="0"/>
          <w:sz w:val="32"/>
          <w:szCs w:val="32"/>
          <w:highlight w:val="none"/>
          <w:shd w:val="clear" w:color="auto" w:fill="FFFFFF"/>
          <w:lang w:val="zh-CN" w:eastAsia="zh-CN"/>
        </w:rPr>
      </w:pPr>
      <w:r>
        <w:rPr>
          <w:rFonts w:hint="eastAsia" w:ascii="方正楷体_GBK" w:hAnsi="Calibri" w:eastAsia="方正楷体_GBK"/>
          <w:bCs/>
          <w:color w:val="000000"/>
          <w:kern w:val="0"/>
          <w:sz w:val="32"/>
          <w:szCs w:val="32"/>
          <w:highlight w:val="none"/>
          <w:shd w:val="clear" w:color="auto" w:fill="FFFFFF"/>
          <w:lang w:val="zh-CN" w:eastAsia="zh-CN"/>
        </w:rPr>
        <w:t>（一）部门预算总体绩效分析</w:t>
      </w:r>
    </w:p>
    <w:p w14:paraId="05C94EC1">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contextualSpacing/>
        <w:jc w:val="left"/>
        <w:textAlignment w:val="auto"/>
        <w:outlineLvl w:val="9"/>
        <w:rPr>
          <w:rFonts w:hint="eastAsia" w:ascii="Times New Roman" w:hAnsi="Times New Roman" w:eastAsia="仿宋_GB2312" w:cs="Times New Roman"/>
          <w:color w:val="auto"/>
          <w:sz w:val="32"/>
          <w:szCs w:val="32"/>
          <w:shd w:val="clear" w:color="auto" w:fill="auto"/>
          <w:lang w:val="zh-CN" w:eastAsia="zh-CN"/>
        </w:rPr>
      </w:pPr>
      <w:r>
        <w:rPr>
          <w:rFonts w:hint="eastAsia" w:ascii="仿宋" w:hAnsi="仿宋" w:eastAsia="仿宋" w:cs="仿宋"/>
          <w:kern w:val="2"/>
          <w:sz w:val="32"/>
          <w:szCs w:val="32"/>
          <w:lang w:val="en-US" w:eastAsia="zh-CN" w:bidi="ar-SA"/>
        </w:rPr>
        <w:t>南江县人民检察院</w:t>
      </w:r>
      <w:r>
        <w:rPr>
          <w:rFonts w:hint="eastAsia" w:ascii="仿宋" w:hAnsi="仿宋" w:eastAsia="仿宋" w:cs="仿宋"/>
          <w:kern w:val="2"/>
          <w:sz w:val="32"/>
          <w:szCs w:val="32"/>
          <w:lang w:val="zh-CN" w:eastAsia="zh-CN" w:bidi="ar-SA"/>
        </w:rPr>
        <w:t>预算编制从实际出发，充分将履职需求与预算编制精准对接，细化各种项目成本测算，做到科学、合理、全面、准确的编制；</w:t>
      </w:r>
      <w:r>
        <w:rPr>
          <w:rFonts w:hint="eastAsia" w:ascii="仿宋" w:hAnsi="仿宋" w:eastAsia="仿宋" w:cs="仿宋"/>
          <w:kern w:val="2"/>
          <w:sz w:val="32"/>
          <w:szCs w:val="32"/>
          <w:lang w:val="en-US" w:eastAsia="zh-CN" w:bidi="ar-SA"/>
        </w:rPr>
        <w:t>项目实施严格按照规章制度执行，以</w:t>
      </w:r>
      <w:r>
        <w:rPr>
          <w:rFonts w:hint="eastAsia" w:ascii="仿宋" w:hAnsi="仿宋" w:eastAsia="仿宋" w:cs="仿宋"/>
          <w:kern w:val="2"/>
          <w:sz w:val="32"/>
          <w:szCs w:val="32"/>
          <w:lang w:val="zh-CN" w:eastAsia="zh-CN" w:bidi="ar-SA"/>
        </w:rPr>
        <w:t>“花钱必问效、无效必问责”为原则，</w:t>
      </w:r>
      <w:r>
        <w:rPr>
          <w:rFonts w:hint="eastAsia" w:ascii="仿宋" w:hAnsi="仿宋" w:eastAsia="仿宋" w:cs="仿宋"/>
          <w:kern w:val="2"/>
          <w:sz w:val="32"/>
          <w:szCs w:val="32"/>
          <w:lang w:val="en-US" w:eastAsia="zh-CN" w:bidi="ar-SA"/>
        </w:rPr>
        <w:t>强化绩效闭环管理，将绩效目标嵌入实施全过程，实现事前评估、事中监控、事后评价的全链条管理；各项资金支出严格控制预算之内，</w:t>
      </w:r>
      <w:r>
        <w:rPr>
          <w:rFonts w:hint="eastAsia" w:ascii="仿宋" w:hAnsi="仿宋" w:eastAsia="仿宋" w:cs="仿宋"/>
          <w:kern w:val="2"/>
          <w:sz w:val="32"/>
          <w:szCs w:val="32"/>
          <w:lang w:val="zh-CN" w:eastAsia="zh-CN" w:bidi="ar-SA"/>
        </w:rPr>
        <w:t>依托财政预算一体化管理系统开展动态资金监管和季度绩效分析，以绩效结果优化预算执行，切实提高财政资金使用效益</w:t>
      </w:r>
      <w:r>
        <w:rPr>
          <w:rFonts w:hint="eastAsia" w:ascii="Times New Roman" w:hAnsi="Times New Roman" w:eastAsia="仿宋_GB2312" w:cs="Times New Roman"/>
          <w:color w:val="auto"/>
          <w:sz w:val="32"/>
          <w:szCs w:val="32"/>
          <w:shd w:val="clear" w:color="auto" w:fill="auto"/>
          <w:lang w:val="zh-CN" w:eastAsia="zh-CN"/>
        </w:rPr>
        <w:t>。</w:t>
      </w:r>
    </w:p>
    <w:p w14:paraId="2E26F9D5">
      <w:pPr>
        <w:keepNext w:val="0"/>
        <w:keepLines w:val="0"/>
        <w:pageBreakBefore w:val="0"/>
        <w:widowControl w:val="0"/>
        <w:kinsoku/>
        <w:wordWrap/>
        <w:overflowPunct/>
        <w:topLinePunct w:val="0"/>
        <w:autoSpaceDE/>
        <w:autoSpaceDN/>
        <w:adjustRightInd w:val="0"/>
        <w:snapToGrid w:val="0"/>
        <w:spacing w:line="560" w:lineRule="exact"/>
        <w:ind w:left="0" w:firstLine="640" w:firstLineChars="200"/>
        <w:contextualSpacing/>
        <w:jc w:val="left"/>
        <w:rPr>
          <w:rFonts w:hint="default" w:ascii="Times New Roman" w:hAnsi="Times New Roman" w:eastAsia="方正仿宋_GBK"/>
          <w:color w:val="000000"/>
          <w:kern w:val="0"/>
          <w:sz w:val="32"/>
          <w:szCs w:val="32"/>
          <w:highlight w:val="none"/>
          <w:shd w:val="clear" w:color="auto" w:fill="FFFFFF"/>
          <w:lang w:val="zh-CN" w:eastAsia="zh-CN"/>
        </w:rPr>
      </w:pPr>
      <w:r>
        <w:rPr>
          <w:rFonts w:hint="default" w:ascii="Times New Roman" w:hAnsi="Times New Roman" w:eastAsia="方正仿宋_GBK"/>
          <w:color w:val="000000"/>
          <w:kern w:val="0"/>
          <w:sz w:val="32"/>
          <w:szCs w:val="32"/>
          <w:highlight w:val="none"/>
          <w:shd w:val="clear" w:color="auto" w:fill="FFFFFF"/>
          <w:lang w:val="zh-CN" w:eastAsia="zh-CN"/>
        </w:rPr>
        <w:t>1.履职效能</w:t>
      </w:r>
    </w:p>
    <w:p w14:paraId="7F557B74">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contextualSpacing/>
        <w:jc w:val="left"/>
        <w:textAlignment w:val="auto"/>
        <w:outlineLvl w:val="9"/>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zh-CN" w:eastAsia="zh-CN" w:bidi="ar-SA"/>
        </w:rPr>
        <w:t>（</w:t>
      </w:r>
      <w:r>
        <w:rPr>
          <w:rFonts w:hint="eastAsia" w:ascii="仿宋" w:hAnsi="仿宋" w:eastAsia="仿宋" w:cs="仿宋"/>
          <w:kern w:val="2"/>
          <w:sz w:val="32"/>
          <w:szCs w:val="32"/>
          <w:lang w:val="en-US" w:eastAsia="zh-CN" w:bidi="ar-SA"/>
        </w:rPr>
        <w:t>1）案件办理质效</w:t>
      </w:r>
    </w:p>
    <w:p w14:paraId="2635E074">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contextualSpacing/>
        <w:jc w:val="left"/>
        <w:textAlignment w:val="auto"/>
        <w:outlineLvl w:val="9"/>
        <w:rPr>
          <w:rFonts w:hint="default" w:ascii="仿宋" w:hAnsi="仿宋" w:eastAsia="仿宋" w:cs="仿宋"/>
          <w:kern w:val="2"/>
          <w:sz w:val="32"/>
          <w:szCs w:val="32"/>
          <w:rtl w:val="0"/>
          <w:lang w:val="en-US" w:eastAsia="zh-CN" w:bidi="ar-SA"/>
        </w:rPr>
      </w:pPr>
      <w:r>
        <w:rPr>
          <w:rFonts w:hint="eastAsia" w:ascii="仿宋" w:hAnsi="仿宋" w:eastAsia="仿宋" w:cs="仿宋"/>
          <w:kern w:val="2"/>
          <w:sz w:val="32"/>
          <w:szCs w:val="32"/>
          <w:lang w:val="en-US" w:eastAsia="zh-CN" w:bidi="ar-SA"/>
        </w:rPr>
        <w:t>审查逮捕</w:t>
      </w:r>
      <w:r>
        <w:rPr>
          <w:rFonts w:hint="default" w:ascii="仿宋" w:hAnsi="仿宋" w:eastAsia="仿宋" w:cs="仿宋"/>
          <w:kern w:val="2"/>
          <w:sz w:val="32"/>
          <w:szCs w:val="32"/>
          <w:lang w:val="en-US" w:eastAsia="zh-CN" w:bidi="ar-SA"/>
        </w:rPr>
        <w:t>各类刑事犯罪</w:t>
      </w:r>
      <w:r>
        <w:rPr>
          <w:rFonts w:hint="eastAsia" w:ascii="仿宋" w:hAnsi="仿宋" w:eastAsia="仿宋" w:cs="仿宋"/>
          <w:kern w:val="2"/>
          <w:sz w:val="32"/>
          <w:szCs w:val="32"/>
          <w:lang w:val="en-US" w:eastAsia="zh-CN" w:bidi="ar-SA"/>
        </w:rPr>
        <w:t>102</w:t>
      </w:r>
      <w:r>
        <w:rPr>
          <w:rFonts w:hint="default" w:ascii="仿宋" w:hAnsi="仿宋" w:eastAsia="仿宋" w:cs="仿宋"/>
          <w:kern w:val="2"/>
          <w:sz w:val="32"/>
          <w:szCs w:val="32"/>
          <w:lang w:val="en-US" w:eastAsia="zh-CN" w:bidi="ar-SA"/>
        </w:rPr>
        <w:t>件</w:t>
      </w:r>
      <w:r>
        <w:rPr>
          <w:rFonts w:hint="eastAsia" w:ascii="仿宋" w:hAnsi="仿宋" w:eastAsia="仿宋" w:cs="仿宋"/>
          <w:kern w:val="2"/>
          <w:sz w:val="32"/>
          <w:szCs w:val="32"/>
          <w:lang w:val="en-US" w:eastAsia="zh-CN" w:bidi="ar-SA"/>
        </w:rPr>
        <w:t>141</w:t>
      </w:r>
      <w:r>
        <w:rPr>
          <w:rFonts w:hint="default" w:ascii="仿宋" w:hAnsi="仿宋" w:eastAsia="仿宋" w:cs="仿宋"/>
          <w:kern w:val="2"/>
          <w:sz w:val="32"/>
          <w:szCs w:val="32"/>
          <w:lang w:val="en-US" w:eastAsia="zh-CN" w:bidi="ar-SA"/>
        </w:rPr>
        <w:t>人、审查起诉</w:t>
      </w:r>
      <w:r>
        <w:rPr>
          <w:rFonts w:hint="eastAsia" w:ascii="仿宋" w:hAnsi="仿宋" w:eastAsia="仿宋" w:cs="仿宋"/>
          <w:kern w:val="2"/>
          <w:sz w:val="32"/>
          <w:szCs w:val="32"/>
          <w:lang w:val="en-US" w:eastAsia="zh-CN" w:bidi="ar-SA"/>
        </w:rPr>
        <w:t>269</w:t>
      </w:r>
      <w:r>
        <w:rPr>
          <w:rFonts w:hint="default" w:ascii="仿宋" w:hAnsi="仿宋" w:eastAsia="仿宋" w:cs="仿宋"/>
          <w:kern w:val="2"/>
          <w:sz w:val="32"/>
          <w:szCs w:val="32"/>
          <w:lang w:val="en-US" w:eastAsia="zh-CN" w:bidi="ar-SA"/>
        </w:rPr>
        <w:t>件</w:t>
      </w:r>
      <w:r>
        <w:rPr>
          <w:rFonts w:hint="eastAsia" w:ascii="仿宋" w:hAnsi="仿宋" w:eastAsia="仿宋" w:cs="仿宋"/>
          <w:kern w:val="2"/>
          <w:sz w:val="32"/>
          <w:szCs w:val="32"/>
          <w:lang w:val="en-US" w:eastAsia="zh-CN" w:bidi="ar-SA"/>
        </w:rPr>
        <w:t>391</w:t>
      </w:r>
      <w:r>
        <w:rPr>
          <w:rFonts w:hint="default" w:ascii="仿宋" w:hAnsi="仿宋" w:eastAsia="仿宋" w:cs="仿宋"/>
          <w:kern w:val="2"/>
          <w:sz w:val="32"/>
          <w:szCs w:val="32"/>
          <w:lang w:val="en-US" w:eastAsia="zh-CN" w:bidi="ar-SA"/>
        </w:rPr>
        <w:t>人</w:t>
      </w:r>
      <w:r>
        <w:rPr>
          <w:rFonts w:hint="eastAsia" w:ascii="仿宋" w:hAnsi="仿宋" w:eastAsia="仿宋" w:cs="仿宋"/>
          <w:kern w:val="2"/>
          <w:sz w:val="32"/>
          <w:szCs w:val="32"/>
          <w:lang w:val="en-US" w:eastAsia="zh-CN" w:bidi="ar-SA"/>
        </w:rPr>
        <w:t>，</w:t>
      </w:r>
      <w:r>
        <w:rPr>
          <w:rFonts w:hint="default" w:ascii="仿宋" w:hAnsi="仿宋" w:eastAsia="仿宋" w:cs="仿宋"/>
          <w:kern w:val="2"/>
          <w:sz w:val="32"/>
          <w:szCs w:val="32"/>
          <w:rtl w:val="0"/>
          <w:lang w:val="en-US" w:eastAsia="zh-CN" w:bidi="ar-SA"/>
        </w:rPr>
        <w:t>坚决惩治</w:t>
      </w:r>
      <w:r>
        <w:rPr>
          <w:rFonts w:hint="eastAsia" w:ascii="仿宋" w:hAnsi="仿宋" w:eastAsia="仿宋" w:cs="仿宋"/>
          <w:kern w:val="2"/>
          <w:sz w:val="32"/>
          <w:szCs w:val="32"/>
          <w:rtl w:val="0"/>
          <w:lang w:val="en-US" w:eastAsia="zh-CN" w:bidi="ar-SA"/>
        </w:rPr>
        <w:t>故意杀人、</w:t>
      </w:r>
      <w:r>
        <w:rPr>
          <w:rFonts w:hint="eastAsia" w:ascii="仿宋" w:hAnsi="仿宋" w:eastAsia="仿宋" w:cs="仿宋"/>
          <w:kern w:val="2"/>
          <w:sz w:val="32"/>
          <w:szCs w:val="32"/>
          <w:lang w:val="en-US" w:eastAsia="zh-CN" w:bidi="ar-SA"/>
        </w:rPr>
        <w:t>故意伤害</w:t>
      </w:r>
      <w:r>
        <w:rPr>
          <w:rFonts w:hint="default" w:ascii="仿宋" w:hAnsi="仿宋" w:eastAsia="仿宋" w:cs="仿宋"/>
          <w:kern w:val="2"/>
          <w:sz w:val="32"/>
          <w:szCs w:val="32"/>
          <w:rtl w:val="0"/>
          <w:lang w:val="en-US" w:eastAsia="zh-CN" w:bidi="ar-SA"/>
        </w:rPr>
        <w:t>等</w:t>
      </w:r>
      <w:r>
        <w:rPr>
          <w:rFonts w:hint="eastAsia" w:ascii="仿宋" w:hAnsi="仿宋" w:eastAsia="仿宋" w:cs="仿宋"/>
          <w:kern w:val="2"/>
          <w:sz w:val="32"/>
          <w:szCs w:val="32"/>
          <w:lang w:val="en-US" w:eastAsia="zh-CN" w:bidi="ar-SA"/>
        </w:rPr>
        <w:t>严重</w:t>
      </w:r>
      <w:r>
        <w:rPr>
          <w:rFonts w:hint="default" w:ascii="仿宋" w:hAnsi="仿宋" w:eastAsia="仿宋" w:cs="仿宋"/>
          <w:kern w:val="2"/>
          <w:sz w:val="32"/>
          <w:szCs w:val="32"/>
          <w:lang w:val="en-US" w:eastAsia="zh-CN" w:bidi="ar-SA"/>
        </w:rPr>
        <w:t>暴力犯罪</w:t>
      </w:r>
      <w:r>
        <w:rPr>
          <w:rFonts w:hint="eastAsia" w:ascii="仿宋" w:hAnsi="仿宋" w:eastAsia="仿宋" w:cs="仿宋"/>
          <w:kern w:val="2"/>
          <w:sz w:val="32"/>
          <w:szCs w:val="32"/>
          <w:lang w:val="en-US" w:eastAsia="zh-CN" w:bidi="ar-SA"/>
        </w:rPr>
        <w:t>37人；</w:t>
      </w:r>
      <w:r>
        <w:rPr>
          <w:rFonts w:hint="default" w:ascii="仿宋" w:hAnsi="仿宋" w:eastAsia="仿宋" w:cs="仿宋"/>
          <w:kern w:val="2"/>
          <w:sz w:val="32"/>
          <w:szCs w:val="32"/>
          <w:rtl w:val="0"/>
          <w:lang w:val="en-US" w:eastAsia="zh-CN" w:bidi="ar-SA"/>
        </w:rPr>
        <w:t>受理各类民事监督案件</w:t>
      </w:r>
      <w:r>
        <w:rPr>
          <w:rFonts w:hint="eastAsia" w:ascii="仿宋" w:hAnsi="仿宋" w:eastAsia="仿宋" w:cs="仿宋"/>
          <w:kern w:val="2"/>
          <w:sz w:val="32"/>
          <w:szCs w:val="32"/>
          <w:lang w:val="en-US" w:eastAsia="zh-CN" w:bidi="ar-SA"/>
        </w:rPr>
        <w:t>92</w:t>
      </w:r>
      <w:r>
        <w:rPr>
          <w:rFonts w:hint="default" w:ascii="仿宋" w:hAnsi="仿宋" w:eastAsia="仿宋" w:cs="仿宋"/>
          <w:kern w:val="2"/>
          <w:sz w:val="32"/>
          <w:szCs w:val="32"/>
          <w:rtl w:val="0"/>
          <w:lang w:val="en-US" w:eastAsia="zh-CN" w:bidi="ar-SA"/>
        </w:rPr>
        <w:t>件</w:t>
      </w:r>
      <w:r>
        <w:rPr>
          <w:rFonts w:hint="eastAsia" w:ascii="仿宋" w:hAnsi="仿宋" w:eastAsia="仿宋" w:cs="仿宋"/>
          <w:kern w:val="2"/>
          <w:sz w:val="32"/>
          <w:szCs w:val="32"/>
          <w:rtl w:val="0"/>
          <w:lang w:val="en-US" w:eastAsia="zh-CN" w:bidi="ar-SA"/>
        </w:rPr>
        <w:t>，</w:t>
      </w:r>
      <w:r>
        <w:rPr>
          <w:rFonts w:hint="default" w:ascii="仿宋" w:hAnsi="仿宋" w:eastAsia="仿宋" w:cs="仿宋"/>
          <w:kern w:val="2"/>
          <w:sz w:val="32"/>
          <w:szCs w:val="32"/>
          <w:lang w:val="en-US" w:eastAsia="zh-CN" w:bidi="ar-SA"/>
        </w:rPr>
        <w:t>提出再审检察建议</w:t>
      </w:r>
      <w:r>
        <w:rPr>
          <w:rFonts w:hint="eastAsia" w:ascii="仿宋" w:hAnsi="仿宋" w:eastAsia="仿宋" w:cs="仿宋"/>
          <w:kern w:val="2"/>
          <w:sz w:val="32"/>
          <w:szCs w:val="32"/>
          <w:lang w:val="en-US" w:eastAsia="zh-CN" w:bidi="ar-SA"/>
        </w:rPr>
        <w:t>2件</w:t>
      </w:r>
      <w:r>
        <w:rPr>
          <w:rFonts w:hint="default" w:ascii="仿宋" w:hAnsi="仿宋" w:eastAsia="仿宋" w:cs="仿宋"/>
          <w:kern w:val="2"/>
          <w:sz w:val="32"/>
          <w:szCs w:val="32"/>
          <w:lang w:val="en-US" w:eastAsia="zh-CN" w:bidi="ar-SA"/>
        </w:rPr>
        <w:t>，</w:t>
      </w:r>
      <w:r>
        <w:rPr>
          <w:rFonts w:hint="eastAsia" w:ascii="仿宋" w:hAnsi="仿宋" w:eastAsia="仿宋" w:cs="仿宋"/>
          <w:kern w:val="2"/>
          <w:sz w:val="32"/>
          <w:szCs w:val="32"/>
          <w:lang w:val="en-US" w:eastAsia="zh-CN" w:bidi="ar-SA"/>
        </w:rPr>
        <w:t>发出审判和执行监督检察建议10件；</w:t>
      </w:r>
      <w:r>
        <w:rPr>
          <w:rFonts w:hint="default" w:ascii="仿宋" w:hAnsi="仿宋" w:eastAsia="仿宋" w:cs="仿宋"/>
          <w:kern w:val="2"/>
          <w:sz w:val="32"/>
          <w:szCs w:val="32"/>
          <w:lang w:val="en-US" w:eastAsia="zh-CN" w:bidi="ar-SA"/>
        </w:rPr>
        <w:t>受理各类行政监督案件</w:t>
      </w:r>
      <w:r>
        <w:rPr>
          <w:rFonts w:hint="eastAsia" w:ascii="仿宋" w:hAnsi="仿宋" w:eastAsia="仿宋" w:cs="仿宋"/>
          <w:kern w:val="2"/>
          <w:sz w:val="32"/>
          <w:szCs w:val="32"/>
          <w:lang w:val="en-US" w:eastAsia="zh-CN" w:bidi="ar-SA"/>
        </w:rPr>
        <w:t>125</w:t>
      </w:r>
      <w:r>
        <w:rPr>
          <w:rFonts w:hint="default" w:ascii="仿宋" w:hAnsi="仿宋" w:eastAsia="仿宋" w:cs="仿宋"/>
          <w:kern w:val="2"/>
          <w:sz w:val="32"/>
          <w:szCs w:val="32"/>
          <w:lang w:val="en-US" w:eastAsia="zh-CN" w:bidi="ar-SA"/>
        </w:rPr>
        <w:t>件</w:t>
      </w:r>
      <w:r>
        <w:rPr>
          <w:rFonts w:hint="eastAsia" w:ascii="仿宋" w:hAnsi="仿宋" w:eastAsia="仿宋" w:cs="仿宋"/>
          <w:kern w:val="2"/>
          <w:sz w:val="32"/>
          <w:szCs w:val="32"/>
          <w:rtl w:val="0"/>
          <w:lang w:val="en-US" w:eastAsia="zh-CN" w:bidi="ar-SA"/>
        </w:rPr>
        <w:t>，</w:t>
      </w:r>
      <w:r>
        <w:rPr>
          <w:rFonts w:hint="default" w:ascii="仿宋" w:hAnsi="仿宋" w:eastAsia="仿宋" w:cs="仿宋"/>
          <w:kern w:val="2"/>
          <w:sz w:val="32"/>
          <w:szCs w:val="32"/>
          <w:rtl w:val="0"/>
          <w:lang w:val="en-US" w:eastAsia="zh-CN" w:bidi="ar-SA"/>
        </w:rPr>
        <w:t>发出检察建议</w:t>
      </w:r>
      <w:r>
        <w:rPr>
          <w:rFonts w:hint="eastAsia" w:ascii="仿宋" w:hAnsi="仿宋" w:eastAsia="仿宋" w:cs="仿宋"/>
          <w:kern w:val="2"/>
          <w:sz w:val="32"/>
          <w:szCs w:val="32"/>
          <w:rtl w:val="0"/>
          <w:lang w:val="en-US" w:eastAsia="zh-CN" w:bidi="ar-SA"/>
        </w:rPr>
        <w:t>4</w:t>
      </w:r>
      <w:r>
        <w:rPr>
          <w:rFonts w:hint="default" w:ascii="仿宋" w:hAnsi="仿宋" w:eastAsia="仿宋" w:cs="仿宋"/>
          <w:kern w:val="2"/>
          <w:sz w:val="32"/>
          <w:szCs w:val="32"/>
          <w:rtl w:val="0"/>
          <w:lang w:val="en-US" w:eastAsia="zh-CN" w:bidi="ar-SA"/>
        </w:rPr>
        <w:t>件，</w:t>
      </w:r>
      <w:r>
        <w:rPr>
          <w:rFonts w:hint="eastAsia" w:ascii="仿宋" w:hAnsi="仿宋" w:eastAsia="仿宋" w:cs="仿宋"/>
          <w:kern w:val="2"/>
          <w:sz w:val="32"/>
          <w:szCs w:val="32"/>
          <w:rtl w:val="0"/>
          <w:lang w:val="en-US" w:eastAsia="zh-CN" w:bidi="ar-SA"/>
        </w:rPr>
        <w:t>采纳率100%；公益诉讼</w:t>
      </w:r>
      <w:r>
        <w:rPr>
          <w:rFonts w:hint="default" w:ascii="仿宋" w:hAnsi="仿宋" w:eastAsia="仿宋" w:cs="仿宋"/>
          <w:kern w:val="2"/>
          <w:sz w:val="32"/>
          <w:szCs w:val="32"/>
          <w:lang w:val="en-US" w:eastAsia="zh-CN" w:bidi="ar-SA"/>
        </w:rPr>
        <w:t>办理案件</w:t>
      </w:r>
      <w:r>
        <w:rPr>
          <w:rFonts w:hint="eastAsia" w:ascii="仿宋" w:hAnsi="仿宋" w:eastAsia="仿宋" w:cs="仿宋"/>
          <w:kern w:val="2"/>
          <w:sz w:val="32"/>
          <w:szCs w:val="32"/>
          <w:lang w:val="en-US" w:eastAsia="zh-CN" w:bidi="ar-SA"/>
        </w:rPr>
        <w:t>57</w:t>
      </w:r>
      <w:r>
        <w:rPr>
          <w:rFonts w:hint="default" w:ascii="仿宋" w:hAnsi="仿宋" w:eastAsia="仿宋" w:cs="仿宋"/>
          <w:kern w:val="2"/>
          <w:sz w:val="32"/>
          <w:szCs w:val="32"/>
          <w:lang w:val="en-US" w:eastAsia="zh-CN" w:bidi="ar-SA"/>
        </w:rPr>
        <w:t>件，发出诉前检察建议</w:t>
      </w:r>
      <w:r>
        <w:rPr>
          <w:rFonts w:hint="eastAsia" w:ascii="仿宋" w:hAnsi="仿宋" w:eastAsia="仿宋" w:cs="仿宋"/>
          <w:kern w:val="2"/>
          <w:sz w:val="32"/>
          <w:szCs w:val="32"/>
          <w:lang w:val="en-US" w:eastAsia="zh-CN" w:bidi="ar-SA"/>
        </w:rPr>
        <w:t>46</w:t>
      </w:r>
      <w:r>
        <w:rPr>
          <w:rFonts w:hint="default" w:ascii="仿宋" w:hAnsi="仿宋" w:eastAsia="仿宋" w:cs="仿宋"/>
          <w:kern w:val="2"/>
          <w:sz w:val="32"/>
          <w:szCs w:val="32"/>
          <w:lang w:val="en-US" w:eastAsia="zh-CN" w:bidi="ar-SA"/>
        </w:rPr>
        <w:t>件，提起诉讼</w:t>
      </w:r>
      <w:r>
        <w:rPr>
          <w:rFonts w:hint="eastAsia" w:ascii="仿宋" w:hAnsi="仿宋" w:eastAsia="仿宋" w:cs="仿宋"/>
          <w:kern w:val="2"/>
          <w:sz w:val="32"/>
          <w:szCs w:val="32"/>
          <w:lang w:val="en-US" w:eastAsia="zh-CN" w:bidi="ar-SA"/>
        </w:rPr>
        <w:t>5</w:t>
      </w:r>
      <w:r>
        <w:rPr>
          <w:rFonts w:hint="default" w:ascii="仿宋" w:hAnsi="仿宋" w:eastAsia="仿宋" w:cs="仿宋"/>
          <w:kern w:val="2"/>
          <w:sz w:val="32"/>
          <w:szCs w:val="32"/>
          <w:lang w:val="en-US" w:eastAsia="zh-CN" w:bidi="ar-SA"/>
        </w:rPr>
        <w:t>件</w:t>
      </w:r>
      <w:r>
        <w:rPr>
          <w:rFonts w:hint="eastAsia" w:ascii="仿宋" w:hAnsi="仿宋" w:eastAsia="仿宋" w:cs="仿宋"/>
          <w:kern w:val="2"/>
          <w:sz w:val="32"/>
          <w:szCs w:val="32"/>
          <w:lang w:val="en-US" w:eastAsia="zh-CN" w:bidi="ar-SA"/>
        </w:rPr>
        <w:t>。案件办理质量高效，产出效益高。</w:t>
      </w:r>
    </w:p>
    <w:p w14:paraId="512E3A0F">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contextualSpacing/>
        <w:jc w:val="left"/>
        <w:textAlignment w:val="auto"/>
        <w:outlineLvl w:val="9"/>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（2）履职社会效果</w:t>
      </w:r>
    </w:p>
    <w:p w14:paraId="29CF7A08">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contextualSpacing/>
        <w:jc w:val="left"/>
        <w:textAlignment w:val="auto"/>
        <w:outlineLvl w:val="9"/>
        <w:rPr>
          <w:rFonts w:hint="default" w:ascii="仿宋" w:hAnsi="仿宋" w:eastAsia="仿宋" w:cs="仿宋"/>
          <w:kern w:val="2"/>
          <w:sz w:val="32"/>
          <w:szCs w:val="32"/>
          <w:lang w:val="en-US" w:eastAsia="zh-CN" w:bidi="ar-SA"/>
        </w:rPr>
      </w:pPr>
      <w:r>
        <w:rPr>
          <w:rFonts w:hint="default" w:ascii="仿宋" w:hAnsi="仿宋" w:eastAsia="仿宋" w:cs="仿宋"/>
          <w:kern w:val="2"/>
          <w:sz w:val="32"/>
          <w:szCs w:val="32"/>
          <w:lang w:val="en-US" w:eastAsia="zh-CN" w:bidi="ar-SA"/>
        </w:rPr>
        <w:t>坚持和发展新时代“枫桥经验”，</w:t>
      </w:r>
      <w:r>
        <w:rPr>
          <w:rFonts w:hint="default" w:ascii="仿宋" w:hAnsi="仿宋" w:eastAsia="仿宋" w:cs="仿宋"/>
          <w:kern w:val="2"/>
          <w:sz w:val="32"/>
          <w:szCs w:val="32"/>
          <w:lang w:val="en" w:eastAsia="zh-CN" w:bidi="ar-SA"/>
        </w:rPr>
        <w:t>积极参与综治中心规范化建设，落实</w:t>
      </w:r>
      <w:r>
        <w:rPr>
          <w:rFonts w:hint="default" w:ascii="仿宋" w:hAnsi="仿宋" w:eastAsia="仿宋" w:cs="仿宋"/>
          <w:kern w:val="2"/>
          <w:sz w:val="32"/>
          <w:szCs w:val="32"/>
          <w:lang w:val="en-US" w:eastAsia="zh-CN" w:bidi="ar-SA"/>
        </w:rPr>
        <w:t>检察人员常态化入驻，推动检察履职与综治服务深度融合，经验做法获《四川政法》和《巴中日报》刊载。深入推进检察信访工作法治化，</w:t>
      </w:r>
      <w:r>
        <w:rPr>
          <w:rFonts w:hint="default" w:ascii="仿宋" w:hAnsi="仿宋" w:eastAsia="仿宋" w:cs="仿宋"/>
          <w:kern w:val="2"/>
          <w:sz w:val="32"/>
          <w:szCs w:val="32"/>
          <w:rtl w:val="0"/>
          <w:lang w:val="en-US" w:eastAsia="zh-CN" w:bidi="ar-SA"/>
        </w:rPr>
        <w:t>71件</w:t>
      </w:r>
      <w:r>
        <w:rPr>
          <w:rFonts w:hint="default" w:ascii="仿宋" w:hAnsi="仿宋" w:eastAsia="仿宋" w:cs="仿宋"/>
          <w:kern w:val="2"/>
          <w:sz w:val="32"/>
          <w:szCs w:val="32"/>
          <w:lang w:val="en-US" w:eastAsia="zh-CN" w:bidi="ar-SA"/>
        </w:rPr>
        <w:t>群众</w:t>
      </w:r>
      <w:r>
        <w:rPr>
          <w:rFonts w:hint="default" w:ascii="仿宋" w:hAnsi="仿宋" w:eastAsia="仿宋" w:cs="仿宋"/>
          <w:kern w:val="2"/>
          <w:sz w:val="32"/>
          <w:szCs w:val="32"/>
          <w:rtl w:val="0"/>
          <w:lang w:val="en-US" w:eastAsia="zh-CN" w:bidi="ar-SA"/>
        </w:rPr>
        <w:t>信访</w:t>
      </w:r>
      <w:r>
        <w:rPr>
          <w:rFonts w:hint="default" w:ascii="仿宋" w:hAnsi="仿宋" w:eastAsia="仿宋" w:cs="仿宋"/>
          <w:kern w:val="2"/>
          <w:sz w:val="32"/>
          <w:szCs w:val="32"/>
          <w:lang w:val="en-US" w:eastAsia="zh-CN" w:bidi="ar-SA"/>
        </w:rPr>
        <w:t>件件有回复</w:t>
      </w:r>
      <w:r>
        <w:rPr>
          <w:rFonts w:hint="eastAsia" w:ascii="仿宋" w:hAnsi="仿宋" w:eastAsia="仿宋" w:cs="仿宋"/>
          <w:kern w:val="2"/>
          <w:sz w:val="32"/>
          <w:szCs w:val="32"/>
          <w:lang w:val="en-US" w:eastAsia="zh-CN" w:bidi="ar-SA"/>
        </w:rPr>
        <w:t>；</w:t>
      </w:r>
      <w:r>
        <w:rPr>
          <w:rFonts w:hint="default" w:ascii="仿宋" w:hAnsi="仿宋" w:eastAsia="仿宋" w:cs="仿宋"/>
          <w:kern w:val="2"/>
          <w:sz w:val="32"/>
          <w:szCs w:val="32"/>
          <w:lang w:val="en" w:eastAsia="zh-CN" w:bidi="ar-SA"/>
        </w:rPr>
        <w:t>扎实开展“化解矛盾风险</w:t>
      </w:r>
      <w:r>
        <w:rPr>
          <w:rFonts w:hint="default" w:ascii="仿宋" w:hAnsi="仿宋" w:eastAsia="仿宋" w:cs="仿宋"/>
          <w:kern w:val="2"/>
          <w:sz w:val="32"/>
          <w:szCs w:val="32"/>
          <w:lang w:val="en-US" w:eastAsia="zh-CN" w:bidi="ar-SA"/>
        </w:rPr>
        <w:t xml:space="preserve"> 维护社会稳定”专项治理和“社情民意联系日”活动，</w:t>
      </w:r>
      <w:r>
        <w:rPr>
          <w:rFonts w:hint="default" w:ascii="仿宋" w:hAnsi="仿宋" w:eastAsia="仿宋" w:cs="仿宋"/>
          <w:kern w:val="2"/>
          <w:sz w:val="32"/>
          <w:szCs w:val="32"/>
          <w:rtl w:val="0"/>
          <w:lang w:val="en-US" w:eastAsia="zh-CN" w:bidi="ar-SA"/>
        </w:rPr>
        <w:t>常态化开展包案化解、上门听证等工作，</w:t>
      </w:r>
      <w:r>
        <w:rPr>
          <w:rFonts w:hint="eastAsia" w:ascii="仿宋" w:hAnsi="仿宋" w:eastAsia="仿宋" w:cs="仿宋"/>
          <w:kern w:val="2"/>
          <w:sz w:val="32"/>
          <w:szCs w:val="32"/>
          <w:rtl w:val="0"/>
          <w:lang w:val="en-US" w:eastAsia="zh-CN" w:bidi="ar-SA"/>
        </w:rPr>
        <w:t>促成刑事、民事和解10件，</w:t>
      </w:r>
      <w:r>
        <w:rPr>
          <w:rFonts w:hint="eastAsia" w:ascii="仿宋" w:hAnsi="仿宋" w:eastAsia="仿宋" w:cs="仿宋"/>
          <w:kern w:val="2"/>
          <w:sz w:val="32"/>
          <w:szCs w:val="32"/>
          <w:lang w:val="en-US" w:eastAsia="zh-CN" w:bidi="ar-SA"/>
        </w:rPr>
        <w:t>通过“院坝”听证圆满解决</w:t>
      </w:r>
      <w:r>
        <w:rPr>
          <w:rFonts w:hint="default" w:ascii="仿宋" w:hAnsi="仿宋" w:eastAsia="仿宋" w:cs="仿宋"/>
          <w:kern w:val="2"/>
          <w:sz w:val="32"/>
          <w:szCs w:val="32"/>
          <w:lang w:val="en-US" w:eastAsia="zh-CN" w:bidi="ar-SA"/>
        </w:rPr>
        <w:t>李某甲</w:t>
      </w:r>
      <w:r>
        <w:rPr>
          <w:rFonts w:hint="eastAsia" w:ascii="仿宋" w:hAnsi="仿宋" w:eastAsia="仿宋" w:cs="仿宋"/>
          <w:kern w:val="2"/>
          <w:sz w:val="32"/>
          <w:szCs w:val="32"/>
          <w:lang w:val="en-US" w:eastAsia="zh-CN" w:bidi="ar-SA"/>
        </w:rPr>
        <w:t>、李某乙</w:t>
      </w:r>
      <w:r>
        <w:rPr>
          <w:rFonts w:hint="default" w:ascii="仿宋" w:hAnsi="仿宋" w:eastAsia="仿宋" w:cs="仿宋"/>
          <w:kern w:val="2"/>
          <w:sz w:val="32"/>
          <w:szCs w:val="32"/>
          <w:lang w:val="en-US" w:eastAsia="zh-CN" w:bidi="ar-SA"/>
        </w:rPr>
        <w:t>与李某丙</w:t>
      </w:r>
      <w:r>
        <w:rPr>
          <w:rFonts w:hint="eastAsia" w:ascii="仿宋" w:hAnsi="仿宋" w:eastAsia="仿宋" w:cs="仿宋"/>
          <w:kern w:val="2"/>
          <w:sz w:val="32"/>
          <w:szCs w:val="32"/>
          <w:lang w:val="en-US" w:eastAsia="zh-CN" w:bidi="ar-SA"/>
        </w:rPr>
        <w:t>持续三年、牵扯两代人的宅基地</w:t>
      </w:r>
      <w:r>
        <w:rPr>
          <w:rFonts w:hint="default" w:ascii="仿宋" w:hAnsi="仿宋" w:eastAsia="仿宋" w:cs="仿宋"/>
          <w:kern w:val="2"/>
          <w:sz w:val="32"/>
          <w:szCs w:val="32"/>
          <w:lang w:val="en-US" w:eastAsia="zh-CN" w:bidi="ar-SA"/>
        </w:rPr>
        <w:t>纠纷</w:t>
      </w:r>
      <w:r>
        <w:rPr>
          <w:rFonts w:hint="eastAsia" w:ascii="仿宋" w:hAnsi="仿宋" w:eastAsia="仿宋" w:cs="仿宋"/>
          <w:kern w:val="2"/>
          <w:sz w:val="32"/>
          <w:szCs w:val="32"/>
          <w:lang w:val="en-US" w:eastAsia="zh-CN" w:bidi="ar-SA"/>
        </w:rPr>
        <w:t>，</w:t>
      </w:r>
      <w:r>
        <w:rPr>
          <w:rFonts w:hint="default" w:ascii="仿宋" w:hAnsi="仿宋" w:eastAsia="仿宋" w:cs="仿宋"/>
          <w:kern w:val="2"/>
          <w:sz w:val="32"/>
          <w:szCs w:val="32"/>
          <w:lang w:val="en-US" w:eastAsia="zh-CN" w:bidi="ar-SA"/>
        </w:rPr>
        <w:t>获评全省优秀案例</w:t>
      </w:r>
      <w:r>
        <w:rPr>
          <w:rFonts w:hint="default" w:ascii="仿宋" w:hAnsi="仿宋" w:eastAsia="仿宋" w:cs="仿宋"/>
          <w:kern w:val="2"/>
          <w:sz w:val="32"/>
          <w:szCs w:val="32"/>
          <w:rtl w:val="0"/>
          <w:lang w:val="en-US" w:eastAsia="zh-CN" w:bidi="ar-SA"/>
        </w:rPr>
        <w:t>。</w:t>
      </w:r>
      <w:r>
        <w:rPr>
          <w:rFonts w:hint="default" w:ascii="仿宋" w:hAnsi="仿宋" w:eastAsia="仿宋" w:cs="仿宋"/>
          <w:kern w:val="2"/>
          <w:sz w:val="32"/>
          <w:szCs w:val="32"/>
          <w:lang w:val="en-US" w:eastAsia="zh-CN" w:bidi="ar-SA"/>
        </w:rPr>
        <w:t>深入</w:t>
      </w:r>
      <w:r>
        <w:rPr>
          <w:rFonts w:hint="default" w:ascii="仿宋" w:hAnsi="仿宋" w:eastAsia="仿宋" w:cs="仿宋"/>
          <w:kern w:val="2"/>
          <w:sz w:val="32"/>
          <w:szCs w:val="32"/>
          <w:rtl w:val="0"/>
          <w:lang w:val="en-US" w:eastAsia="zh-CN" w:bidi="ar-SA"/>
        </w:rPr>
        <w:t>实施“检察+邻里”书记项目，通过“朝阳大妈”、网格员等“邻”力量收集案件线索2</w:t>
      </w:r>
      <w:r>
        <w:rPr>
          <w:rFonts w:hint="eastAsia" w:ascii="仿宋" w:hAnsi="仿宋" w:eastAsia="仿宋" w:cs="仿宋"/>
          <w:kern w:val="2"/>
          <w:sz w:val="32"/>
          <w:szCs w:val="32"/>
          <w:rtl w:val="0"/>
          <w:lang w:val="en-US" w:eastAsia="zh-CN" w:bidi="ar-SA"/>
        </w:rPr>
        <w:t>1</w:t>
      </w:r>
      <w:r>
        <w:rPr>
          <w:rFonts w:hint="default" w:ascii="仿宋" w:hAnsi="仿宋" w:eastAsia="仿宋" w:cs="仿宋"/>
          <w:kern w:val="2"/>
          <w:sz w:val="32"/>
          <w:szCs w:val="32"/>
          <w:rtl w:val="0"/>
          <w:lang w:val="en-US" w:eastAsia="zh-CN" w:bidi="ar-SA"/>
        </w:rPr>
        <w:t>条、成案1</w:t>
      </w:r>
      <w:r>
        <w:rPr>
          <w:rFonts w:hint="eastAsia" w:ascii="仿宋" w:hAnsi="仿宋" w:eastAsia="仿宋" w:cs="仿宋"/>
          <w:kern w:val="2"/>
          <w:sz w:val="32"/>
          <w:szCs w:val="32"/>
          <w:rtl w:val="0"/>
          <w:lang w:val="en-US" w:eastAsia="zh-CN" w:bidi="ar-SA"/>
        </w:rPr>
        <w:t>4</w:t>
      </w:r>
      <w:r>
        <w:rPr>
          <w:rFonts w:hint="default" w:ascii="仿宋" w:hAnsi="仿宋" w:eastAsia="仿宋" w:cs="仿宋"/>
          <w:kern w:val="2"/>
          <w:sz w:val="32"/>
          <w:szCs w:val="32"/>
          <w:rtl w:val="0"/>
          <w:lang w:val="en-US" w:eastAsia="zh-CN" w:bidi="ar-SA"/>
        </w:rPr>
        <w:t>件，就地化解矛盾纠纷20余件</w:t>
      </w:r>
      <w:r>
        <w:rPr>
          <w:rFonts w:hint="default" w:ascii="仿宋" w:hAnsi="仿宋" w:eastAsia="仿宋" w:cs="仿宋"/>
          <w:kern w:val="2"/>
          <w:sz w:val="32"/>
          <w:szCs w:val="32"/>
          <w:lang w:val="en-US" w:eastAsia="zh-CN" w:bidi="ar-SA"/>
        </w:rPr>
        <w:t>，</w:t>
      </w:r>
      <w:r>
        <w:rPr>
          <w:rFonts w:hint="eastAsia" w:ascii="仿宋" w:hAnsi="仿宋" w:eastAsia="仿宋" w:cs="仿宋"/>
          <w:kern w:val="2"/>
          <w:sz w:val="32"/>
          <w:szCs w:val="32"/>
          <w:lang w:val="en-US" w:eastAsia="zh-CN" w:bidi="ar-SA"/>
        </w:rPr>
        <w:t>助力</w:t>
      </w:r>
      <w:r>
        <w:rPr>
          <w:rFonts w:hint="eastAsia" w:ascii="仿宋" w:hAnsi="仿宋" w:eastAsia="仿宋" w:cs="仿宋"/>
          <w:kern w:val="2"/>
          <w:sz w:val="32"/>
          <w:szCs w:val="32"/>
          <w:rtl w:val="0"/>
          <w:lang w:val="en-US" w:eastAsia="zh-CN" w:bidi="ar-SA"/>
        </w:rPr>
        <w:t>提升</w:t>
      </w:r>
      <w:r>
        <w:rPr>
          <w:rFonts w:hint="default" w:ascii="仿宋" w:hAnsi="仿宋" w:eastAsia="仿宋" w:cs="仿宋"/>
          <w:kern w:val="2"/>
          <w:sz w:val="32"/>
          <w:szCs w:val="32"/>
          <w:rtl w:val="0"/>
          <w:lang w:val="en-US" w:eastAsia="zh-CN" w:bidi="ar-SA"/>
        </w:rPr>
        <w:t>基层治理法治化水平</w:t>
      </w:r>
      <w:r>
        <w:rPr>
          <w:rFonts w:hint="eastAsia" w:ascii="仿宋" w:hAnsi="仿宋" w:eastAsia="仿宋" w:cs="仿宋"/>
          <w:kern w:val="2"/>
          <w:sz w:val="32"/>
          <w:szCs w:val="32"/>
          <w:rtl w:val="0"/>
          <w:lang w:val="en-US" w:eastAsia="zh-CN" w:bidi="ar-SA"/>
        </w:rPr>
        <w:t>，</w:t>
      </w:r>
      <w:r>
        <w:rPr>
          <w:rFonts w:hint="eastAsia" w:ascii="仿宋" w:hAnsi="仿宋" w:eastAsia="仿宋" w:cs="仿宋"/>
          <w:kern w:val="2"/>
          <w:sz w:val="32"/>
          <w:szCs w:val="32"/>
          <w:lang w:val="en-US" w:eastAsia="zh-CN" w:bidi="ar-SA"/>
        </w:rPr>
        <w:t>有效提升了履职社会效果。</w:t>
      </w:r>
    </w:p>
    <w:p w14:paraId="2A3C4D03">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contextualSpacing/>
        <w:jc w:val="left"/>
        <w:textAlignment w:val="auto"/>
        <w:outlineLvl w:val="9"/>
        <w:rPr>
          <w:rFonts w:hint="default"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（3)法律监督效果</w:t>
      </w:r>
    </w:p>
    <w:p w14:paraId="4E1F1762">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contextualSpacing/>
        <w:jc w:val="left"/>
        <w:textAlignment w:val="auto"/>
        <w:outlineLvl w:val="9"/>
        <w:rPr>
          <w:rFonts w:hint="default" w:ascii="仿宋" w:hAnsi="仿宋" w:eastAsia="仿宋" w:cs="仿宋"/>
          <w:kern w:val="2"/>
          <w:sz w:val="32"/>
          <w:szCs w:val="32"/>
          <w:lang w:val="en-US" w:eastAsia="zh-CN" w:bidi="ar-SA"/>
        </w:rPr>
      </w:pPr>
      <w:r>
        <w:rPr>
          <w:rFonts w:hint="default" w:ascii="仿宋" w:hAnsi="仿宋" w:eastAsia="仿宋" w:cs="仿宋"/>
          <w:kern w:val="2"/>
          <w:sz w:val="32"/>
          <w:szCs w:val="32"/>
          <w:rtl w:val="0"/>
          <w:lang w:val="en-US" w:eastAsia="zh-CN" w:bidi="ar-SA"/>
        </w:rPr>
        <w:t>深入推进</w:t>
      </w:r>
      <w:r>
        <w:rPr>
          <w:rFonts w:hint="eastAsia" w:ascii="仿宋" w:hAnsi="仿宋" w:eastAsia="仿宋" w:cs="仿宋"/>
          <w:kern w:val="2"/>
          <w:sz w:val="32"/>
          <w:szCs w:val="32"/>
          <w:rtl w:val="0"/>
          <w:lang w:val="en-US" w:eastAsia="zh-CN" w:bidi="ar-SA"/>
        </w:rPr>
        <w:t>“两项监督”</w:t>
      </w:r>
      <w:r>
        <w:rPr>
          <w:rFonts w:hint="default" w:ascii="仿宋" w:hAnsi="仿宋" w:eastAsia="仿宋" w:cs="仿宋"/>
          <w:kern w:val="2"/>
          <w:sz w:val="32"/>
          <w:szCs w:val="32"/>
          <w:lang w:val="en-US" w:eastAsia="zh-CN" w:bidi="ar-SA"/>
        </w:rPr>
        <w:t>有机衔接，扎实开展</w:t>
      </w:r>
      <w:r>
        <w:rPr>
          <w:rFonts w:hint="default" w:ascii="仿宋" w:hAnsi="仿宋" w:eastAsia="仿宋" w:cs="仿宋"/>
          <w:kern w:val="2"/>
          <w:sz w:val="32"/>
          <w:szCs w:val="32"/>
          <w:rtl w:val="0"/>
          <w:lang w:val="en-US" w:eastAsia="zh-CN" w:bidi="ar-SA"/>
        </w:rPr>
        <w:t>“进驻式”法律监督专项检查，查阅案卷1113本，发现问题线索1</w:t>
      </w:r>
      <w:r>
        <w:rPr>
          <w:rFonts w:hint="eastAsia" w:ascii="仿宋" w:hAnsi="仿宋" w:eastAsia="仿宋" w:cs="仿宋"/>
          <w:kern w:val="2"/>
          <w:sz w:val="32"/>
          <w:szCs w:val="32"/>
          <w:rtl w:val="0"/>
          <w:lang w:val="en-US" w:eastAsia="zh-CN" w:bidi="ar-SA"/>
        </w:rPr>
        <w:t>7</w:t>
      </w:r>
      <w:r>
        <w:rPr>
          <w:rFonts w:hint="default" w:ascii="仿宋" w:hAnsi="仿宋" w:eastAsia="仿宋" w:cs="仿宋"/>
          <w:kern w:val="2"/>
          <w:sz w:val="32"/>
          <w:szCs w:val="32"/>
          <w:rtl w:val="0"/>
          <w:lang w:val="en-US" w:eastAsia="zh-CN" w:bidi="ar-SA"/>
        </w:rPr>
        <w:t>条，</w:t>
      </w:r>
      <w:r>
        <w:rPr>
          <w:rFonts w:hint="default" w:ascii="仿宋" w:hAnsi="仿宋" w:eastAsia="仿宋" w:cs="仿宋"/>
          <w:kern w:val="2"/>
          <w:sz w:val="32"/>
          <w:szCs w:val="32"/>
          <w:lang w:val="en-US" w:eastAsia="zh-CN" w:bidi="ar-SA"/>
        </w:rPr>
        <w:t>发出纠正违法通知书4份</w:t>
      </w:r>
      <w:r>
        <w:rPr>
          <w:rFonts w:hint="eastAsia" w:ascii="仿宋" w:hAnsi="仿宋" w:eastAsia="仿宋" w:cs="仿宋"/>
          <w:kern w:val="2"/>
          <w:sz w:val="32"/>
          <w:szCs w:val="32"/>
          <w:lang w:val="en-US" w:eastAsia="zh-CN" w:bidi="ar-SA"/>
        </w:rPr>
        <w:t>，</w:t>
      </w:r>
      <w:r>
        <w:rPr>
          <w:rFonts w:hint="eastAsia" w:ascii="仿宋" w:hAnsi="仿宋" w:eastAsia="仿宋" w:cs="仿宋"/>
          <w:kern w:val="2"/>
          <w:sz w:val="32"/>
          <w:szCs w:val="32"/>
          <w:rtl w:val="0"/>
          <w:lang w:val="en-US" w:eastAsia="zh-CN" w:bidi="ar-SA"/>
        </w:rPr>
        <w:t>持续促进执法司法规范化</w:t>
      </w:r>
      <w:r>
        <w:rPr>
          <w:rFonts w:hint="default" w:ascii="仿宋" w:hAnsi="仿宋" w:eastAsia="仿宋" w:cs="仿宋"/>
          <w:kern w:val="2"/>
          <w:sz w:val="32"/>
          <w:szCs w:val="32"/>
          <w:rtl w:val="0"/>
          <w:lang w:val="en-US" w:eastAsia="zh-CN" w:bidi="ar-SA"/>
        </w:rPr>
        <w:t>。</w:t>
      </w:r>
      <w:r>
        <w:rPr>
          <w:rFonts w:hint="eastAsia" w:ascii="仿宋" w:hAnsi="仿宋" w:eastAsia="仿宋" w:cs="仿宋"/>
          <w:kern w:val="2"/>
          <w:sz w:val="32"/>
          <w:szCs w:val="32"/>
          <w:lang w:val="en-US" w:eastAsia="zh-CN" w:bidi="ar-SA"/>
        </w:rPr>
        <w:t>贯通推进“三个管理”，</w:t>
      </w:r>
      <w:r>
        <w:rPr>
          <w:rFonts w:hint="default" w:ascii="仿宋" w:hAnsi="仿宋" w:eastAsia="仿宋" w:cs="仿宋"/>
          <w:kern w:val="2"/>
          <w:sz w:val="32"/>
          <w:szCs w:val="32"/>
          <w:lang w:val="en-US" w:eastAsia="zh-CN" w:bidi="ar-SA"/>
        </w:rPr>
        <w:t>出台“一案十二查”、案后复盘机制等办法，建立</w:t>
      </w:r>
      <w:r>
        <w:rPr>
          <w:rFonts w:hint="eastAsia" w:ascii="仿宋" w:hAnsi="仿宋" w:eastAsia="仿宋" w:cs="仿宋"/>
          <w:kern w:val="2"/>
          <w:sz w:val="32"/>
          <w:szCs w:val="32"/>
          <w:lang w:val="en-US" w:eastAsia="zh-CN" w:bidi="ar-SA"/>
        </w:rPr>
        <w:t>完善办案质效定期分析、办案流程实时监控、</w:t>
      </w:r>
      <w:r>
        <w:rPr>
          <w:rFonts w:hint="default" w:ascii="仿宋" w:hAnsi="仿宋" w:eastAsia="仿宋" w:cs="仿宋"/>
          <w:kern w:val="2"/>
          <w:sz w:val="32"/>
          <w:szCs w:val="32"/>
          <w:lang w:val="en-US" w:eastAsia="zh-CN" w:bidi="ar-SA"/>
        </w:rPr>
        <w:t>案件质量</w:t>
      </w:r>
      <w:r>
        <w:rPr>
          <w:rFonts w:hint="eastAsia" w:ascii="仿宋" w:hAnsi="仿宋" w:eastAsia="仿宋" w:cs="仿宋"/>
          <w:kern w:val="2"/>
          <w:sz w:val="32"/>
          <w:szCs w:val="32"/>
          <w:lang w:val="en-US" w:eastAsia="zh-CN" w:bidi="ar-SA"/>
        </w:rPr>
        <w:t>评查等</w:t>
      </w:r>
      <w:r>
        <w:rPr>
          <w:rFonts w:hint="default" w:ascii="仿宋" w:hAnsi="仿宋" w:eastAsia="仿宋" w:cs="仿宋"/>
          <w:kern w:val="2"/>
          <w:sz w:val="32"/>
          <w:szCs w:val="32"/>
          <w:lang w:val="en-US" w:eastAsia="zh-CN" w:bidi="ar-SA"/>
        </w:rPr>
        <w:t>闭环管理</w:t>
      </w:r>
      <w:r>
        <w:rPr>
          <w:rFonts w:hint="eastAsia" w:ascii="仿宋" w:hAnsi="仿宋" w:eastAsia="仿宋" w:cs="仿宋"/>
          <w:kern w:val="2"/>
          <w:sz w:val="32"/>
          <w:szCs w:val="32"/>
          <w:lang w:val="en-US" w:eastAsia="zh-CN" w:bidi="ar-SA"/>
        </w:rPr>
        <w:t>机制，</w:t>
      </w:r>
      <w:r>
        <w:rPr>
          <w:rFonts w:hint="default" w:ascii="仿宋" w:hAnsi="仿宋" w:eastAsia="仿宋" w:cs="仿宋"/>
          <w:kern w:val="2"/>
          <w:sz w:val="32"/>
          <w:szCs w:val="32"/>
          <w:lang w:val="en-US" w:eastAsia="zh-CN" w:bidi="ar-SA"/>
        </w:rPr>
        <w:t>实现办案效率和案件质量双提升</w:t>
      </w:r>
      <w:r>
        <w:rPr>
          <w:rFonts w:hint="eastAsia" w:ascii="仿宋" w:hAnsi="仿宋" w:eastAsia="仿宋" w:cs="仿宋"/>
          <w:kern w:val="2"/>
          <w:sz w:val="32"/>
          <w:szCs w:val="32"/>
          <w:lang w:val="en-US" w:eastAsia="zh-CN" w:bidi="ar-SA"/>
        </w:rPr>
        <w:t>，3</w:t>
      </w:r>
      <w:r>
        <w:rPr>
          <w:rFonts w:hint="default" w:ascii="仿宋" w:hAnsi="仿宋" w:eastAsia="仿宋" w:cs="仿宋"/>
          <w:kern w:val="2"/>
          <w:sz w:val="32"/>
          <w:szCs w:val="32"/>
          <w:lang w:val="en-US" w:eastAsia="zh-CN" w:bidi="ar-SA"/>
        </w:rPr>
        <w:t>件</w:t>
      </w:r>
      <w:r>
        <w:rPr>
          <w:rFonts w:hint="eastAsia" w:ascii="仿宋" w:hAnsi="仿宋" w:eastAsia="仿宋" w:cs="仿宋"/>
          <w:kern w:val="2"/>
          <w:sz w:val="32"/>
          <w:szCs w:val="32"/>
          <w:lang w:val="en-US" w:eastAsia="zh-CN" w:bidi="ar-SA"/>
        </w:rPr>
        <w:t>案件</w:t>
      </w:r>
      <w:r>
        <w:rPr>
          <w:rFonts w:hint="default" w:ascii="仿宋" w:hAnsi="仿宋" w:eastAsia="仿宋" w:cs="仿宋"/>
          <w:kern w:val="2"/>
          <w:sz w:val="32"/>
          <w:szCs w:val="32"/>
          <w:lang w:val="en-US" w:eastAsia="zh-CN" w:bidi="ar-SA"/>
        </w:rPr>
        <w:t>获评省级优秀案例。</w:t>
      </w:r>
      <w:r>
        <w:rPr>
          <w:rFonts w:hint="default" w:ascii="仿宋" w:hAnsi="仿宋" w:eastAsia="仿宋" w:cs="仿宋"/>
          <w:kern w:val="2"/>
          <w:sz w:val="32"/>
          <w:szCs w:val="32"/>
          <w:rtl w:val="0"/>
          <w:lang w:val="en-US" w:eastAsia="zh-CN" w:bidi="ar-SA"/>
        </w:rPr>
        <w:t>深化科技赋能，</w:t>
      </w:r>
      <w:r>
        <w:rPr>
          <w:rFonts w:hint="eastAsia" w:ascii="仿宋" w:hAnsi="仿宋" w:eastAsia="仿宋" w:cs="仿宋"/>
          <w:kern w:val="2"/>
          <w:sz w:val="32"/>
          <w:szCs w:val="32"/>
          <w:rtl w:val="0"/>
          <w:lang w:val="en-US" w:eastAsia="zh-CN" w:bidi="ar-SA"/>
        </w:rPr>
        <w:t>自主</w:t>
      </w:r>
      <w:r>
        <w:rPr>
          <w:rFonts w:hint="default" w:ascii="仿宋" w:hAnsi="仿宋" w:eastAsia="仿宋" w:cs="仿宋"/>
          <w:kern w:val="2"/>
          <w:sz w:val="32"/>
          <w:szCs w:val="32"/>
          <w:lang w:val="en-US" w:eastAsia="zh-CN" w:bidi="ar-SA"/>
        </w:rPr>
        <w:t>研发</w:t>
      </w:r>
      <w:r>
        <w:rPr>
          <w:rFonts w:hint="eastAsia" w:ascii="仿宋" w:hAnsi="仿宋" w:eastAsia="仿宋" w:cs="仿宋"/>
          <w:kern w:val="2"/>
          <w:sz w:val="32"/>
          <w:szCs w:val="32"/>
          <w:lang w:val="en-US" w:eastAsia="zh-CN" w:bidi="ar-SA"/>
        </w:rPr>
        <w:t>“</w:t>
      </w:r>
      <w:r>
        <w:rPr>
          <w:rFonts w:hint="default" w:ascii="仿宋" w:hAnsi="仿宋" w:eastAsia="仿宋" w:cs="仿宋"/>
          <w:kern w:val="2"/>
          <w:sz w:val="32"/>
          <w:szCs w:val="32"/>
          <w:lang w:val="en-US" w:eastAsia="zh-CN" w:bidi="ar-SA"/>
        </w:rPr>
        <w:t>涉异地被执行人违规终本执行监督模型</w:t>
      </w:r>
      <w:r>
        <w:rPr>
          <w:rFonts w:hint="eastAsia" w:ascii="仿宋" w:hAnsi="仿宋" w:eastAsia="仿宋" w:cs="仿宋"/>
          <w:kern w:val="2"/>
          <w:sz w:val="32"/>
          <w:szCs w:val="32"/>
          <w:lang w:val="en-US" w:eastAsia="zh-CN" w:bidi="ar-SA"/>
        </w:rPr>
        <w:t>”</w:t>
      </w:r>
      <w:r>
        <w:rPr>
          <w:rFonts w:hint="default" w:ascii="仿宋" w:hAnsi="仿宋" w:eastAsia="仿宋" w:cs="仿宋"/>
          <w:kern w:val="2"/>
          <w:sz w:val="32"/>
          <w:szCs w:val="32"/>
          <w:lang w:val="en-US" w:eastAsia="zh-CN" w:bidi="ar-SA"/>
        </w:rPr>
        <w:t>在全省检察机关大数据法律监督模型库上架，</w:t>
      </w:r>
      <w:r>
        <w:rPr>
          <w:rFonts w:hint="default" w:ascii="仿宋" w:hAnsi="仿宋" w:eastAsia="仿宋" w:cs="仿宋"/>
          <w:kern w:val="2"/>
          <w:sz w:val="32"/>
          <w:szCs w:val="32"/>
          <w:rtl w:val="0"/>
          <w:lang w:val="en-US" w:eastAsia="zh-CN" w:bidi="ar-SA"/>
        </w:rPr>
        <w:t>通过数据筛查、比对，发现监督线索126条</w:t>
      </w:r>
      <w:r>
        <w:rPr>
          <w:rFonts w:hint="eastAsia" w:ascii="仿宋" w:hAnsi="仿宋" w:eastAsia="仿宋" w:cs="仿宋"/>
          <w:kern w:val="2"/>
          <w:sz w:val="32"/>
          <w:szCs w:val="32"/>
          <w:lang w:val="en-US" w:eastAsia="zh-CN" w:bidi="ar-SA"/>
        </w:rPr>
        <w:t>、</w:t>
      </w:r>
      <w:r>
        <w:rPr>
          <w:rFonts w:hint="default" w:ascii="仿宋" w:hAnsi="仿宋" w:eastAsia="仿宋" w:cs="仿宋"/>
          <w:kern w:val="2"/>
          <w:sz w:val="32"/>
          <w:szCs w:val="32"/>
          <w:lang w:val="en-US" w:eastAsia="zh-CN" w:bidi="ar-SA"/>
        </w:rPr>
        <w:t>成案98件，应用</w:t>
      </w:r>
      <w:r>
        <w:rPr>
          <w:rFonts w:hint="eastAsia" w:ascii="仿宋" w:hAnsi="仿宋" w:eastAsia="仿宋" w:cs="仿宋"/>
          <w:kern w:val="2"/>
          <w:sz w:val="32"/>
          <w:szCs w:val="32"/>
          <w:lang w:val="en-US" w:eastAsia="zh-CN" w:bidi="ar-SA"/>
        </w:rPr>
        <w:t>模型</w:t>
      </w:r>
      <w:r>
        <w:rPr>
          <w:rFonts w:hint="default" w:ascii="仿宋" w:hAnsi="仿宋" w:eastAsia="仿宋" w:cs="仿宋"/>
          <w:kern w:val="2"/>
          <w:sz w:val="32"/>
          <w:szCs w:val="32"/>
          <w:lang w:val="en-US" w:eastAsia="zh-CN" w:bidi="ar-SA"/>
        </w:rPr>
        <w:t>成案数位列全省第1</w:t>
      </w:r>
      <w:r>
        <w:rPr>
          <w:rFonts w:hint="eastAsia" w:ascii="仿宋" w:hAnsi="仿宋" w:eastAsia="仿宋" w:cs="仿宋"/>
          <w:kern w:val="2"/>
          <w:sz w:val="32"/>
          <w:szCs w:val="32"/>
          <w:lang w:val="en-US" w:eastAsia="zh-CN" w:bidi="ar-SA"/>
        </w:rPr>
        <w:t>，获评全省模型应用有力检察院。</w:t>
      </w:r>
    </w:p>
    <w:p w14:paraId="7B9BD742">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contextualSpacing/>
        <w:jc w:val="left"/>
        <w:textAlignment w:val="auto"/>
        <w:outlineLvl w:val="9"/>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zh-CN" w:eastAsia="zh-CN" w:bidi="ar-SA"/>
        </w:rPr>
        <w:t>（</w:t>
      </w:r>
      <w:r>
        <w:rPr>
          <w:rFonts w:hint="eastAsia" w:ascii="仿宋" w:hAnsi="仿宋" w:eastAsia="仿宋" w:cs="仿宋"/>
          <w:kern w:val="2"/>
          <w:sz w:val="32"/>
          <w:szCs w:val="32"/>
          <w:lang w:val="en-US" w:eastAsia="zh-CN" w:bidi="ar-SA"/>
        </w:rPr>
        <w:t>4）社会满意度</w:t>
      </w:r>
    </w:p>
    <w:p w14:paraId="1233D2C5">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contextualSpacing/>
        <w:jc w:val="left"/>
        <w:textAlignment w:val="auto"/>
        <w:outlineLvl w:val="9"/>
        <w:rPr>
          <w:rFonts w:hint="default" w:ascii="仿宋" w:hAnsi="仿宋" w:eastAsia="仿宋" w:cs="仿宋"/>
          <w:kern w:val="2"/>
          <w:sz w:val="32"/>
          <w:szCs w:val="32"/>
          <w:rtl w:val="0"/>
          <w:lang w:val="en-US" w:eastAsia="zh-CN" w:bidi="ar-SA"/>
        </w:rPr>
      </w:pPr>
      <w:r>
        <w:rPr>
          <w:rFonts w:hint="default" w:ascii="仿宋" w:hAnsi="仿宋" w:eastAsia="仿宋" w:cs="仿宋"/>
          <w:kern w:val="2"/>
          <w:sz w:val="32"/>
          <w:szCs w:val="32"/>
          <w:rtl w:val="0"/>
          <w:lang w:val="en-US" w:eastAsia="zh-CN" w:bidi="ar-SA"/>
        </w:rPr>
        <w:t>20余项工作被上级认可，</w:t>
      </w:r>
      <w:r>
        <w:rPr>
          <w:rFonts w:hint="default" w:ascii="仿宋" w:hAnsi="仿宋" w:eastAsia="仿宋" w:cs="仿宋"/>
          <w:kern w:val="2"/>
          <w:sz w:val="32"/>
          <w:szCs w:val="32"/>
          <w:lang w:val="en-US" w:eastAsia="zh-CN" w:bidi="ar-SA"/>
        </w:rPr>
        <w:t>获评</w:t>
      </w:r>
      <w:r>
        <w:rPr>
          <w:rFonts w:hint="eastAsia" w:ascii="仿宋" w:hAnsi="仿宋" w:eastAsia="仿宋" w:cs="仿宋"/>
          <w:kern w:val="2"/>
          <w:sz w:val="32"/>
          <w:szCs w:val="32"/>
          <w:lang w:val="en-US" w:eastAsia="zh-CN" w:bidi="ar-SA"/>
        </w:rPr>
        <w:t>全国节约型公共机构示范单位，连续两年获评</w:t>
      </w:r>
      <w:r>
        <w:rPr>
          <w:rFonts w:hint="default" w:ascii="仿宋" w:hAnsi="仿宋" w:eastAsia="仿宋" w:cs="仿宋"/>
          <w:kern w:val="2"/>
          <w:sz w:val="32"/>
          <w:szCs w:val="32"/>
          <w:lang w:val="en-US" w:eastAsia="zh-CN" w:bidi="ar-SA"/>
        </w:rPr>
        <w:t>全国检察机关全媒体生产传播工作成绩突出单位</w:t>
      </w:r>
      <w:r>
        <w:rPr>
          <w:rFonts w:hint="eastAsia" w:ascii="仿宋" w:hAnsi="仿宋" w:eastAsia="仿宋" w:cs="仿宋"/>
          <w:kern w:val="2"/>
          <w:sz w:val="32"/>
          <w:szCs w:val="32"/>
          <w:lang w:val="en-US" w:eastAsia="zh-CN" w:bidi="ar-SA"/>
        </w:rPr>
        <w:t>、</w:t>
      </w:r>
      <w:r>
        <w:rPr>
          <w:rFonts w:hint="default" w:ascii="仿宋" w:hAnsi="仿宋" w:eastAsia="仿宋" w:cs="仿宋"/>
          <w:kern w:val="2"/>
          <w:sz w:val="32"/>
          <w:szCs w:val="32"/>
          <w:rtl w:val="0"/>
          <w:lang w:val="en-US" w:eastAsia="zh-CN" w:bidi="ar-SA"/>
        </w:rPr>
        <w:t>全省基层院“五强”建设优秀院</w:t>
      </w:r>
      <w:r>
        <w:rPr>
          <w:rFonts w:hint="default" w:ascii="仿宋" w:hAnsi="仿宋" w:eastAsia="仿宋" w:cs="仿宋"/>
          <w:kern w:val="2"/>
          <w:sz w:val="32"/>
          <w:szCs w:val="32"/>
          <w:lang w:val="en-US" w:eastAsia="zh-CN" w:bidi="ar-SA"/>
        </w:rPr>
        <w:t>等荣誉1</w:t>
      </w:r>
      <w:r>
        <w:rPr>
          <w:rFonts w:hint="eastAsia" w:ascii="仿宋" w:hAnsi="仿宋" w:eastAsia="仿宋" w:cs="仿宋"/>
          <w:kern w:val="2"/>
          <w:sz w:val="32"/>
          <w:szCs w:val="32"/>
          <w:lang w:val="en-US" w:eastAsia="zh-CN" w:bidi="ar-SA"/>
        </w:rPr>
        <w:t>0余</w:t>
      </w:r>
      <w:r>
        <w:rPr>
          <w:rFonts w:hint="default" w:ascii="仿宋" w:hAnsi="仿宋" w:eastAsia="仿宋" w:cs="仿宋"/>
          <w:kern w:val="2"/>
          <w:sz w:val="32"/>
          <w:szCs w:val="32"/>
          <w:lang w:val="en-US" w:eastAsia="zh-CN" w:bidi="ar-SA"/>
        </w:rPr>
        <w:t>项，</w:t>
      </w:r>
      <w:r>
        <w:rPr>
          <w:rFonts w:hint="eastAsia" w:ascii="仿宋" w:hAnsi="仿宋" w:eastAsia="仿宋" w:cs="仿宋"/>
          <w:kern w:val="2"/>
          <w:sz w:val="32"/>
          <w:szCs w:val="32"/>
          <w:lang w:val="en-US" w:eastAsia="zh-CN" w:bidi="ar-SA"/>
        </w:rPr>
        <w:t>23</w:t>
      </w:r>
      <w:r>
        <w:rPr>
          <w:rFonts w:hint="default" w:ascii="仿宋" w:hAnsi="仿宋" w:eastAsia="仿宋" w:cs="仿宋"/>
          <w:kern w:val="2"/>
          <w:sz w:val="32"/>
          <w:szCs w:val="32"/>
          <w:rtl w:val="0"/>
          <w:lang w:val="en-US" w:eastAsia="zh-CN" w:bidi="ar-SA"/>
        </w:rPr>
        <w:t>人次获县级以上</w:t>
      </w:r>
      <w:r>
        <w:rPr>
          <w:rFonts w:hint="eastAsia" w:ascii="仿宋" w:hAnsi="仿宋" w:eastAsia="仿宋" w:cs="仿宋"/>
          <w:kern w:val="2"/>
          <w:sz w:val="32"/>
          <w:szCs w:val="32"/>
          <w:rtl w:val="0"/>
          <w:lang w:val="en-US" w:eastAsia="zh-CN" w:bidi="ar-SA"/>
        </w:rPr>
        <w:t>表扬</w:t>
      </w:r>
      <w:r>
        <w:rPr>
          <w:rFonts w:hint="default" w:ascii="仿宋" w:hAnsi="仿宋" w:eastAsia="仿宋" w:cs="仿宋"/>
          <w:kern w:val="2"/>
          <w:sz w:val="32"/>
          <w:szCs w:val="32"/>
          <w:rtl w:val="0"/>
          <w:lang w:val="en-US" w:eastAsia="zh-CN" w:bidi="ar-SA"/>
        </w:rPr>
        <w:t>。</w:t>
      </w:r>
    </w:p>
    <w:p w14:paraId="0C9AC4B7">
      <w:pPr>
        <w:keepNext w:val="0"/>
        <w:keepLines w:val="0"/>
        <w:pageBreakBefore w:val="0"/>
        <w:widowControl w:val="0"/>
        <w:kinsoku/>
        <w:wordWrap/>
        <w:overflowPunct/>
        <w:topLinePunct w:val="0"/>
        <w:autoSpaceDE/>
        <w:autoSpaceDN/>
        <w:bidi w:val="0"/>
        <w:adjustRightInd w:val="0"/>
        <w:snapToGrid w:val="0"/>
        <w:spacing w:line="560" w:lineRule="exact"/>
        <w:ind w:left="0" w:firstLine="640" w:firstLineChars="200"/>
        <w:contextualSpacing/>
        <w:jc w:val="left"/>
        <w:textAlignment w:val="auto"/>
        <w:outlineLvl w:val="9"/>
        <w:rPr>
          <w:rFonts w:hint="default" w:ascii="Times New Roman" w:hAnsi="Times New Roman" w:eastAsia="方正仿宋_GBK"/>
          <w:color w:val="000000"/>
          <w:kern w:val="0"/>
          <w:sz w:val="32"/>
          <w:szCs w:val="32"/>
          <w:highlight w:val="none"/>
          <w:shd w:val="clear" w:color="auto" w:fill="FFFFFF"/>
          <w:lang w:val="zh-CN" w:eastAsia="zh-CN"/>
        </w:rPr>
      </w:pPr>
      <w:r>
        <w:rPr>
          <w:rFonts w:hint="default" w:ascii="Times New Roman" w:hAnsi="Times New Roman" w:eastAsia="方正仿宋_GBK"/>
          <w:color w:val="000000"/>
          <w:kern w:val="0"/>
          <w:sz w:val="32"/>
          <w:szCs w:val="32"/>
          <w:highlight w:val="none"/>
          <w:shd w:val="clear" w:color="auto" w:fill="FFFFFF"/>
          <w:lang w:val="zh-CN" w:eastAsia="zh-CN"/>
        </w:rPr>
        <w:t>2.预算管理</w:t>
      </w:r>
    </w:p>
    <w:p w14:paraId="3D2AD6B6">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contextualSpacing/>
        <w:jc w:val="left"/>
        <w:textAlignment w:val="auto"/>
        <w:outlineLvl w:val="9"/>
        <w:rPr>
          <w:rFonts w:hint="eastAsia" w:ascii="仿宋" w:hAnsi="仿宋" w:eastAsia="仿宋" w:cs="仿宋"/>
          <w:kern w:val="2"/>
          <w:sz w:val="32"/>
          <w:szCs w:val="32"/>
          <w:lang w:val="zh-CN" w:eastAsia="zh-CN" w:bidi="ar-SA"/>
        </w:rPr>
      </w:pPr>
      <w:r>
        <w:rPr>
          <w:rFonts w:hint="eastAsia" w:ascii="仿宋" w:hAnsi="仿宋" w:eastAsia="仿宋" w:cs="仿宋"/>
          <w:kern w:val="2"/>
          <w:sz w:val="32"/>
          <w:szCs w:val="32"/>
          <w:lang w:val="zh-CN" w:eastAsia="zh-CN" w:bidi="ar-SA"/>
        </w:rPr>
        <w:t>（</w:t>
      </w:r>
      <w:r>
        <w:rPr>
          <w:rFonts w:hint="eastAsia" w:ascii="仿宋" w:hAnsi="仿宋" w:eastAsia="仿宋" w:cs="仿宋"/>
          <w:kern w:val="2"/>
          <w:sz w:val="32"/>
          <w:szCs w:val="32"/>
          <w:lang w:val="en-US" w:eastAsia="zh-CN" w:bidi="ar-SA"/>
        </w:rPr>
        <w:t>1）</w:t>
      </w:r>
      <w:r>
        <w:rPr>
          <w:rFonts w:hint="eastAsia" w:ascii="仿宋" w:hAnsi="仿宋" w:eastAsia="仿宋" w:cs="仿宋"/>
          <w:kern w:val="2"/>
          <w:sz w:val="32"/>
          <w:szCs w:val="32"/>
          <w:lang w:val="zh-CN" w:eastAsia="zh-CN" w:bidi="ar-SA"/>
        </w:rPr>
        <w:t>本年度预算编制严格遵循财政规定，做到收支全覆盖、应编尽编，编制流程规范严谨。基础数据测算精准有据，支出科目明细清晰，预算安排与年度重点工作高度契合，绩效目标设置科学合理，整体编制完整性、准确性、规范性均达到较高水平。</w:t>
      </w:r>
    </w:p>
    <w:p w14:paraId="126A17F9">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contextualSpacing/>
        <w:jc w:val="left"/>
        <w:textAlignment w:val="auto"/>
        <w:outlineLvl w:val="9"/>
        <w:rPr>
          <w:rFonts w:hint="eastAsia" w:ascii="仿宋" w:hAnsi="仿宋" w:eastAsia="仿宋" w:cs="仿宋"/>
          <w:kern w:val="2"/>
          <w:sz w:val="32"/>
          <w:szCs w:val="32"/>
          <w:lang w:val="zh-CN" w:eastAsia="zh-CN" w:bidi="ar-SA"/>
        </w:rPr>
      </w:pPr>
      <w:r>
        <w:rPr>
          <w:rFonts w:hint="eastAsia" w:ascii="仿宋" w:hAnsi="仿宋" w:eastAsia="仿宋" w:cs="仿宋"/>
          <w:kern w:val="2"/>
          <w:sz w:val="32"/>
          <w:szCs w:val="32"/>
          <w:lang w:val="en-US" w:eastAsia="zh-CN" w:bidi="ar-SA"/>
        </w:rPr>
        <w:t>（2）支出执行进度：部门1-6月、1-10月</w:t>
      </w:r>
      <w:r>
        <w:rPr>
          <w:rFonts w:hint="eastAsia" w:ascii="仿宋" w:hAnsi="仿宋" w:eastAsia="仿宋" w:cs="仿宋"/>
          <w:kern w:val="2"/>
          <w:sz w:val="32"/>
          <w:szCs w:val="32"/>
          <w:lang w:val="zh-CN" w:eastAsia="zh-CN" w:bidi="ar-SA"/>
        </w:rPr>
        <w:t>经费支出</w:t>
      </w:r>
      <w:r>
        <w:rPr>
          <w:rFonts w:hint="eastAsia" w:ascii="仿宋" w:hAnsi="仿宋" w:eastAsia="仿宋" w:cs="仿宋"/>
          <w:kern w:val="2"/>
          <w:sz w:val="32"/>
          <w:szCs w:val="32"/>
          <w:lang w:val="en-US" w:eastAsia="zh-CN" w:bidi="ar-SA"/>
        </w:rPr>
        <w:t>严格执行预算计划，按时完成。</w:t>
      </w:r>
      <w:r>
        <w:rPr>
          <w:rFonts w:hint="eastAsia" w:ascii="仿宋" w:hAnsi="仿宋" w:eastAsia="仿宋" w:cs="仿宋"/>
          <w:kern w:val="2"/>
          <w:sz w:val="32"/>
          <w:szCs w:val="32"/>
          <w:lang w:val="zh-CN" w:eastAsia="zh-CN" w:bidi="ar-SA"/>
        </w:rPr>
        <w:t>全年基本支出预算</w:t>
      </w:r>
      <w:r>
        <w:rPr>
          <w:rFonts w:hint="eastAsia" w:ascii="仿宋" w:hAnsi="仿宋" w:eastAsia="仿宋" w:cs="仿宋"/>
          <w:kern w:val="2"/>
          <w:sz w:val="32"/>
          <w:szCs w:val="32"/>
          <w:lang w:val="en-US" w:eastAsia="zh-CN" w:bidi="ar-SA"/>
        </w:rPr>
        <w:t>1136.08万元</w:t>
      </w:r>
      <w:r>
        <w:rPr>
          <w:rFonts w:hint="eastAsia" w:ascii="仿宋" w:hAnsi="仿宋" w:eastAsia="仿宋" w:cs="仿宋"/>
          <w:kern w:val="2"/>
          <w:sz w:val="32"/>
          <w:szCs w:val="32"/>
          <w:lang w:val="zh-CN" w:eastAsia="zh-CN" w:bidi="ar-SA"/>
        </w:rPr>
        <w:t>、项目支出预算</w:t>
      </w:r>
      <w:r>
        <w:rPr>
          <w:rFonts w:hint="eastAsia" w:ascii="仿宋" w:hAnsi="仿宋" w:eastAsia="仿宋" w:cs="仿宋"/>
          <w:kern w:val="2"/>
          <w:sz w:val="32"/>
          <w:szCs w:val="32"/>
          <w:lang w:val="en-US" w:eastAsia="zh-CN" w:bidi="ar-SA"/>
        </w:rPr>
        <w:t>498.88万</w:t>
      </w:r>
      <w:r>
        <w:rPr>
          <w:rFonts w:hint="eastAsia" w:ascii="仿宋" w:hAnsi="仿宋" w:eastAsia="仿宋" w:cs="仿宋"/>
          <w:kern w:val="2"/>
          <w:sz w:val="32"/>
          <w:szCs w:val="32"/>
          <w:lang w:val="zh-CN" w:eastAsia="zh-CN" w:bidi="ar-SA"/>
        </w:rPr>
        <w:t>元，</w:t>
      </w:r>
      <w:r>
        <w:rPr>
          <w:rFonts w:hint="eastAsia" w:ascii="仿宋" w:hAnsi="仿宋" w:eastAsia="仿宋" w:cs="仿宋"/>
          <w:kern w:val="2"/>
          <w:sz w:val="32"/>
          <w:szCs w:val="32"/>
          <w:lang w:val="en-US" w:eastAsia="zh-CN" w:bidi="ar-SA"/>
        </w:rPr>
        <w:t>严格按照预算执行无超支情况</w:t>
      </w:r>
      <w:r>
        <w:rPr>
          <w:rFonts w:hint="eastAsia" w:ascii="仿宋" w:hAnsi="仿宋" w:eastAsia="仿宋" w:cs="仿宋"/>
          <w:kern w:val="2"/>
          <w:sz w:val="32"/>
          <w:szCs w:val="32"/>
          <w:lang w:val="zh-CN" w:eastAsia="zh-CN" w:bidi="ar-SA"/>
        </w:rPr>
        <w:t>。</w:t>
      </w:r>
    </w:p>
    <w:p w14:paraId="74305F2A">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contextualSpacing/>
        <w:jc w:val="left"/>
        <w:textAlignment w:val="auto"/>
        <w:outlineLvl w:val="9"/>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（3）一般性支出：部门严控“三公”经费、会议、培训、差旅、办公设备购置、信息网络及软件购置更新等一般性支出。</w:t>
      </w:r>
    </w:p>
    <w:p w14:paraId="02EA8D16">
      <w:pPr>
        <w:keepNext w:val="0"/>
        <w:keepLines w:val="0"/>
        <w:pageBreakBefore w:val="0"/>
        <w:widowControl w:val="0"/>
        <w:kinsoku/>
        <w:wordWrap/>
        <w:overflowPunct/>
        <w:topLinePunct w:val="0"/>
        <w:autoSpaceDE/>
        <w:autoSpaceDN/>
        <w:adjustRightInd w:val="0"/>
        <w:snapToGrid w:val="0"/>
        <w:spacing w:line="560" w:lineRule="exact"/>
        <w:ind w:left="0" w:firstLine="640" w:firstLineChars="200"/>
        <w:contextualSpacing/>
        <w:jc w:val="left"/>
        <w:rPr>
          <w:rFonts w:hint="default" w:ascii="Times New Roman" w:hAnsi="Times New Roman" w:eastAsia="方正仿宋_GBK"/>
          <w:color w:val="000000"/>
          <w:kern w:val="0"/>
          <w:sz w:val="32"/>
          <w:szCs w:val="32"/>
          <w:highlight w:val="none"/>
          <w:shd w:val="clear" w:color="auto" w:fill="FFFFFF"/>
          <w:lang w:val="zh-CN" w:eastAsia="zh-CN"/>
        </w:rPr>
      </w:pPr>
      <w:r>
        <w:rPr>
          <w:rFonts w:hint="default" w:ascii="Times New Roman" w:hAnsi="Times New Roman" w:eastAsia="方正仿宋_GBK"/>
          <w:color w:val="000000"/>
          <w:kern w:val="0"/>
          <w:sz w:val="32"/>
          <w:szCs w:val="32"/>
          <w:highlight w:val="none"/>
          <w:shd w:val="clear" w:color="auto" w:fill="FFFFFF"/>
          <w:lang w:val="zh-CN" w:eastAsia="zh-CN"/>
        </w:rPr>
        <w:t>3.财务管理</w:t>
      </w:r>
    </w:p>
    <w:p w14:paraId="626A5A52">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contextualSpacing/>
        <w:jc w:val="left"/>
        <w:textAlignment w:val="auto"/>
        <w:outlineLvl w:val="9"/>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(1)</w:t>
      </w:r>
      <w:r>
        <w:rPr>
          <w:rFonts w:hint="eastAsia" w:ascii="仿宋" w:hAnsi="仿宋" w:eastAsia="仿宋" w:cs="仿宋"/>
          <w:kern w:val="2"/>
          <w:sz w:val="32"/>
          <w:szCs w:val="32"/>
          <w:lang w:val="zh-CN" w:eastAsia="zh-CN" w:bidi="ar-SA"/>
        </w:rPr>
        <w:t>财务管理制度</w:t>
      </w:r>
      <w:r>
        <w:rPr>
          <w:rFonts w:hint="eastAsia" w:ascii="仿宋" w:hAnsi="仿宋" w:eastAsia="仿宋" w:cs="仿宋"/>
          <w:kern w:val="2"/>
          <w:sz w:val="32"/>
          <w:szCs w:val="32"/>
          <w:lang w:val="en-US" w:eastAsia="zh-CN" w:bidi="ar-SA"/>
        </w:rPr>
        <w:t>:现有财务制度体系基本健全，覆盖收支管理、报销审批、预算管理等关键环节，能够依规约束财务运行、规范业务流程，制度执行整体到位、有章可循。但部分制度更新不及时，与现行政策、单位业务新需求衔接不够；制度宣传学习和落地执行力度不均，部分业务环节仍存在凭经验办事、制度执行刚性不足。</w:t>
      </w:r>
    </w:p>
    <w:p w14:paraId="3928FAEC">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contextualSpacing/>
        <w:jc w:val="left"/>
        <w:textAlignment w:val="auto"/>
        <w:outlineLvl w:val="9"/>
        <w:rPr>
          <w:rFonts w:hint="eastAsia" w:ascii="仿宋" w:hAnsi="仿宋" w:eastAsia="仿宋" w:cs="仿宋"/>
          <w:kern w:val="2"/>
          <w:sz w:val="32"/>
          <w:szCs w:val="32"/>
          <w:rtl w:val="0"/>
          <w:lang w:val="en-US" w:eastAsia="zh-CN" w:bidi="ar-SA"/>
        </w:rPr>
      </w:pPr>
      <w:r>
        <w:rPr>
          <w:rFonts w:hint="eastAsia" w:ascii="仿宋" w:hAnsi="仿宋" w:eastAsia="仿宋" w:cs="仿宋"/>
          <w:kern w:val="2"/>
          <w:sz w:val="32"/>
          <w:szCs w:val="32"/>
          <w:lang w:val="en-US" w:eastAsia="zh-CN" w:bidi="ar-SA"/>
        </w:rPr>
        <w:t>(2)</w:t>
      </w:r>
      <w:r>
        <w:rPr>
          <w:rFonts w:hint="eastAsia" w:ascii="仿宋" w:hAnsi="仿宋" w:eastAsia="仿宋" w:cs="仿宋"/>
          <w:kern w:val="2"/>
          <w:sz w:val="32"/>
          <w:szCs w:val="32"/>
          <w:lang w:val="zh-CN" w:eastAsia="zh-CN" w:bidi="ar-SA"/>
        </w:rPr>
        <w:t>财务岗位设置</w:t>
      </w:r>
      <w:r>
        <w:rPr>
          <w:rFonts w:hint="eastAsia" w:ascii="仿宋" w:hAnsi="仿宋" w:eastAsia="仿宋" w:cs="仿宋"/>
          <w:kern w:val="2"/>
          <w:sz w:val="32"/>
          <w:szCs w:val="32"/>
          <w:lang w:val="en-US" w:eastAsia="zh-CN" w:bidi="ar-SA"/>
        </w:rPr>
        <w:t>:财务岗位按不相容岗位分离原则设置，分工清晰、权责明确，涵盖核算、出纳、审核、资产管理等关键岗位，能够满足日常财务核算、收支审核、账务管理履职需要。但</w:t>
      </w:r>
      <w:r>
        <w:rPr>
          <w:rFonts w:hint="eastAsia" w:ascii="仿宋" w:hAnsi="仿宋" w:eastAsia="仿宋" w:cs="仿宋"/>
          <w:kern w:val="2"/>
          <w:sz w:val="32"/>
          <w:szCs w:val="32"/>
          <w:lang w:val="zh-CN" w:eastAsia="zh-CN" w:bidi="ar-SA"/>
        </w:rPr>
        <w:t>目前资产管理专职岗位暂无专业人员担任，由其他岗位人员兼职，岗位专业化配置有待进一步优化完善。</w:t>
      </w:r>
    </w:p>
    <w:p w14:paraId="1318EBC7">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contextualSpacing/>
        <w:jc w:val="left"/>
        <w:textAlignment w:val="auto"/>
        <w:outlineLvl w:val="9"/>
        <w:rPr>
          <w:rFonts w:hint="default"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(3)</w:t>
      </w:r>
      <w:r>
        <w:rPr>
          <w:rFonts w:hint="eastAsia" w:ascii="仿宋" w:hAnsi="仿宋" w:eastAsia="仿宋" w:cs="仿宋"/>
          <w:kern w:val="2"/>
          <w:sz w:val="32"/>
          <w:szCs w:val="32"/>
          <w:lang w:val="zh-CN" w:eastAsia="zh-CN" w:bidi="ar-SA"/>
        </w:rPr>
        <w:t>资金使用</w:t>
      </w:r>
      <w:r>
        <w:rPr>
          <w:rFonts w:hint="eastAsia" w:ascii="仿宋" w:hAnsi="仿宋" w:eastAsia="仿宋" w:cs="仿宋"/>
          <w:kern w:val="2"/>
          <w:sz w:val="32"/>
          <w:szCs w:val="32"/>
          <w:lang w:val="en-US" w:eastAsia="zh-CN" w:bidi="ar-SA"/>
        </w:rPr>
        <w:t>情况</w:t>
      </w:r>
      <w:r>
        <w:rPr>
          <w:rFonts w:hint="eastAsia" w:ascii="仿宋" w:hAnsi="仿宋" w:eastAsia="仿宋" w:cs="仿宋"/>
          <w:kern w:val="2"/>
          <w:sz w:val="32"/>
          <w:szCs w:val="32"/>
          <w:lang w:val="zh-CN" w:eastAsia="zh-CN" w:bidi="ar-SA"/>
        </w:rPr>
        <w:t>规范：</w:t>
      </w:r>
      <w:r>
        <w:rPr>
          <w:rFonts w:hint="eastAsia" w:ascii="仿宋" w:hAnsi="仿宋" w:eastAsia="仿宋" w:cs="仿宋"/>
          <w:kern w:val="2"/>
          <w:sz w:val="32"/>
          <w:szCs w:val="32"/>
          <w:lang w:val="en-US" w:eastAsia="zh-CN" w:bidi="ar-SA"/>
        </w:rPr>
        <w:t>资金严格按照市级财政要求执行，合理安排资金使用方式，无超支情况。</w:t>
      </w:r>
    </w:p>
    <w:p w14:paraId="30B7446A">
      <w:pPr>
        <w:keepNext w:val="0"/>
        <w:keepLines w:val="0"/>
        <w:pageBreakBefore w:val="0"/>
        <w:widowControl w:val="0"/>
        <w:kinsoku/>
        <w:wordWrap/>
        <w:overflowPunct/>
        <w:topLinePunct w:val="0"/>
        <w:autoSpaceDE/>
        <w:autoSpaceDN/>
        <w:adjustRightInd w:val="0"/>
        <w:snapToGrid w:val="0"/>
        <w:spacing w:line="560" w:lineRule="exact"/>
        <w:ind w:left="0" w:firstLine="640" w:firstLineChars="200"/>
        <w:contextualSpacing/>
        <w:jc w:val="left"/>
        <w:rPr>
          <w:rFonts w:hint="default" w:ascii="Times New Roman" w:hAnsi="Times New Roman" w:eastAsia="方正仿宋_GBK"/>
          <w:color w:val="000000"/>
          <w:kern w:val="0"/>
          <w:sz w:val="32"/>
          <w:szCs w:val="32"/>
          <w:highlight w:val="none"/>
          <w:shd w:val="clear" w:color="auto" w:fill="FFFFFF"/>
          <w:lang w:val="zh-CN" w:eastAsia="zh-CN"/>
        </w:rPr>
      </w:pPr>
      <w:r>
        <w:rPr>
          <w:rFonts w:hint="default" w:ascii="Times New Roman" w:hAnsi="Times New Roman" w:eastAsia="方正仿宋_GBK"/>
          <w:color w:val="000000"/>
          <w:kern w:val="0"/>
          <w:sz w:val="32"/>
          <w:szCs w:val="32"/>
          <w:highlight w:val="none"/>
          <w:shd w:val="clear" w:color="auto" w:fill="FFFFFF"/>
          <w:lang w:val="zh-CN" w:eastAsia="zh-CN"/>
        </w:rPr>
        <w:t>4.资产管理</w:t>
      </w:r>
    </w:p>
    <w:p w14:paraId="1DAC103B">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contextualSpacing/>
        <w:jc w:val="left"/>
        <w:textAlignment w:val="auto"/>
        <w:outlineLvl w:val="9"/>
        <w:rPr>
          <w:rFonts w:hint="eastAsia" w:ascii="仿宋" w:hAnsi="仿宋" w:eastAsia="仿宋" w:cs="仿宋"/>
          <w:i w:val="0"/>
          <w:iCs w:val="0"/>
          <w:kern w:val="2"/>
          <w:sz w:val="32"/>
          <w:szCs w:val="32"/>
          <w:lang w:val="zh-CN" w:eastAsia="zh-CN" w:bidi="ar-SA"/>
        </w:rPr>
      </w:pPr>
      <w:r>
        <w:rPr>
          <w:rFonts w:hint="eastAsia" w:ascii="仿宋" w:hAnsi="仿宋" w:eastAsia="仿宋" w:cs="仿宋"/>
          <w:kern w:val="2"/>
          <w:sz w:val="32"/>
          <w:szCs w:val="32"/>
          <w:lang w:val="zh-CN" w:eastAsia="zh-CN" w:bidi="ar-SA"/>
        </w:rPr>
        <w:t>人均资产变化率方面：现有人均资产变化率</w:t>
      </w:r>
      <w:r>
        <w:rPr>
          <w:rFonts w:hint="eastAsia" w:ascii="仿宋" w:hAnsi="仿宋" w:eastAsia="仿宋" w:cs="仿宋"/>
          <w:kern w:val="2"/>
          <w:sz w:val="32"/>
          <w:szCs w:val="32"/>
          <w:lang w:val="en-US" w:eastAsia="zh-CN" w:bidi="ar-SA"/>
        </w:rPr>
        <w:t>高，分析主要原因是专职管理人员缺位，导致部分存量</w:t>
      </w:r>
      <w:r>
        <w:rPr>
          <w:rFonts w:hint="eastAsia" w:ascii="仿宋" w:hAnsi="仿宋" w:eastAsia="仿宋" w:cs="仿宋"/>
          <w:kern w:val="2"/>
          <w:sz w:val="32"/>
          <w:szCs w:val="32"/>
          <w:lang w:val="zh-CN" w:eastAsia="zh-CN" w:bidi="ar-SA"/>
        </w:rPr>
        <w:t>资产清理不及时，存在部分应报废未报废资产，造成人均配置资产偏高；资产利用率方面：现有资产基本保障日常运转，且能充分利用，但是重采购轻管护问题，缺乏动态监管和共享调剂；资产盘活率：虽完成常规清查处置工作，但存在存量底数摸排不细致，跨部门调剂机制不畅等问题。</w:t>
      </w:r>
    </w:p>
    <w:p w14:paraId="05871057">
      <w:pPr>
        <w:keepNext w:val="0"/>
        <w:keepLines w:val="0"/>
        <w:pageBreakBefore w:val="0"/>
        <w:widowControl w:val="0"/>
        <w:kinsoku/>
        <w:wordWrap/>
        <w:overflowPunct/>
        <w:topLinePunct w:val="0"/>
        <w:autoSpaceDE/>
        <w:autoSpaceDN/>
        <w:adjustRightInd w:val="0"/>
        <w:snapToGrid w:val="0"/>
        <w:spacing w:line="560" w:lineRule="exact"/>
        <w:ind w:left="0" w:firstLine="640" w:firstLineChars="200"/>
        <w:contextualSpacing/>
        <w:jc w:val="left"/>
        <w:rPr>
          <w:rFonts w:hint="default" w:ascii="Times New Roman" w:hAnsi="Times New Roman" w:eastAsia="方正仿宋_GBK"/>
          <w:color w:val="000000"/>
          <w:kern w:val="0"/>
          <w:sz w:val="32"/>
          <w:szCs w:val="32"/>
          <w:highlight w:val="none"/>
          <w:shd w:val="clear" w:color="auto" w:fill="FFFFFF"/>
          <w:lang w:val="zh-CN" w:eastAsia="zh-CN"/>
        </w:rPr>
      </w:pPr>
      <w:r>
        <w:rPr>
          <w:rFonts w:hint="default" w:ascii="Times New Roman" w:hAnsi="Times New Roman" w:eastAsia="方正仿宋_GBK"/>
          <w:color w:val="000000"/>
          <w:kern w:val="0"/>
          <w:sz w:val="32"/>
          <w:szCs w:val="32"/>
          <w:highlight w:val="none"/>
          <w:shd w:val="clear" w:color="auto" w:fill="FFFFFF"/>
          <w:lang w:val="zh-CN" w:eastAsia="zh-CN"/>
        </w:rPr>
        <w:t>5.采购管理</w:t>
      </w:r>
    </w:p>
    <w:p w14:paraId="690F6078">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contextualSpacing/>
        <w:jc w:val="left"/>
        <w:textAlignment w:val="auto"/>
        <w:outlineLvl w:val="9"/>
        <w:rPr>
          <w:rFonts w:hint="default"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全年执行采购次数大于10次，采购支出30.08万元，采购执行率较高，均能满足办案业务的需要。中小企业能够及时获得资金支持，这对于资金相对紧张的中小企业来说有助于维持企业运营、扩大生产规模。</w:t>
      </w:r>
    </w:p>
    <w:p w14:paraId="259ECDD8">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contextualSpacing/>
        <w:jc w:val="left"/>
        <w:textAlignment w:val="auto"/>
        <w:outlineLvl w:val="9"/>
        <w:rPr>
          <w:rFonts w:hint="default" w:ascii="Times New Roman" w:hAnsi="Times New Roman" w:eastAsia="方正仿宋_GBK"/>
          <w:color w:val="000000"/>
          <w:kern w:val="0"/>
          <w:sz w:val="32"/>
          <w:szCs w:val="32"/>
          <w:highlight w:val="none"/>
          <w:shd w:val="clear" w:color="auto" w:fill="FFFFFF"/>
          <w:lang w:val="en-US" w:eastAsia="zh-CN"/>
        </w:rPr>
      </w:pPr>
      <w:r>
        <w:rPr>
          <w:rFonts w:hint="eastAsia" w:ascii="方正楷体_GBK" w:hAnsi="Calibri" w:eastAsia="方正楷体_GBK"/>
          <w:color w:val="000000"/>
          <w:kern w:val="0"/>
          <w:sz w:val="32"/>
          <w:szCs w:val="32"/>
          <w:highlight w:val="none"/>
          <w:shd w:val="clear" w:color="auto" w:fill="FFFFFF"/>
          <w:lang w:val="zh-CN" w:eastAsia="zh-CN"/>
        </w:rPr>
        <w:t>（二）部门预算项目绩效分析</w:t>
      </w:r>
    </w:p>
    <w:p w14:paraId="23A918D7">
      <w:pPr>
        <w:keepNext w:val="0"/>
        <w:keepLines w:val="0"/>
        <w:pageBreakBefore w:val="0"/>
        <w:widowControl w:val="0"/>
        <w:kinsoku/>
        <w:wordWrap/>
        <w:overflowPunct/>
        <w:topLinePunct w:val="0"/>
        <w:autoSpaceDE/>
        <w:autoSpaceDN/>
        <w:bidi w:val="0"/>
        <w:adjustRightInd w:val="0"/>
        <w:snapToGrid w:val="0"/>
        <w:spacing w:line="560" w:lineRule="exact"/>
        <w:ind w:left="0" w:firstLine="640" w:firstLineChars="200"/>
        <w:contextualSpacing/>
        <w:jc w:val="left"/>
        <w:textAlignment w:val="auto"/>
        <w:outlineLvl w:val="9"/>
        <w:rPr>
          <w:rFonts w:hint="default" w:ascii="Times New Roman" w:hAnsi="Times New Roman" w:eastAsia="方正仿宋_GBK"/>
          <w:color w:val="000000"/>
          <w:kern w:val="0"/>
          <w:sz w:val="32"/>
          <w:szCs w:val="32"/>
          <w:highlight w:val="none"/>
          <w:shd w:val="clear" w:color="auto" w:fill="FFFFFF"/>
          <w:lang w:val="en-US" w:eastAsia="zh-CN"/>
        </w:rPr>
      </w:pPr>
      <w:r>
        <w:rPr>
          <w:rFonts w:hint="default" w:ascii="Times New Roman" w:hAnsi="Times New Roman" w:eastAsia="方正仿宋_GBK"/>
          <w:color w:val="000000"/>
          <w:kern w:val="0"/>
          <w:sz w:val="32"/>
          <w:szCs w:val="32"/>
          <w:highlight w:val="none"/>
          <w:shd w:val="clear" w:color="auto" w:fill="FFFFFF"/>
          <w:lang w:val="en-US" w:eastAsia="zh-CN"/>
        </w:rPr>
        <w:t>常年项目绩效分析</w:t>
      </w:r>
    </w:p>
    <w:p w14:paraId="59AC52D8">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contextualSpacing/>
        <w:jc w:val="left"/>
        <w:textAlignment w:val="auto"/>
        <w:outlineLvl w:val="9"/>
        <w:rPr>
          <w:rFonts w:hint="eastAsia" w:ascii="仿宋" w:hAnsi="仿宋" w:eastAsia="仿宋" w:cs="仿宋"/>
          <w:color w:val="000000"/>
          <w:kern w:val="0"/>
          <w:sz w:val="32"/>
          <w:szCs w:val="32"/>
          <w:highlight w:val="none"/>
          <w:shd w:val="clear" w:color="auto" w:fill="FFFFFF"/>
          <w:lang w:val="zh-CN" w:eastAsia="zh-CN"/>
        </w:rPr>
      </w:pPr>
      <w:r>
        <w:rPr>
          <w:rFonts w:hint="eastAsia" w:ascii="仿宋" w:hAnsi="仿宋" w:eastAsia="仿宋" w:cs="仿宋"/>
          <w:kern w:val="2"/>
          <w:sz w:val="32"/>
          <w:szCs w:val="32"/>
          <w:lang w:val="zh-CN" w:eastAsia="zh-CN" w:bidi="ar-SA"/>
        </w:rPr>
        <w:t>该类项目总数</w:t>
      </w:r>
      <w:r>
        <w:rPr>
          <w:rFonts w:hint="eastAsia" w:ascii="仿宋" w:hAnsi="仿宋" w:eastAsia="仿宋" w:cs="仿宋"/>
          <w:kern w:val="2"/>
          <w:sz w:val="32"/>
          <w:szCs w:val="32"/>
          <w:lang w:val="en-US" w:eastAsia="zh-CN" w:bidi="ar-SA"/>
        </w:rPr>
        <w:t>2</w:t>
      </w:r>
      <w:r>
        <w:rPr>
          <w:rFonts w:hint="eastAsia" w:ascii="仿宋" w:hAnsi="仿宋" w:eastAsia="仿宋" w:cs="仿宋"/>
          <w:kern w:val="2"/>
          <w:sz w:val="32"/>
          <w:szCs w:val="32"/>
          <w:lang w:val="zh-CN" w:eastAsia="zh-CN" w:bidi="ar-SA"/>
        </w:rPr>
        <w:t>个，涉及预算总金额</w:t>
      </w:r>
      <w:r>
        <w:rPr>
          <w:rFonts w:hint="eastAsia" w:ascii="仿宋" w:hAnsi="仿宋" w:eastAsia="仿宋" w:cs="仿宋"/>
          <w:kern w:val="2"/>
          <w:sz w:val="32"/>
          <w:szCs w:val="32"/>
          <w:lang w:val="en-US" w:eastAsia="zh-CN" w:bidi="ar-SA"/>
        </w:rPr>
        <w:t>161.6</w:t>
      </w:r>
      <w:r>
        <w:rPr>
          <w:rFonts w:hint="eastAsia" w:ascii="仿宋" w:hAnsi="仿宋" w:eastAsia="仿宋" w:cs="仿宋"/>
          <w:kern w:val="2"/>
          <w:sz w:val="32"/>
          <w:szCs w:val="32"/>
          <w:lang w:val="zh-CN" w:eastAsia="zh-CN" w:bidi="ar-SA"/>
        </w:rPr>
        <w:t>万元，1—1</w:t>
      </w:r>
      <w:r>
        <w:rPr>
          <w:rFonts w:hint="eastAsia" w:ascii="仿宋" w:hAnsi="仿宋" w:eastAsia="仿宋" w:cs="仿宋"/>
          <w:kern w:val="2"/>
          <w:sz w:val="32"/>
          <w:szCs w:val="32"/>
          <w:lang w:val="en-US" w:eastAsia="zh-CN" w:bidi="ar-SA"/>
        </w:rPr>
        <w:t>2</w:t>
      </w:r>
      <w:r>
        <w:rPr>
          <w:rFonts w:hint="eastAsia" w:ascii="仿宋" w:hAnsi="仿宋" w:eastAsia="仿宋" w:cs="仿宋"/>
          <w:kern w:val="2"/>
          <w:sz w:val="32"/>
          <w:szCs w:val="32"/>
          <w:lang w:val="zh-CN" w:eastAsia="zh-CN" w:bidi="ar-SA"/>
        </w:rPr>
        <w:t>月预算执行总体进度为</w:t>
      </w:r>
      <w:r>
        <w:rPr>
          <w:rFonts w:hint="eastAsia" w:ascii="仿宋" w:hAnsi="仿宋" w:eastAsia="仿宋" w:cs="仿宋"/>
          <w:kern w:val="2"/>
          <w:sz w:val="32"/>
          <w:szCs w:val="32"/>
          <w:lang w:val="en-US" w:eastAsia="zh-CN" w:bidi="ar-SA"/>
        </w:rPr>
        <w:t>100</w:t>
      </w:r>
      <w:r>
        <w:rPr>
          <w:rFonts w:hint="eastAsia" w:ascii="仿宋" w:hAnsi="仿宋" w:eastAsia="仿宋" w:cs="仿宋"/>
          <w:kern w:val="2"/>
          <w:sz w:val="32"/>
          <w:szCs w:val="32"/>
          <w:lang w:val="zh-CN" w:eastAsia="zh-CN" w:bidi="ar-SA"/>
        </w:rPr>
        <w:t>%，其中：预算结余率大于</w:t>
      </w:r>
      <w:r>
        <w:rPr>
          <w:rFonts w:hint="eastAsia" w:ascii="仿宋" w:hAnsi="仿宋" w:eastAsia="仿宋" w:cs="仿宋"/>
          <w:kern w:val="2"/>
          <w:sz w:val="32"/>
          <w:szCs w:val="32"/>
          <w:lang w:val="en-US" w:eastAsia="zh-CN" w:bidi="ar-SA"/>
        </w:rPr>
        <w:t>10%</w:t>
      </w:r>
      <w:r>
        <w:rPr>
          <w:rFonts w:hint="eastAsia" w:ascii="仿宋" w:hAnsi="仿宋" w:eastAsia="仿宋" w:cs="仿宋"/>
          <w:kern w:val="2"/>
          <w:sz w:val="32"/>
          <w:szCs w:val="32"/>
          <w:lang w:val="zh-CN" w:eastAsia="zh-CN" w:bidi="ar-SA"/>
        </w:rPr>
        <w:t>的项目共计</w:t>
      </w:r>
      <w:r>
        <w:rPr>
          <w:rFonts w:hint="eastAsia" w:ascii="仿宋" w:hAnsi="仿宋" w:eastAsia="仿宋" w:cs="仿宋"/>
          <w:kern w:val="2"/>
          <w:sz w:val="32"/>
          <w:szCs w:val="32"/>
          <w:lang w:val="en-US" w:eastAsia="zh-CN" w:bidi="ar-SA"/>
        </w:rPr>
        <w:t>0</w:t>
      </w:r>
      <w:r>
        <w:rPr>
          <w:rFonts w:hint="eastAsia" w:ascii="仿宋" w:hAnsi="仿宋" w:eastAsia="仿宋" w:cs="仿宋"/>
          <w:kern w:val="2"/>
          <w:sz w:val="32"/>
          <w:szCs w:val="32"/>
          <w:lang w:val="zh-CN" w:eastAsia="zh-CN" w:bidi="ar-SA"/>
        </w:rPr>
        <w:t>个。</w:t>
      </w:r>
    </w:p>
    <w:p w14:paraId="6BCADF63">
      <w:pPr>
        <w:keepNext w:val="0"/>
        <w:keepLines w:val="0"/>
        <w:pageBreakBefore w:val="0"/>
        <w:widowControl w:val="0"/>
        <w:kinsoku/>
        <w:wordWrap/>
        <w:overflowPunct/>
        <w:topLinePunct w:val="0"/>
        <w:autoSpaceDE/>
        <w:autoSpaceDN/>
        <w:bidi w:val="0"/>
        <w:adjustRightInd w:val="0"/>
        <w:snapToGrid w:val="0"/>
        <w:spacing w:line="560" w:lineRule="exact"/>
        <w:ind w:left="0" w:firstLine="640" w:firstLineChars="200"/>
        <w:contextualSpacing/>
        <w:jc w:val="left"/>
        <w:textAlignment w:val="auto"/>
        <w:outlineLvl w:val="9"/>
        <w:rPr>
          <w:rFonts w:hint="default" w:ascii="Times New Roman" w:hAnsi="Times New Roman" w:eastAsia="方正仿宋_GBK"/>
          <w:color w:val="000000"/>
          <w:kern w:val="0"/>
          <w:sz w:val="32"/>
          <w:szCs w:val="32"/>
          <w:highlight w:val="none"/>
          <w:shd w:val="clear" w:color="auto" w:fill="FFFFFF"/>
          <w:lang w:val="en-US" w:eastAsia="zh-CN"/>
        </w:rPr>
      </w:pPr>
      <w:r>
        <w:rPr>
          <w:rFonts w:hint="default" w:ascii="Times New Roman" w:hAnsi="Times New Roman" w:eastAsia="方正仿宋_GBK"/>
          <w:color w:val="000000"/>
          <w:kern w:val="0"/>
          <w:sz w:val="32"/>
          <w:szCs w:val="32"/>
          <w:highlight w:val="none"/>
          <w:shd w:val="clear" w:color="auto" w:fill="FFFFFF"/>
          <w:lang w:val="en-US" w:eastAsia="zh-CN"/>
        </w:rPr>
        <w:t>阶段（含一次性）项目绩效分析</w:t>
      </w:r>
    </w:p>
    <w:p w14:paraId="2B89F063">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contextualSpacing/>
        <w:jc w:val="left"/>
        <w:textAlignment w:val="auto"/>
        <w:outlineLvl w:val="9"/>
        <w:rPr>
          <w:rFonts w:hint="eastAsia" w:ascii="仿宋" w:hAnsi="仿宋" w:eastAsia="仿宋" w:cs="仿宋"/>
          <w:kern w:val="2"/>
          <w:sz w:val="32"/>
          <w:szCs w:val="32"/>
          <w:lang w:val="zh-CN" w:eastAsia="zh-CN" w:bidi="ar-SA"/>
        </w:rPr>
      </w:pPr>
      <w:r>
        <w:rPr>
          <w:rFonts w:hint="eastAsia" w:ascii="仿宋" w:hAnsi="仿宋" w:eastAsia="仿宋" w:cs="仿宋"/>
          <w:kern w:val="2"/>
          <w:sz w:val="32"/>
          <w:szCs w:val="32"/>
          <w:lang w:val="zh-CN" w:eastAsia="zh-CN" w:bidi="ar-SA"/>
        </w:rPr>
        <w:t>该类项目总数</w:t>
      </w:r>
      <w:r>
        <w:rPr>
          <w:rFonts w:hint="eastAsia" w:ascii="仿宋" w:hAnsi="仿宋" w:eastAsia="仿宋" w:cs="仿宋"/>
          <w:kern w:val="2"/>
          <w:sz w:val="32"/>
          <w:szCs w:val="32"/>
          <w:lang w:val="en-US" w:eastAsia="zh-CN" w:bidi="ar-SA"/>
        </w:rPr>
        <w:t>1</w:t>
      </w:r>
      <w:r>
        <w:rPr>
          <w:rFonts w:hint="eastAsia" w:ascii="仿宋" w:hAnsi="仿宋" w:eastAsia="仿宋" w:cs="仿宋"/>
          <w:kern w:val="2"/>
          <w:sz w:val="32"/>
          <w:szCs w:val="32"/>
          <w:lang w:val="zh-CN" w:eastAsia="zh-CN" w:bidi="ar-SA"/>
        </w:rPr>
        <w:t>个，涉及预算总金额</w:t>
      </w:r>
      <w:r>
        <w:rPr>
          <w:rFonts w:hint="eastAsia" w:ascii="仿宋" w:hAnsi="仿宋" w:eastAsia="仿宋" w:cs="仿宋"/>
          <w:kern w:val="2"/>
          <w:sz w:val="32"/>
          <w:szCs w:val="32"/>
          <w:lang w:val="en-US" w:eastAsia="zh-CN" w:bidi="ar-SA"/>
        </w:rPr>
        <w:t>3.4</w:t>
      </w:r>
      <w:r>
        <w:rPr>
          <w:rFonts w:hint="eastAsia" w:ascii="仿宋" w:hAnsi="仿宋" w:eastAsia="仿宋" w:cs="仿宋"/>
          <w:kern w:val="2"/>
          <w:sz w:val="32"/>
          <w:szCs w:val="32"/>
          <w:lang w:val="zh-CN" w:eastAsia="zh-CN" w:bidi="ar-SA"/>
        </w:rPr>
        <w:t>万元，1—1</w:t>
      </w:r>
      <w:r>
        <w:rPr>
          <w:rFonts w:hint="eastAsia" w:ascii="仿宋" w:hAnsi="仿宋" w:eastAsia="仿宋" w:cs="仿宋"/>
          <w:kern w:val="2"/>
          <w:sz w:val="32"/>
          <w:szCs w:val="32"/>
          <w:lang w:val="en-US" w:eastAsia="zh-CN" w:bidi="ar-SA"/>
        </w:rPr>
        <w:t>2</w:t>
      </w:r>
      <w:r>
        <w:rPr>
          <w:rFonts w:hint="eastAsia" w:ascii="仿宋" w:hAnsi="仿宋" w:eastAsia="仿宋" w:cs="仿宋"/>
          <w:kern w:val="2"/>
          <w:sz w:val="32"/>
          <w:szCs w:val="32"/>
          <w:lang w:val="zh-CN" w:eastAsia="zh-CN" w:bidi="ar-SA"/>
        </w:rPr>
        <w:t>月预算执行总体进度为</w:t>
      </w:r>
      <w:r>
        <w:rPr>
          <w:rFonts w:hint="eastAsia" w:ascii="仿宋" w:hAnsi="仿宋" w:eastAsia="仿宋" w:cs="仿宋"/>
          <w:kern w:val="2"/>
          <w:sz w:val="32"/>
          <w:szCs w:val="32"/>
          <w:lang w:val="en-US" w:eastAsia="zh-CN" w:bidi="ar-SA"/>
        </w:rPr>
        <w:t>100</w:t>
      </w:r>
      <w:r>
        <w:rPr>
          <w:rFonts w:hint="eastAsia" w:ascii="仿宋" w:hAnsi="仿宋" w:eastAsia="仿宋" w:cs="仿宋"/>
          <w:kern w:val="2"/>
          <w:sz w:val="32"/>
          <w:szCs w:val="32"/>
          <w:lang w:val="zh-CN" w:eastAsia="zh-CN" w:bidi="ar-SA"/>
        </w:rPr>
        <w:t>%，其中：预算结余率大于</w:t>
      </w:r>
      <w:r>
        <w:rPr>
          <w:rFonts w:hint="eastAsia" w:ascii="仿宋" w:hAnsi="仿宋" w:eastAsia="仿宋" w:cs="仿宋"/>
          <w:kern w:val="2"/>
          <w:sz w:val="32"/>
          <w:szCs w:val="32"/>
          <w:lang w:val="en-US" w:eastAsia="zh-CN" w:bidi="ar-SA"/>
        </w:rPr>
        <w:t>10%</w:t>
      </w:r>
      <w:r>
        <w:rPr>
          <w:rFonts w:hint="eastAsia" w:ascii="仿宋" w:hAnsi="仿宋" w:eastAsia="仿宋" w:cs="仿宋"/>
          <w:kern w:val="2"/>
          <w:sz w:val="32"/>
          <w:szCs w:val="32"/>
          <w:lang w:val="zh-CN" w:eastAsia="zh-CN" w:bidi="ar-SA"/>
        </w:rPr>
        <w:t>的项目共计</w:t>
      </w:r>
      <w:r>
        <w:rPr>
          <w:rFonts w:hint="eastAsia" w:ascii="仿宋" w:hAnsi="仿宋" w:eastAsia="仿宋" w:cs="仿宋"/>
          <w:kern w:val="2"/>
          <w:sz w:val="32"/>
          <w:szCs w:val="32"/>
          <w:lang w:val="en-US" w:eastAsia="zh-CN" w:bidi="ar-SA"/>
        </w:rPr>
        <w:t>0</w:t>
      </w:r>
      <w:r>
        <w:rPr>
          <w:rFonts w:hint="eastAsia" w:ascii="仿宋" w:hAnsi="仿宋" w:eastAsia="仿宋" w:cs="仿宋"/>
          <w:kern w:val="2"/>
          <w:sz w:val="32"/>
          <w:szCs w:val="32"/>
          <w:lang w:val="zh-CN" w:eastAsia="zh-CN" w:bidi="ar-SA"/>
        </w:rPr>
        <w:t>个。</w:t>
      </w:r>
    </w:p>
    <w:p w14:paraId="314C269F">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leftChars="200" w:firstLine="320" w:firstLineChars="100"/>
        <w:contextualSpacing/>
        <w:jc w:val="left"/>
        <w:textAlignment w:val="auto"/>
        <w:outlineLvl w:val="9"/>
        <w:rPr>
          <w:rFonts w:hint="default" w:ascii="Times New Roman" w:hAnsi="Times New Roman" w:eastAsia="方正仿宋_GBK"/>
          <w:color w:val="000000"/>
          <w:kern w:val="0"/>
          <w:sz w:val="32"/>
          <w:szCs w:val="32"/>
          <w:highlight w:val="none"/>
          <w:shd w:val="clear" w:color="auto" w:fill="FFFFFF"/>
          <w:lang w:val="zh-CN" w:eastAsia="zh-CN"/>
        </w:rPr>
      </w:pPr>
      <w:r>
        <w:rPr>
          <w:rFonts w:hint="default" w:ascii="Times New Roman" w:hAnsi="Times New Roman" w:eastAsia="方正仿宋_GBK"/>
          <w:color w:val="000000"/>
          <w:kern w:val="0"/>
          <w:sz w:val="32"/>
          <w:szCs w:val="32"/>
          <w:highlight w:val="none"/>
          <w:shd w:val="clear" w:color="auto" w:fill="FFFFFF"/>
          <w:lang w:val="en-US" w:eastAsia="zh-CN"/>
        </w:rPr>
        <w:t>1.</w:t>
      </w:r>
      <w:r>
        <w:rPr>
          <w:rFonts w:hint="default" w:ascii="Times New Roman" w:hAnsi="Times New Roman" w:eastAsia="方正仿宋_GBK"/>
          <w:color w:val="000000"/>
          <w:kern w:val="0"/>
          <w:sz w:val="32"/>
          <w:szCs w:val="32"/>
          <w:highlight w:val="none"/>
          <w:shd w:val="clear" w:color="auto" w:fill="FFFFFF"/>
          <w:lang w:val="zh-CN" w:eastAsia="zh-CN"/>
        </w:rPr>
        <w:t>项目决策。</w:t>
      </w:r>
    </w:p>
    <w:p w14:paraId="44FC6A50">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contextualSpacing/>
        <w:jc w:val="left"/>
        <w:textAlignment w:val="auto"/>
        <w:outlineLvl w:val="9"/>
        <w:rPr>
          <w:rFonts w:hint="eastAsia" w:ascii="仿宋" w:hAnsi="仿宋" w:eastAsia="仿宋" w:cs="仿宋"/>
          <w:kern w:val="2"/>
          <w:sz w:val="32"/>
          <w:szCs w:val="32"/>
          <w:lang w:val="zh-CN" w:eastAsia="zh-CN" w:bidi="ar-SA"/>
        </w:rPr>
      </w:pPr>
      <w:r>
        <w:rPr>
          <w:rFonts w:hint="eastAsia" w:ascii="仿宋" w:hAnsi="仿宋" w:eastAsia="仿宋" w:cs="仿宋"/>
          <w:kern w:val="2"/>
          <w:sz w:val="32"/>
          <w:szCs w:val="32"/>
          <w:lang w:val="zh-CN" w:eastAsia="zh-CN" w:bidi="ar-SA"/>
        </w:rPr>
        <w:t>该项目按照要求及时入库，合理决策，按科学设置目标。</w:t>
      </w:r>
    </w:p>
    <w:p w14:paraId="2C262601">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contextualSpacing/>
        <w:jc w:val="left"/>
        <w:textAlignment w:val="auto"/>
        <w:outlineLvl w:val="9"/>
        <w:rPr>
          <w:rFonts w:hint="default" w:ascii="Times New Roman" w:hAnsi="Times New Roman" w:eastAsia="方正仿宋_GBK"/>
          <w:color w:val="000000"/>
          <w:kern w:val="0"/>
          <w:sz w:val="32"/>
          <w:szCs w:val="32"/>
          <w:highlight w:val="none"/>
          <w:shd w:val="clear" w:color="auto" w:fill="FFFFFF"/>
          <w:lang w:val="en-US" w:eastAsia="zh-CN"/>
        </w:rPr>
      </w:pPr>
      <w:r>
        <w:rPr>
          <w:rFonts w:hint="default" w:ascii="Times New Roman" w:hAnsi="Times New Roman" w:eastAsia="方正仿宋_GBK"/>
          <w:color w:val="000000"/>
          <w:kern w:val="0"/>
          <w:sz w:val="32"/>
          <w:szCs w:val="32"/>
          <w:highlight w:val="none"/>
          <w:shd w:val="clear" w:color="auto" w:fill="FFFFFF"/>
          <w:lang w:val="en-US" w:eastAsia="zh-CN"/>
        </w:rPr>
        <w:t>2.项目执行</w:t>
      </w:r>
    </w:p>
    <w:p w14:paraId="2D75C0A1">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contextualSpacing/>
        <w:jc w:val="left"/>
        <w:textAlignment w:val="auto"/>
        <w:outlineLvl w:val="9"/>
        <w:rPr>
          <w:rFonts w:hint="default" w:ascii="Times New Roman" w:hAnsi="Times New Roman" w:eastAsia="楷体_GB2312" w:cs="Times New Roman"/>
          <w:color w:val="000000"/>
          <w:kern w:val="0"/>
          <w:sz w:val="32"/>
          <w:szCs w:val="32"/>
          <w:highlight w:val="none"/>
          <w:shd w:val="clear" w:color="auto" w:fill="FFFFFF"/>
          <w:lang w:val="zh-CN"/>
        </w:rPr>
      </w:pPr>
      <w:r>
        <w:rPr>
          <w:rFonts w:hint="default" w:ascii="仿宋" w:hAnsi="仿宋" w:eastAsia="仿宋" w:cs="仿宋"/>
          <w:kern w:val="2"/>
          <w:sz w:val="32"/>
          <w:szCs w:val="32"/>
          <w:lang w:val="zh-CN" w:eastAsia="zh-CN" w:bidi="ar-SA"/>
        </w:rPr>
        <w:t>项目资金执行合法合规合理、到位及时，项目调整符合相关规定、程序完备，执行结果达到预期水平，有较好的社会反响。</w:t>
      </w:r>
    </w:p>
    <w:p w14:paraId="4E2FD449">
      <w:pPr>
        <w:keepNext w:val="0"/>
        <w:keepLines w:val="0"/>
        <w:pageBreakBefore w:val="0"/>
        <w:widowControl w:val="0"/>
        <w:kinsoku/>
        <w:wordWrap/>
        <w:overflowPunct/>
        <w:topLinePunct w:val="0"/>
        <w:autoSpaceDE/>
        <w:autoSpaceDN/>
        <w:bidi w:val="0"/>
        <w:adjustRightInd w:val="0"/>
        <w:snapToGrid w:val="0"/>
        <w:spacing w:line="560" w:lineRule="exact"/>
        <w:ind w:left="0" w:firstLine="640" w:firstLineChars="200"/>
        <w:contextualSpacing/>
        <w:jc w:val="left"/>
        <w:textAlignment w:val="auto"/>
        <w:outlineLvl w:val="9"/>
        <w:rPr>
          <w:rFonts w:hint="default" w:ascii="Times New Roman" w:hAnsi="Times New Roman" w:eastAsia="方正仿宋_GBK"/>
          <w:color w:val="000000"/>
          <w:kern w:val="0"/>
          <w:sz w:val="32"/>
          <w:szCs w:val="32"/>
          <w:highlight w:val="none"/>
          <w:shd w:val="clear" w:color="auto" w:fill="FFFFFF"/>
          <w:lang w:val="zh-CN" w:eastAsia="zh-CN"/>
        </w:rPr>
      </w:pPr>
      <w:r>
        <w:rPr>
          <w:rFonts w:hint="default" w:ascii="Times New Roman" w:hAnsi="Times New Roman" w:eastAsia="方正仿宋_GBK"/>
          <w:color w:val="000000"/>
          <w:kern w:val="0"/>
          <w:sz w:val="32"/>
          <w:szCs w:val="32"/>
          <w:highlight w:val="none"/>
          <w:shd w:val="clear" w:color="auto" w:fill="FFFFFF"/>
          <w:lang w:val="en-US" w:eastAsia="zh-CN"/>
        </w:rPr>
        <w:t>3.</w:t>
      </w:r>
      <w:r>
        <w:rPr>
          <w:rFonts w:hint="default" w:ascii="Times New Roman" w:hAnsi="Times New Roman" w:eastAsia="方正仿宋_GBK"/>
          <w:color w:val="000000"/>
          <w:kern w:val="0"/>
          <w:sz w:val="32"/>
          <w:szCs w:val="32"/>
          <w:highlight w:val="none"/>
          <w:shd w:val="clear" w:color="auto" w:fill="FFFFFF"/>
          <w:lang w:val="zh-CN" w:eastAsia="zh-CN"/>
        </w:rPr>
        <w:t>目标实现</w:t>
      </w:r>
    </w:p>
    <w:p w14:paraId="36B603E1">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contextualSpacing/>
        <w:jc w:val="left"/>
        <w:textAlignment w:val="auto"/>
        <w:outlineLvl w:val="9"/>
        <w:rPr>
          <w:rFonts w:hint="default" w:ascii="仿宋" w:hAnsi="仿宋" w:eastAsia="仿宋" w:cs="仿宋"/>
          <w:kern w:val="2"/>
          <w:sz w:val="32"/>
          <w:szCs w:val="32"/>
          <w:lang w:val="zh-CN" w:eastAsia="zh-CN" w:bidi="ar-SA"/>
        </w:rPr>
      </w:pPr>
      <w:r>
        <w:rPr>
          <w:rFonts w:hint="eastAsia" w:ascii="仿宋" w:hAnsi="仿宋" w:eastAsia="仿宋" w:cs="仿宋"/>
          <w:kern w:val="2"/>
          <w:sz w:val="32"/>
          <w:szCs w:val="32"/>
          <w:lang w:val="zh-CN" w:eastAsia="zh-CN" w:bidi="ar-SA"/>
        </w:rPr>
        <w:t>项目经费目标全部完成，目标无偏离，</w:t>
      </w:r>
      <w:r>
        <w:rPr>
          <w:rFonts w:hint="default" w:ascii="仿宋" w:hAnsi="仿宋" w:eastAsia="仿宋" w:cs="仿宋"/>
          <w:kern w:val="2"/>
          <w:sz w:val="32"/>
          <w:szCs w:val="32"/>
          <w:lang w:val="zh-CN" w:eastAsia="zh-CN" w:bidi="ar-SA"/>
        </w:rPr>
        <w:t>较好</w:t>
      </w:r>
      <w:r>
        <w:rPr>
          <w:rFonts w:hint="eastAsia" w:ascii="仿宋" w:hAnsi="仿宋" w:eastAsia="仿宋" w:cs="仿宋"/>
          <w:kern w:val="2"/>
          <w:sz w:val="32"/>
          <w:szCs w:val="32"/>
          <w:lang w:val="en-US" w:eastAsia="zh-CN" w:bidi="ar-SA"/>
        </w:rPr>
        <w:t>地</w:t>
      </w:r>
      <w:r>
        <w:rPr>
          <w:rFonts w:hint="default" w:ascii="仿宋" w:hAnsi="仿宋" w:eastAsia="仿宋" w:cs="仿宋"/>
          <w:kern w:val="2"/>
          <w:sz w:val="32"/>
          <w:szCs w:val="32"/>
          <w:lang w:val="zh-CN" w:eastAsia="zh-CN" w:bidi="ar-SA"/>
        </w:rPr>
        <w:t>支持了我院在打击犯罪、法律监督、反腐败斗争、公益诉讼等职能方面的履职尽责。</w:t>
      </w:r>
    </w:p>
    <w:p w14:paraId="5554BC3B">
      <w:pPr>
        <w:keepNext w:val="0"/>
        <w:keepLines w:val="0"/>
        <w:pageBreakBefore w:val="0"/>
        <w:widowControl w:val="0"/>
        <w:kinsoku/>
        <w:wordWrap/>
        <w:overflowPunct/>
        <w:topLinePunct w:val="0"/>
        <w:autoSpaceDE/>
        <w:autoSpaceDN/>
        <w:bidi w:val="0"/>
        <w:snapToGrid w:val="0"/>
        <w:spacing w:line="560" w:lineRule="exact"/>
        <w:ind w:firstLine="640" w:firstLineChars="200"/>
        <w:textAlignment w:val="auto"/>
        <w:rPr>
          <w:rFonts w:hint="eastAsia" w:ascii="方正楷体_GBK" w:hAnsi="Calibri" w:eastAsia="方正楷体_GBK"/>
          <w:sz w:val="32"/>
          <w:szCs w:val="32"/>
          <w:lang w:val="zh-CN" w:eastAsia="zh-CN"/>
        </w:rPr>
      </w:pPr>
      <w:r>
        <w:rPr>
          <w:rFonts w:hint="eastAsia" w:ascii="方正楷体_GBK" w:hAnsi="Calibri" w:eastAsia="方正楷体_GBK"/>
          <w:color w:val="000000"/>
          <w:kern w:val="0"/>
          <w:sz w:val="32"/>
          <w:szCs w:val="32"/>
          <w:highlight w:val="none"/>
          <w:shd w:val="clear" w:color="auto" w:fill="FFFFFF"/>
          <w:lang w:val="zh-CN" w:eastAsia="zh-CN"/>
        </w:rPr>
        <w:t>（三）</w:t>
      </w:r>
      <w:r>
        <w:rPr>
          <w:rFonts w:hint="eastAsia" w:ascii="方正楷体_GBK" w:hAnsi="Calibri" w:eastAsia="方正楷体_GBK"/>
          <w:sz w:val="32"/>
          <w:szCs w:val="32"/>
          <w:lang w:val="zh-CN" w:eastAsia="zh-CN"/>
        </w:rPr>
        <w:t>绩效结果应用情况</w:t>
      </w:r>
    </w:p>
    <w:p w14:paraId="2291D7E4">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contextualSpacing/>
        <w:jc w:val="left"/>
        <w:textAlignment w:val="auto"/>
        <w:outlineLvl w:val="9"/>
        <w:rPr>
          <w:rFonts w:hint="eastAsia" w:ascii="仿宋" w:hAnsi="仿宋" w:eastAsia="仿宋" w:cs="仿宋"/>
          <w:kern w:val="2"/>
          <w:sz w:val="32"/>
          <w:szCs w:val="32"/>
          <w:lang w:val="zh-CN" w:eastAsia="zh-CN" w:bidi="ar-SA"/>
        </w:rPr>
      </w:pPr>
      <w:r>
        <w:rPr>
          <w:rFonts w:hint="eastAsia" w:ascii="仿宋" w:hAnsi="仿宋" w:eastAsia="仿宋" w:cs="仿宋"/>
          <w:kern w:val="2"/>
          <w:sz w:val="32"/>
          <w:szCs w:val="32"/>
          <w:lang w:val="en-US" w:eastAsia="zh-CN" w:bidi="ar-SA"/>
        </w:rPr>
        <w:t>1.</w:t>
      </w:r>
      <w:r>
        <w:rPr>
          <w:rFonts w:hint="eastAsia" w:ascii="仿宋" w:hAnsi="仿宋" w:eastAsia="仿宋" w:cs="仿宋"/>
          <w:kern w:val="2"/>
          <w:sz w:val="32"/>
          <w:szCs w:val="32"/>
          <w:lang w:val="zh-CN" w:eastAsia="zh-CN" w:bidi="ar-SA"/>
        </w:rPr>
        <w:t>内部应用情况：定期组织</w:t>
      </w:r>
      <w:r>
        <w:rPr>
          <w:rFonts w:hint="eastAsia" w:ascii="仿宋" w:hAnsi="仿宋" w:eastAsia="仿宋" w:cs="仿宋"/>
          <w:kern w:val="2"/>
          <w:sz w:val="32"/>
          <w:szCs w:val="32"/>
          <w:lang w:val="en-US" w:eastAsia="zh-CN" w:bidi="ar-SA"/>
        </w:rPr>
        <w:t>了单位</w:t>
      </w:r>
      <w:r>
        <w:rPr>
          <w:rFonts w:hint="eastAsia" w:ascii="仿宋" w:hAnsi="仿宋" w:eastAsia="仿宋" w:cs="仿宋"/>
          <w:kern w:val="2"/>
          <w:sz w:val="32"/>
          <w:szCs w:val="32"/>
          <w:lang w:val="zh-CN" w:eastAsia="zh-CN" w:bidi="ar-SA"/>
        </w:rPr>
        <w:t>内部经验交流会议，邀请绩效优异的部门分享经验，推广资产高效利用和盘活的优秀做法，促进各部门相互学习提升。</w:t>
      </w:r>
    </w:p>
    <w:p w14:paraId="33366BB6">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contextualSpacing/>
        <w:jc w:val="left"/>
        <w:textAlignment w:val="auto"/>
        <w:outlineLvl w:val="9"/>
        <w:rPr>
          <w:rFonts w:hint="eastAsia" w:ascii="仿宋" w:hAnsi="仿宋" w:eastAsia="仿宋" w:cs="仿宋"/>
          <w:kern w:val="2"/>
          <w:sz w:val="32"/>
          <w:szCs w:val="32"/>
          <w:lang w:val="zh-CN" w:eastAsia="zh-CN" w:bidi="ar-SA"/>
        </w:rPr>
      </w:pPr>
      <w:r>
        <w:rPr>
          <w:rFonts w:hint="eastAsia" w:ascii="仿宋" w:hAnsi="仿宋" w:eastAsia="仿宋" w:cs="仿宋"/>
          <w:kern w:val="2"/>
          <w:sz w:val="32"/>
          <w:szCs w:val="32"/>
          <w:lang w:val="en-US" w:eastAsia="zh-CN" w:bidi="ar-SA"/>
        </w:rPr>
        <w:t>2.</w:t>
      </w:r>
      <w:r>
        <w:rPr>
          <w:rFonts w:hint="eastAsia" w:ascii="仿宋" w:hAnsi="仿宋" w:eastAsia="仿宋" w:cs="仿宋"/>
          <w:kern w:val="2"/>
          <w:sz w:val="32"/>
          <w:szCs w:val="32"/>
          <w:lang w:val="zh-CN" w:eastAsia="zh-CN" w:bidi="ar-SA"/>
        </w:rPr>
        <w:t>信息公开情况：设立专门的意见反馈渠道，鼓励</w:t>
      </w:r>
      <w:r>
        <w:rPr>
          <w:rFonts w:hint="eastAsia" w:ascii="仿宋" w:hAnsi="仿宋" w:eastAsia="仿宋" w:cs="仿宋"/>
          <w:kern w:val="2"/>
          <w:sz w:val="32"/>
          <w:szCs w:val="32"/>
          <w:lang w:val="en-US" w:eastAsia="zh-CN" w:bidi="ar-SA"/>
        </w:rPr>
        <w:t>职工</w:t>
      </w:r>
      <w:r>
        <w:rPr>
          <w:rFonts w:hint="eastAsia" w:ascii="仿宋" w:hAnsi="仿宋" w:eastAsia="仿宋" w:cs="仿宋"/>
          <w:kern w:val="2"/>
          <w:sz w:val="32"/>
          <w:szCs w:val="32"/>
          <w:lang w:val="zh-CN" w:eastAsia="zh-CN" w:bidi="ar-SA"/>
        </w:rPr>
        <w:t>和社会公众对绩效结果发表意见和建议。针对合理建议及时回应，并在后续管理工作中予以采纳和改进，形成良好的互动机制。</w:t>
      </w:r>
    </w:p>
    <w:p w14:paraId="4335DD51">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contextualSpacing/>
        <w:jc w:val="left"/>
        <w:textAlignment w:val="auto"/>
        <w:outlineLvl w:val="9"/>
        <w:rPr>
          <w:rFonts w:hint="default" w:ascii="仿宋" w:hAnsi="仿宋" w:eastAsia="仿宋" w:cs="仿宋"/>
          <w:kern w:val="2"/>
          <w:sz w:val="32"/>
          <w:szCs w:val="32"/>
          <w:lang w:val="zh-CN" w:eastAsia="zh-CN" w:bidi="ar-SA"/>
        </w:rPr>
      </w:pPr>
      <w:r>
        <w:rPr>
          <w:rFonts w:hint="eastAsia" w:ascii="仿宋" w:hAnsi="仿宋" w:eastAsia="仿宋" w:cs="仿宋"/>
          <w:kern w:val="2"/>
          <w:sz w:val="32"/>
          <w:szCs w:val="32"/>
          <w:lang w:val="en-US" w:eastAsia="zh-CN" w:bidi="ar-SA"/>
        </w:rPr>
        <w:t>3.</w:t>
      </w:r>
      <w:r>
        <w:rPr>
          <w:rFonts w:hint="eastAsia" w:ascii="仿宋" w:hAnsi="仿宋" w:eastAsia="仿宋" w:cs="仿宋"/>
          <w:kern w:val="2"/>
          <w:sz w:val="32"/>
          <w:szCs w:val="32"/>
          <w:lang w:val="zh-CN" w:eastAsia="zh-CN" w:bidi="ar-SA"/>
        </w:rPr>
        <w:t>整改反馈情况进行分析：总结整改过程中的经验教训，将有效的整改措施和管理方法固化为制度和规范，形成长效管理机制，持续提升行政资产管理绩效。</w:t>
      </w:r>
    </w:p>
    <w:p w14:paraId="064A394B">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contextualSpacing/>
        <w:jc w:val="left"/>
        <w:textAlignment w:val="auto"/>
        <w:outlineLvl w:val="9"/>
        <w:rPr>
          <w:rFonts w:hint="default" w:ascii="Times New Roman" w:hAnsi="Times New Roman" w:eastAsia="方正黑体_GBK"/>
          <w:color w:val="000000"/>
          <w:kern w:val="0"/>
          <w:sz w:val="32"/>
          <w:szCs w:val="32"/>
          <w:highlight w:val="none"/>
          <w:shd w:val="clear" w:color="auto" w:fill="FFFFFF"/>
        </w:rPr>
      </w:pPr>
      <w:r>
        <w:rPr>
          <w:rFonts w:hint="default" w:ascii="Times New Roman" w:hAnsi="Times New Roman" w:eastAsia="方正黑体_GBK"/>
          <w:color w:val="000000"/>
          <w:kern w:val="0"/>
          <w:sz w:val="32"/>
          <w:szCs w:val="32"/>
          <w:highlight w:val="none"/>
          <w:shd w:val="clear" w:color="auto" w:fill="FFFFFF"/>
          <w:lang w:eastAsia="zh-CN"/>
        </w:rPr>
        <w:t>四、</w:t>
      </w:r>
      <w:r>
        <w:rPr>
          <w:rFonts w:hint="eastAsia" w:ascii="Times New Roman" w:hAnsi="Times New Roman" w:eastAsia="方正黑体_GBK"/>
          <w:color w:val="000000"/>
          <w:kern w:val="0"/>
          <w:sz w:val="32"/>
          <w:szCs w:val="32"/>
          <w:highlight w:val="none"/>
          <w:shd w:val="clear" w:color="auto" w:fill="FFFFFF"/>
          <w:lang w:eastAsia="zh-CN"/>
        </w:rPr>
        <w:t>2025</w:t>
      </w:r>
      <w:r>
        <w:rPr>
          <w:rFonts w:hint="default" w:ascii="Times New Roman" w:hAnsi="Times New Roman" w:eastAsia="方正黑体_GBK"/>
          <w:color w:val="000000"/>
          <w:kern w:val="0"/>
          <w:sz w:val="32"/>
          <w:szCs w:val="32"/>
          <w:highlight w:val="none"/>
          <w:shd w:val="clear" w:color="auto" w:fill="FFFFFF"/>
        </w:rPr>
        <w:t>年财政重点评价或部门自评发现问题整改情况</w:t>
      </w:r>
    </w:p>
    <w:p w14:paraId="228E37AF">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contextualSpacing/>
        <w:jc w:val="left"/>
        <w:textAlignment w:val="auto"/>
        <w:outlineLvl w:val="9"/>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1.整改总体情况</w:t>
      </w:r>
    </w:p>
    <w:p w14:paraId="76D02EAB">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contextualSpacing/>
        <w:jc w:val="left"/>
        <w:textAlignment w:val="auto"/>
        <w:outlineLvl w:val="9"/>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针对省、市财政重点评价及部门自评反馈的问题，我部门迅速制定整改方案，明确责任主体、整改措施和完成时限，建立“台账式管理、销号式落实”机制。</w:t>
      </w:r>
    </w:p>
    <w:p w14:paraId="2582C130">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contextualSpacing/>
        <w:jc w:val="left"/>
        <w:textAlignment w:val="auto"/>
        <w:outlineLvl w:val="9"/>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2.重点问题整改落实</w:t>
      </w:r>
    </w:p>
    <w:p w14:paraId="79BE336C">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contextualSpacing/>
        <w:jc w:val="left"/>
        <w:textAlignment w:val="auto"/>
        <w:outlineLvl w:val="9"/>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（1） 资产管理类问题</w:t>
      </w:r>
    </w:p>
    <w:p w14:paraId="361D93B0">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contextualSpacing/>
        <w:jc w:val="left"/>
        <w:textAlignment w:val="auto"/>
        <w:outlineLvl w:val="9"/>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针对“人均资产变化率过高、资产利用率低”问题，我部门通过优化资产配置流程，暂停非必要资产采购，优先采取内部调拨方式满足需求；同时及时采购第三方专业资产清理服务机构开展资产清理工作，全面摸清家底，做到资产清、账目明，提升资产使用效率。</w:t>
      </w:r>
    </w:p>
    <w:p w14:paraId="30497BBA">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contextualSpacing/>
        <w:jc w:val="left"/>
        <w:textAlignment w:val="auto"/>
        <w:outlineLvl w:val="9"/>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(2)其他管理类问题</w:t>
      </w:r>
    </w:p>
    <w:p w14:paraId="2167B7AF">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contextualSpacing/>
        <w:jc w:val="left"/>
        <w:textAlignment w:val="auto"/>
        <w:outlineLvl w:val="9"/>
        <w:rPr>
          <w:rFonts w:hint="eastAsia" w:ascii="仿宋" w:hAnsi="仿宋" w:eastAsia="仿宋" w:cs="仿宋"/>
          <w:kern w:val="2"/>
          <w:sz w:val="32"/>
          <w:szCs w:val="32"/>
          <w:lang w:val="en-US" w:eastAsia="en-US" w:bidi="ar-SA"/>
        </w:rPr>
      </w:pPr>
      <w:r>
        <w:rPr>
          <w:rFonts w:hint="eastAsia" w:ascii="仿宋" w:hAnsi="仿宋" w:eastAsia="仿宋" w:cs="仿宋"/>
          <w:kern w:val="2"/>
          <w:sz w:val="32"/>
          <w:szCs w:val="32"/>
          <w:lang w:val="en-US" w:eastAsia="zh-CN" w:bidi="ar-SA"/>
        </w:rPr>
        <w:t>对于部门预算项目绩效目标效益指标实施效果不明显的问题，通过完善内控制度、建立预算执行动态监控机制、定期公开绩效结果等措施，实现问题闭环管理，确保同类问题不再发生。</w:t>
      </w:r>
    </w:p>
    <w:p w14:paraId="004D9399">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contextualSpacing/>
        <w:jc w:val="left"/>
        <w:textAlignment w:val="auto"/>
        <w:outlineLvl w:val="9"/>
        <w:rPr>
          <w:rFonts w:hint="eastAsia" w:ascii="方正黑体_GBK" w:hAnsi="Calibri" w:eastAsia="方正黑体_GBK"/>
          <w:color w:val="000000"/>
          <w:kern w:val="0"/>
          <w:sz w:val="32"/>
          <w:szCs w:val="32"/>
          <w:highlight w:val="none"/>
          <w:shd w:val="clear" w:color="auto" w:fill="FFFFFF"/>
        </w:rPr>
      </w:pPr>
      <w:r>
        <w:rPr>
          <w:rFonts w:hint="eastAsia" w:ascii="方正黑体_GBK" w:hAnsi="Calibri" w:eastAsia="方正黑体_GBK"/>
          <w:color w:val="000000"/>
          <w:kern w:val="0"/>
          <w:sz w:val="32"/>
          <w:szCs w:val="32"/>
          <w:highlight w:val="none"/>
          <w:shd w:val="clear" w:color="auto" w:fill="FFFFFF"/>
          <w:lang w:eastAsia="zh-CN"/>
        </w:rPr>
        <w:t>五、</w:t>
      </w:r>
      <w:r>
        <w:rPr>
          <w:rFonts w:hint="eastAsia" w:ascii="方正黑体_GBK" w:hAnsi="Calibri" w:eastAsia="方正黑体_GBK"/>
          <w:color w:val="000000"/>
          <w:kern w:val="0"/>
          <w:sz w:val="32"/>
          <w:szCs w:val="32"/>
          <w:highlight w:val="none"/>
          <w:shd w:val="clear" w:color="auto" w:fill="FFFFFF"/>
        </w:rPr>
        <w:t>评价结论及建议</w:t>
      </w:r>
    </w:p>
    <w:p w14:paraId="6B3C5B75">
      <w:pPr>
        <w:spacing w:line="580" w:lineRule="exact"/>
        <w:ind w:firstLine="320" w:firstLineChars="100"/>
        <w:rPr>
          <w:rFonts w:hint="eastAsia" w:ascii="仿宋_GB2312" w:hAnsi="仿宋_GB2312" w:eastAsia="仿宋_GB2312" w:cs="仿宋_GB2312"/>
          <w:snapToGrid w:val="0"/>
          <w:color w:val="auto"/>
          <w:kern w:val="2"/>
          <w:sz w:val="32"/>
          <w:szCs w:val="32"/>
          <w:rtl w:val="0"/>
          <w:lang w:val="en-US" w:eastAsia="zh-CN" w:bidi="ar-SA"/>
        </w:rPr>
      </w:pPr>
      <w:r>
        <w:rPr>
          <w:rFonts w:hint="eastAsia" w:ascii="方正楷体_GBK" w:hAnsi="Calibri" w:eastAsia="方正楷体_GBK"/>
          <w:color w:val="000000"/>
          <w:kern w:val="0"/>
          <w:sz w:val="32"/>
          <w:szCs w:val="32"/>
          <w:highlight w:val="none"/>
          <w:shd w:val="clear" w:color="auto" w:fill="FFFFFF"/>
          <w:lang w:val="zh-CN" w:eastAsia="zh-CN"/>
        </w:rPr>
        <w:t>（一）评价结论</w:t>
      </w:r>
      <w:r>
        <w:rPr>
          <w:rFonts w:hint="eastAsia" w:ascii="仿宋_GB2312" w:hAnsi="仿宋_GB2312" w:eastAsia="仿宋_GB2312" w:cs="仿宋_GB2312"/>
          <w:snapToGrid w:val="0"/>
          <w:color w:val="auto"/>
          <w:kern w:val="2"/>
          <w:sz w:val="32"/>
          <w:szCs w:val="32"/>
          <w:rtl w:val="0"/>
          <w:lang w:val="en-US" w:eastAsia="zh-CN" w:bidi="ar-SA"/>
        </w:rPr>
        <w:t xml:space="preserve"> </w:t>
      </w:r>
    </w:p>
    <w:p w14:paraId="1134E9DD">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contextualSpacing/>
        <w:jc w:val="left"/>
        <w:textAlignment w:val="auto"/>
        <w:outlineLvl w:val="9"/>
        <w:rPr>
          <w:rFonts w:hint="default" w:ascii="仿宋" w:hAnsi="仿宋" w:eastAsia="仿宋" w:cs="仿宋"/>
          <w:kern w:val="2"/>
          <w:sz w:val="32"/>
          <w:szCs w:val="32"/>
          <w:lang w:val="en-US" w:eastAsia="zh-CN" w:bidi="ar-SA"/>
        </w:rPr>
      </w:pPr>
      <w:r>
        <w:rPr>
          <w:rFonts w:hint="eastAsia" w:ascii="仿宋" w:hAnsi="仿宋" w:eastAsia="仿宋" w:cs="仿宋"/>
          <w:kern w:val="2"/>
          <w:sz w:val="32"/>
          <w:szCs w:val="32"/>
          <w:rtl w:val="0"/>
          <w:lang w:val="en-US" w:eastAsia="zh-CN" w:bidi="ar-SA"/>
        </w:rPr>
        <w:t>2025</w:t>
      </w:r>
      <w:r>
        <w:rPr>
          <w:rFonts w:hint="default" w:ascii="仿宋" w:hAnsi="仿宋" w:eastAsia="仿宋" w:cs="仿宋"/>
          <w:kern w:val="2"/>
          <w:sz w:val="32"/>
          <w:szCs w:val="32"/>
          <w:rtl w:val="0"/>
          <w:lang w:val="en-US" w:eastAsia="zh-CN" w:bidi="ar-SA"/>
        </w:rPr>
        <w:t>年我院整体绩效评价较好，能够严格按照预算管理，执行预算，严格支出控制，科学编制预算，增强预算约束力，细化项目申报内容，严格精细化管理。整体绩效目标清晰、预算编制依据充分，预算细化程度高，项目管理措施齐全，长效管理措施规划完善，</w:t>
      </w:r>
      <w:r>
        <w:rPr>
          <w:rFonts w:hint="eastAsia" w:ascii="仿宋" w:hAnsi="仿宋" w:eastAsia="仿宋" w:cs="仿宋"/>
          <w:kern w:val="2"/>
          <w:sz w:val="32"/>
          <w:szCs w:val="32"/>
          <w:rtl w:val="0"/>
          <w:lang w:val="en-US" w:eastAsia="zh-CN" w:bidi="ar-SA"/>
        </w:rPr>
        <w:t>但仍存在财务管理制度更新不及时、财务人员业务能力不足等扣分点，部门预算绩效自评得分为87分。</w:t>
      </w:r>
    </w:p>
    <w:p w14:paraId="486BE646">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contextualSpacing/>
        <w:jc w:val="left"/>
        <w:textAlignment w:val="auto"/>
        <w:outlineLvl w:val="9"/>
        <w:rPr>
          <w:rFonts w:hint="eastAsia" w:ascii="方正楷体_GBK" w:hAnsi="Calibri" w:eastAsia="方正楷体_GBK"/>
          <w:bCs/>
          <w:color w:val="000000"/>
          <w:kern w:val="0"/>
          <w:sz w:val="32"/>
          <w:szCs w:val="32"/>
          <w:highlight w:val="none"/>
          <w:shd w:val="clear" w:color="auto" w:fill="FFFFFF"/>
          <w:lang w:val="zh-CN" w:eastAsia="zh-CN"/>
        </w:rPr>
      </w:pPr>
      <w:r>
        <w:rPr>
          <w:rFonts w:hint="eastAsia" w:ascii="方正楷体_GBK" w:hAnsi="Calibri" w:eastAsia="方正楷体_GBK"/>
          <w:bCs/>
          <w:color w:val="000000"/>
          <w:kern w:val="0"/>
          <w:sz w:val="32"/>
          <w:szCs w:val="32"/>
          <w:highlight w:val="none"/>
          <w:shd w:val="clear" w:color="auto" w:fill="FFFFFF"/>
          <w:lang w:val="zh-CN" w:eastAsia="zh-CN"/>
        </w:rPr>
        <w:t>（二）存在问题</w:t>
      </w:r>
    </w:p>
    <w:p w14:paraId="5B6C6898">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contextualSpacing/>
        <w:jc w:val="left"/>
        <w:textAlignment w:val="auto"/>
        <w:outlineLvl w:val="9"/>
        <w:rPr>
          <w:rFonts w:hint="default" w:ascii="仿宋" w:hAnsi="仿宋" w:eastAsia="仿宋" w:cs="仿宋"/>
          <w:kern w:val="2"/>
          <w:sz w:val="32"/>
          <w:szCs w:val="32"/>
          <w:rtl w:val="0"/>
          <w:lang w:val="en-US" w:eastAsia="zh-CN" w:bidi="ar-SA"/>
        </w:rPr>
      </w:pPr>
      <w:r>
        <w:rPr>
          <w:rFonts w:hint="default" w:ascii="仿宋" w:hAnsi="仿宋" w:eastAsia="仿宋" w:cs="仿宋"/>
          <w:kern w:val="2"/>
          <w:sz w:val="32"/>
          <w:szCs w:val="32"/>
          <w:rtl w:val="0"/>
          <w:lang w:val="en-US" w:eastAsia="zh-CN" w:bidi="ar-SA"/>
        </w:rPr>
        <w:t>按照市级财政政策要求，未能及时更新</w:t>
      </w:r>
      <w:r>
        <w:rPr>
          <w:rFonts w:hint="eastAsia" w:ascii="仿宋" w:hAnsi="仿宋" w:eastAsia="仿宋" w:cs="仿宋"/>
          <w:kern w:val="2"/>
          <w:sz w:val="32"/>
          <w:szCs w:val="32"/>
          <w:rtl w:val="0"/>
          <w:lang w:val="en-US" w:eastAsia="zh-CN" w:bidi="ar-SA"/>
        </w:rPr>
        <w:t>完善</w:t>
      </w:r>
      <w:r>
        <w:rPr>
          <w:rFonts w:hint="default" w:ascii="仿宋" w:hAnsi="仿宋" w:eastAsia="仿宋" w:cs="仿宋"/>
          <w:kern w:val="2"/>
          <w:sz w:val="32"/>
          <w:szCs w:val="32"/>
          <w:rtl w:val="0"/>
          <w:lang w:val="en-US" w:eastAsia="zh-CN" w:bidi="ar-SA"/>
        </w:rPr>
        <w:t>财</w:t>
      </w:r>
      <w:r>
        <w:rPr>
          <w:rFonts w:hint="eastAsia" w:ascii="仿宋" w:hAnsi="仿宋" w:eastAsia="仿宋" w:cs="仿宋"/>
          <w:kern w:val="2"/>
          <w:sz w:val="32"/>
          <w:szCs w:val="32"/>
          <w:rtl w:val="0"/>
          <w:lang w:val="en-US" w:eastAsia="zh-CN" w:bidi="ar-SA"/>
        </w:rPr>
        <w:t>务</w:t>
      </w:r>
      <w:r>
        <w:rPr>
          <w:rFonts w:hint="default" w:ascii="仿宋" w:hAnsi="仿宋" w:eastAsia="仿宋" w:cs="仿宋"/>
          <w:kern w:val="2"/>
          <w:sz w:val="32"/>
          <w:szCs w:val="32"/>
          <w:rtl w:val="0"/>
          <w:lang w:val="en-US" w:eastAsia="zh-CN" w:bidi="ar-SA"/>
        </w:rPr>
        <w:t>管理</w:t>
      </w:r>
      <w:r>
        <w:rPr>
          <w:rFonts w:hint="eastAsia" w:ascii="仿宋" w:hAnsi="仿宋" w:eastAsia="仿宋" w:cs="仿宋"/>
          <w:kern w:val="2"/>
          <w:sz w:val="32"/>
          <w:szCs w:val="32"/>
          <w:rtl w:val="0"/>
          <w:lang w:val="en-US" w:eastAsia="zh-CN" w:bidi="ar-SA"/>
        </w:rPr>
        <w:t>相关</w:t>
      </w:r>
      <w:r>
        <w:rPr>
          <w:rFonts w:hint="default" w:ascii="仿宋" w:hAnsi="仿宋" w:eastAsia="仿宋" w:cs="仿宋"/>
          <w:kern w:val="2"/>
          <w:sz w:val="32"/>
          <w:szCs w:val="32"/>
          <w:rtl w:val="0"/>
          <w:lang w:val="en-US" w:eastAsia="zh-CN" w:bidi="ar-SA"/>
        </w:rPr>
        <w:t>制度，财务管理</w:t>
      </w:r>
      <w:r>
        <w:rPr>
          <w:rFonts w:hint="eastAsia" w:ascii="仿宋" w:hAnsi="仿宋" w:eastAsia="仿宋" w:cs="仿宋"/>
          <w:kern w:val="2"/>
          <w:sz w:val="32"/>
          <w:szCs w:val="32"/>
          <w:rtl w:val="0"/>
          <w:lang w:val="en-US" w:eastAsia="zh-CN" w:bidi="ar-SA"/>
        </w:rPr>
        <w:t>规范性</w:t>
      </w:r>
      <w:r>
        <w:rPr>
          <w:rFonts w:hint="default" w:ascii="仿宋" w:hAnsi="仿宋" w:eastAsia="仿宋" w:cs="仿宋"/>
          <w:kern w:val="2"/>
          <w:sz w:val="32"/>
          <w:szCs w:val="32"/>
          <w:rtl w:val="0"/>
          <w:lang w:val="en-US" w:eastAsia="zh-CN" w:bidi="ar-SA"/>
        </w:rPr>
        <w:t>有待加强，财务人员业务能力</w:t>
      </w:r>
      <w:r>
        <w:rPr>
          <w:rFonts w:hint="eastAsia" w:ascii="仿宋" w:hAnsi="仿宋" w:eastAsia="仿宋" w:cs="仿宋"/>
          <w:kern w:val="2"/>
          <w:sz w:val="32"/>
          <w:szCs w:val="32"/>
          <w:rtl w:val="0"/>
          <w:lang w:val="en-US" w:eastAsia="zh-CN" w:bidi="ar-SA"/>
        </w:rPr>
        <w:t>有待提高</w:t>
      </w:r>
      <w:r>
        <w:rPr>
          <w:rFonts w:hint="default" w:ascii="仿宋" w:hAnsi="仿宋" w:eastAsia="仿宋" w:cs="仿宋"/>
          <w:kern w:val="2"/>
          <w:sz w:val="32"/>
          <w:szCs w:val="32"/>
          <w:rtl w:val="0"/>
          <w:lang w:val="en-US" w:eastAsia="zh-CN" w:bidi="ar-SA"/>
        </w:rPr>
        <w:t>。</w:t>
      </w:r>
    </w:p>
    <w:p w14:paraId="325ADF50">
      <w:pPr>
        <w:numPr>
          <w:ilvl w:val="0"/>
          <w:numId w:val="0"/>
        </w:numPr>
        <w:spacing w:line="580" w:lineRule="exact"/>
        <w:ind w:firstLine="640" w:firstLineChars="200"/>
        <w:rPr>
          <w:rFonts w:hint="eastAsia" w:ascii="方正楷体_GBK" w:hAnsi="Calibri" w:eastAsia="方正楷体_GBK"/>
          <w:bCs/>
          <w:color w:val="000000"/>
          <w:kern w:val="0"/>
          <w:sz w:val="32"/>
          <w:szCs w:val="32"/>
          <w:highlight w:val="none"/>
          <w:shd w:val="clear" w:color="auto" w:fill="FFFFFF"/>
          <w:lang w:val="zh-CN" w:eastAsia="zh-CN"/>
        </w:rPr>
      </w:pPr>
      <w:r>
        <w:rPr>
          <w:rFonts w:hint="eastAsia" w:ascii="方正楷体_GBK" w:hAnsi="Calibri" w:eastAsia="方正楷体_GBK"/>
          <w:bCs/>
          <w:color w:val="000000"/>
          <w:kern w:val="0"/>
          <w:sz w:val="32"/>
          <w:szCs w:val="32"/>
          <w:highlight w:val="none"/>
          <w:shd w:val="clear" w:color="auto" w:fill="FFFFFF"/>
          <w:lang w:val="zh-CN" w:eastAsia="zh-CN"/>
        </w:rPr>
        <w:t>（三）改进建议</w:t>
      </w:r>
    </w:p>
    <w:p w14:paraId="7C248AD2">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contextualSpacing/>
        <w:jc w:val="left"/>
        <w:textAlignment w:val="auto"/>
        <w:outlineLvl w:val="9"/>
        <w:rPr>
          <w:rFonts w:hint="default" w:ascii="仿宋" w:hAnsi="仿宋" w:eastAsia="仿宋" w:cs="仿宋"/>
          <w:kern w:val="2"/>
          <w:sz w:val="32"/>
          <w:szCs w:val="32"/>
          <w:rtl w:val="0"/>
          <w:lang w:val="en-US" w:eastAsia="zh-CN" w:bidi="ar-SA"/>
        </w:rPr>
      </w:pPr>
      <w:r>
        <w:rPr>
          <w:rFonts w:hint="eastAsia" w:ascii="仿宋" w:hAnsi="仿宋" w:eastAsia="仿宋" w:cs="仿宋"/>
          <w:kern w:val="2"/>
          <w:sz w:val="32"/>
          <w:szCs w:val="32"/>
          <w:rtl w:val="0"/>
          <w:lang w:val="en-US" w:eastAsia="zh-CN" w:bidi="ar-SA"/>
        </w:rPr>
        <w:t>（1）</w:t>
      </w:r>
      <w:r>
        <w:rPr>
          <w:rFonts w:hint="default" w:ascii="仿宋" w:hAnsi="仿宋" w:eastAsia="仿宋" w:cs="仿宋"/>
          <w:kern w:val="2"/>
          <w:sz w:val="32"/>
          <w:szCs w:val="32"/>
          <w:rtl w:val="0"/>
          <w:lang w:val="en-US" w:eastAsia="zh-CN" w:bidi="ar-SA"/>
        </w:rPr>
        <w:t>结合上级最新政策要求及文件规定，进一步完善</w:t>
      </w:r>
      <w:r>
        <w:rPr>
          <w:rFonts w:hint="eastAsia" w:ascii="仿宋" w:hAnsi="仿宋" w:eastAsia="仿宋" w:cs="仿宋"/>
          <w:kern w:val="2"/>
          <w:sz w:val="32"/>
          <w:szCs w:val="32"/>
          <w:rtl w:val="0"/>
          <w:lang w:val="en-US" w:eastAsia="zh-CN" w:bidi="ar-SA"/>
        </w:rPr>
        <w:t>财务管理相关</w:t>
      </w:r>
      <w:r>
        <w:rPr>
          <w:rFonts w:hint="default" w:ascii="仿宋" w:hAnsi="仿宋" w:eastAsia="仿宋" w:cs="仿宋"/>
          <w:kern w:val="2"/>
          <w:sz w:val="32"/>
          <w:szCs w:val="32"/>
          <w:rtl w:val="0"/>
          <w:lang w:val="en-US" w:eastAsia="zh-CN" w:bidi="ar-SA"/>
        </w:rPr>
        <w:t>制度、规范管理；</w:t>
      </w:r>
    </w:p>
    <w:p w14:paraId="0F652F9F">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contextualSpacing/>
        <w:jc w:val="left"/>
        <w:textAlignment w:val="auto"/>
        <w:outlineLvl w:val="9"/>
        <w:rPr>
          <w:rFonts w:hint="eastAsia" w:ascii="仿宋" w:hAnsi="仿宋" w:eastAsia="仿宋" w:cs="仿宋"/>
          <w:kern w:val="2"/>
          <w:sz w:val="32"/>
          <w:szCs w:val="32"/>
          <w:rtl w:val="0"/>
          <w:lang w:val="en-US" w:eastAsia="zh-CN" w:bidi="ar-SA"/>
        </w:rPr>
      </w:pPr>
      <w:r>
        <w:rPr>
          <w:rFonts w:hint="eastAsia" w:ascii="仿宋" w:hAnsi="仿宋" w:eastAsia="仿宋" w:cs="仿宋"/>
          <w:kern w:val="2"/>
          <w:sz w:val="32"/>
          <w:szCs w:val="32"/>
          <w:rtl w:val="0"/>
          <w:lang w:val="en-US" w:eastAsia="zh-CN" w:bidi="ar-SA"/>
        </w:rPr>
        <w:t>（2）</w:t>
      </w:r>
      <w:r>
        <w:rPr>
          <w:rFonts w:hint="default" w:ascii="仿宋" w:hAnsi="仿宋" w:eastAsia="仿宋" w:cs="仿宋"/>
          <w:kern w:val="2"/>
          <w:sz w:val="32"/>
          <w:szCs w:val="32"/>
          <w:rtl w:val="0"/>
          <w:lang w:val="en-US" w:eastAsia="zh-CN" w:bidi="ar-SA"/>
        </w:rPr>
        <w:t>增强学习意识，强化对业务人员的培训，积极学习新政策、新规定和业务知识，并运用到实际工作中去，提升</w:t>
      </w:r>
      <w:r>
        <w:rPr>
          <w:rFonts w:hint="eastAsia" w:ascii="仿宋" w:hAnsi="仿宋" w:eastAsia="仿宋" w:cs="仿宋"/>
          <w:kern w:val="2"/>
          <w:sz w:val="32"/>
          <w:szCs w:val="32"/>
          <w:rtl w:val="0"/>
          <w:lang w:val="en-US" w:eastAsia="zh-CN" w:bidi="ar-SA"/>
        </w:rPr>
        <w:t>业务</w:t>
      </w:r>
      <w:r>
        <w:rPr>
          <w:rFonts w:hint="default" w:ascii="仿宋" w:hAnsi="仿宋" w:eastAsia="仿宋" w:cs="仿宋"/>
          <w:kern w:val="2"/>
          <w:sz w:val="32"/>
          <w:szCs w:val="32"/>
          <w:rtl w:val="0"/>
          <w:lang w:val="en-US" w:eastAsia="zh-CN" w:bidi="ar-SA"/>
        </w:rPr>
        <w:t>能力</w:t>
      </w:r>
      <w:r>
        <w:rPr>
          <w:rFonts w:hint="eastAsia" w:ascii="仿宋" w:hAnsi="仿宋" w:eastAsia="仿宋" w:cs="仿宋"/>
          <w:kern w:val="2"/>
          <w:sz w:val="32"/>
          <w:szCs w:val="32"/>
          <w:rtl w:val="0"/>
          <w:lang w:val="en-US" w:eastAsia="zh-CN" w:bidi="ar-SA"/>
        </w:rPr>
        <w:t>。</w:t>
      </w:r>
    </w:p>
    <w:p w14:paraId="2F5F61A7">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contextualSpacing/>
        <w:jc w:val="left"/>
        <w:textAlignment w:val="auto"/>
        <w:outlineLvl w:val="9"/>
        <w:rPr>
          <w:rFonts w:hint="eastAsia" w:ascii="仿宋" w:hAnsi="仿宋" w:eastAsia="仿宋" w:cs="仿宋"/>
          <w:kern w:val="2"/>
          <w:sz w:val="32"/>
          <w:szCs w:val="32"/>
          <w:rtl w:val="0"/>
          <w:lang w:val="zh-CN" w:eastAsia="zh-CN" w:bidi="ar-SA"/>
        </w:rPr>
      </w:pPr>
      <w:bookmarkStart w:id="68" w:name="_Toc22920"/>
      <w:r>
        <w:rPr>
          <w:rFonts w:hint="eastAsia" w:ascii="仿宋" w:hAnsi="仿宋" w:eastAsia="仿宋" w:cs="仿宋"/>
          <w:kern w:val="2"/>
          <w:sz w:val="32"/>
          <w:szCs w:val="32"/>
          <w:rtl w:val="0"/>
          <w:lang w:val="zh-CN" w:eastAsia="zh-CN" w:bidi="ar-SA"/>
        </w:rPr>
        <w:t>附表：</w:t>
      </w:r>
      <w:r>
        <w:rPr>
          <w:rFonts w:hint="eastAsia" w:ascii="仿宋" w:hAnsi="仿宋" w:eastAsia="仿宋" w:cs="仿宋"/>
          <w:kern w:val="2"/>
          <w:sz w:val="32"/>
          <w:szCs w:val="32"/>
          <w:rtl w:val="0"/>
          <w:lang w:val="en-US" w:eastAsia="zh-CN" w:bidi="ar-SA"/>
        </w:rPr>
        <w:t>部门预算项目支出绩效自评表（2025年度）</w:t>
      </w:r>
      <w:bookmarkEnd w:id="68"/>
    </w:p>
    <w:p w14:paraId="41C74465">
      <w:pPr>
        <w:pStyle w:val="8"/>
        <w:keepNext w:val="0"/>
        <w:keepLines w:val="0"/>
        <w:pageBreakBefore w:val="0"/>
        <w:numPr>
          <w:ilvl w:val="0"/>
          <w:numId w:val="0"/>
        </w:numPr>
        <w:kinsoku/>
        <w:wordWrap/>
        <w:overflowPunct/>
        <w:topLinePunct w:val="0"/>
        <w:autoSpaceDE/>
        <w:autoSpaceDN/>
        <w:bidi w:val="0"/>
        <w:spacing w:line="560" w:lineRule="exact"/>
        <w:ind w:firstLine="640" w:firstLineChars="200"/>
        <w:textAlignment w:val="auto"/>
        <w:rPr>
          <w:rFonts w:hint="eastAsia" w:hAnsi="Times New Roman" w:cs="Times New Roman"/>
          <w:color w:val="auto"/>
          <w:sz w:val="32"/>
          <w:szCs w:val="32"/>
          <w:highlight w:val="none"/>
          <w:lang w:val="zh-CN" w:eastAsia="zh-CN"/>
        </w:rPr>
      </w:pPr>
    </w:p>
    <w:p w14:paraId="40113252">
      <w:pPr>
        <w:pStyle w:val="8"/>
        <w:keepNext w:val="0"/>
        <w:keepLines w:val="0"/>
        <w:pageBreakBefore w:val="0"/>
        <w:numPr>
          <w:ilvl w:val="0"/>
          <w:numId w:val="0"/>
        </w:numPr>
        <w:kinsoku/>
        <w:wordWrap/>
        <w:overflowPunct/>
        <w:topLinePunct w:val="0"/>
        <w:autoSpaceDE/>
        <w:autoSpaceDN/>
        <w:bidi w:val="0"/>
        <w:spacing w:line="560" w:lineRule="exact"/>
        <w:ind w:firstLine="640" w:firstLineChars="200"/>
        <w:textAlignment w:val="auto"/>
        <w:rPr>
          <w:rFonts w:hint="eastAsia" w:hAnsi="Times New Roman" w:cs="Times New Roman"/>
          <w:color w:val="auto"/>
          <w:sz w:val="32"/>
          <w:szCs w:val="32"/>
          <w:highlight w:val="none"/>
          <w:lang w:val="zh-CN" w:eastAsia="zh-CN"/>
        </w:rPr>
      </w:pPr>
    </w:p>
    <w:p w14:paraId="5E0AF649">
      <w:pPr>
        <w:pStyle w:val="8"/>
        <w:keepNext w:val="0"/>
        <w:keepLines w:val="0"/>
        <w:pageBreakBefore w:val="0"/>
        <w:numPr>
          <w:ilvl w:val="0"/>
          <w:numId w:val="0"/>
        </w:numPr>
        <w:kinsoku/>
        <w:wordWrap/>
        <w:overflowPunct/>
        <w:topLinePunct w:val="0"/>
        <w:autoSpaceDE/>
        <w:autoSpaceDN/>
        <w:bidi w:val="0"/>
        <w:spacing w:line="560" w:lineRule="exact"/>
        <w:ind w:firstLine="640" w:firstLineChars="200"/>
        <w:textAlignment w:val="auto"/>
        <w:rPr>
          <w:rFonts w:hint="eastAsia" w:hAnsi="Times New Roman" w:cs="Times New Roman"/>
          <w:color w:val="auto"/>
          <w:sz w:val="32"/>
          <w:szCs w:val="32"/>
          <w:highlight w:val="none"/>
          <w:lang w:val="zh-CN" w:eastAsia="zh-CN"/>
        </w:rPr>
      </w:pPr>
    </w:p>
    <w:p w14:paraId="6F9B9FEF">
      <w:pPr>
        <w:pStyle w:val="8"/>
        <w:keepNext w:val="0"/>
        <w:keepLines w:val="0"/>
        <w:pageBreakBefore w:val="0"/>
        <w:numPr>
          <w:ilvl w:val="0"/>
          <w:numId w:val="0"/>
        </w:numPr>
        <w:kinsoku/>
        <w:wordWrap/>
        <w:overflowPunct/>
        <w:topLinePunct w:val="0"/>
        <w:autoSpaceDE/>
        <w:autoSpaceDN/>
        <w:bidi w:val="0"/>
        <w:spacing w:line="560" w:lineRule="exact"/>
        <w:ind w:firstLine="640" w:firstLineChars="200"/>
        <w:textAlignment w:val="auto"/>
        <w:rPr>
          <w:rFonts w:hint="eastAsia" w:hAnsi="Times New Roman" w:cs="Times New Roman"/>
          <w:color w:val="auto"/>
          <w:sz w:val="32"/>
          <w:szCs w:val="32"/>
          <w:highlight w:val="none"/>
          <w:lang w:val="zh-CN" w:eastAsia="zh-CN"/>
        </w:rPr>
      </w:pPr>
    </w:p>
    <w:p w14:paraId="5A6B95A3">
      <w:pPr>
        <w:pStyle w:val="8"/>
        <w:keepNext w:val="0"/>
        <w:keepLines w:val="0"/>
        <w:pageBreakBefore w:val="0"/>
        <w:numPr>
          <w:ilvl w:val="0"/>
          <w:numId w:val="0"/>
        </w:numPr>
        <w:kinsoku/>
        <w:wordWrap/>
        <w:overflowPunct/>
        <w:topLinePunct w:val="0"/>
        <w:autoSpaceDE/>
        <w:autoSpaceDN/>
        <w:bidi w:val="0"/>
        <w:spacing w:line="560" w:lineRule="exact"/>
        <w:ind w:firstLine="640" w:firstLineChars="200"/>
        <w:textAlignment w:val="auto"/>
        <w:rPr>
          <w:rFonts w:hint="eastAsia" w:hAnsi="Times New Roman" w:cs="Times New Roman"/>
          <w:color w:val="auto"/>
          <w:sz w:val="32"/>
          <w:szCs w:val="32"/>
          <w:highlight w:val="none"/>
          <w:lang w:val="zh-CN" w:eastAsia="zh-CN"/>
        </w:rPr>
      </w:pPr>
    </w:p>
    <w:p w14:paraId="66F0919C">
      <w:pPr>
        <w:pStyle w:val="8"/>
        <w:keepNext w:val="0"/>
        <w:keepLines w:val="0"/>
        <w:pageBreakBefore w:val="0"/>
        <w:numPr>
          <w:ilvl w:val="0"/>
          <w:numId w:val="0"/>
        </w:numPr>
        <w:kinsoku/>
        <w:wordWrap/>
        <w:overflowPunct/>
        <w:topLinePunct w:val="0"/>
        <w:autoSpaceDE/>
        <w:autoSpaceDN/>
        <w:bidi w:val="0"/>
        <w:spacing w:line="560" w:lineRule="exact"/>
        <w:textAlignment w:val="auto"/>
        <w:rPr>
          <w:rFonts w:hint="eastAsia" w:hAnsi="Times New Roman" w:cs="Times New Roman"/>
          <w:color w:val="auto"/>
          <w:sz w:val="32"/>
          <w:szCs w:val="32"/>
          <w:highlight w:val="none"/>
          <w:lang w:val="zh-CN" w:eastAsia="zh-CN"/>
        </w:rPr>
      </w:pPr>
    </w:p>
    <w:p w14:paraId="4C18DA7A">
      <w:pPr>
        <w:pStyle w:val="8"/>
        <w:keepNext w:val="0"/>
        <w:keepLines w:val="0"/>
        <w:pageBreakBefore w:val="0"/>
        <w:numPr>
          <w:ilvl w:val="0"/>
          <w:numId w:val="0"/>
        </w:numPr>
        <w:kinsoku/>
        <w:wordWrap/>
        <w:overflowPunct/>
        <w:topLinePunct w:val="0"/>
        <w:autoSpaceDE/>
        <w:autoSpaceDN/>
        <w:bidi w:val="0"/>
        <w:spacing w:line="560" w:lineRule="exact"/>
        <w:ind w:firstLine="640" w:firstLineChars="200"/>
        <w:textAlignment w:val="auto"/>
        <w:rPr>
          <w:rFonts w:hint="eastAsia" w:hAnsi="Times New Roman" w:cs="Times New Roman"/>
          <w:color w:val="auto"/>
          <w:sz w:val="32"/>
          <w:szCs w:val="32"/>
          <w:highlight w:val="none"/>
          <w:lang w:val="zh-CN" w:eastAsia="zh-CN"/>
        </w:rPr>
      </w:pPr>
    </w:p>
    <w:p w14:paraId="13FD81D8">
      <w:pPr>
        <w:pStyle w:val="8"/>
        <w:keepNext w:val="0"/>
        <w:keepLines w:val="0"/>
        <w:pageBreakBefore w:val="0"/>
        <w:numPr>
          <w:ilvl w:val="0"/>
          <w:numId w:val="0"/>
        </w:numPr>
        <w:kinsoku/>
        <w:wordWrap/>
        <w:overflowPunct/>
        <w:topLinePunct w:val="0"/>
        <w:autoSpaceDE/>
        <w:autoSpaceDN/>
        <w:bidi w:val="0"/>
        <w:spacing w:line="560" w:lineRule="exact"/>
        <w:ind w:firstLine="640" w:firstLineChars="200"/>
        <w:textAlignment w:val="auto"/>
        <w:rPr>
          <w:rFonts w:hint="eastAsia" w:hAnsi="Times New Roman" w:cs="Times New Roman"/>
          <w:color w:val="auto"/>
          <w:sz w:val="32"/>
          <w:szCs w:val="32"/>
          <w:highlight w:val="none"/>
          <w:lang w:val="zh-CN" w:eastAsia="zh-CN"/>
        </w:rPr>
      </w:pPr>
    </w:p>
    <w:p w14:paraId="539AAE4D">
      <w:pPr>
        <w:pStyle w:val="8"/>
        <w:keepNext w:val="0"/>
        <w:keepLines w:val="0"/>
        <w:pageBreakBefore w:val="0"/>
        <w:numPr>
          <w:ilvl w:val="0"/>
          <w:numId w:val="0"/>
        </w:numPr>
        <w:kinsoku/>
        <w:wordWrap/>
        <w:overflowPunct/>
        <w:topLinePunct w:val="0"/>
        <w:autoSpaceDE/>
        <w:autoSpaceDN/>
        <w:bidi w:val="0"/>
        <w:spacing w:line="560" w:lineRule="exact"/>
        <w:ind w:firstLine="640" w:firstLineChars="200"/>
        <w:textAlignment w:val="auto"/>
        <w:rPr>
          <w:rFonts w:hint="eastAsia" w:hAnsi="Times New Roman" w:cs="Times New Roman"/>
          <w:color w:val="auto"/>
          <w:sz w:val="32"/>
          <w:szCs w:val="32"/>
          <w:highlight w:val="none"/>
          <w:lang w:val="zh-CN" w:eastAsia="zh-CN"/>
        </w:rPr>
      </w:pPr>
    </w:p>
    <w:p w14:paraId="400F9831">
      <w:pPr>
        <w:pStyle w:val="8"/>
        <w:keepNext w:val="0"/>
        <w:keepLines w:val="0"/>
        <w:pageBreakBefore w:val="0"/>
        <w:numPr>
          <w:ilvl w:val="0"/>
          <w:numId w:val="0"/>
        </w:numPr>
        <w:kinsoku/>
        <w:wordWrap/>
        <w:overflowPunct/>
        <w:topLinePunct w:val="0"/>
        <w:autoSpaceDE/>
        <w:autoSpaceDN/>
        <w:bidi w:val="0"/>
        <w:spacing w:line="560" w:lineRule="exact"/>
        <w:ind w:firstLine="640" w:firstLineChars="200"/>
        <w:textAlignment w:val="auto"/>
        <w:rPr>
          <w:rFonts w:hint="eastAsia" w:hAnsi="Times New Roman" w:cs="Times New Roman"/>
          <w:color w:val="auto"/>
          <w:sz w:val="32"/>
          <w:szCs w:val="32"/>
          <w:highlight w:val="none"/>
          <w:lang w:val="zh-CN" w:eastAsia="zh-CN"/>
        </w:rPr>
      </w:pPr>
    </w:p>
    <w:p w14:paraId="0CF08622">
      <w:pPr>
        <w:rPr>
          <w:rFonts w:hint="eastAsia" w:ascii="黑体" w:hAnsi="黑体" w:eastAsia="黑体"/>
          <w:color w:val="auto"/>
          <w:sz w:val="44"/>
          <w:szCs w:val="44"/>
          <w:highlight w:val="none"/>
        </w:rPr>
      </w:pPr>
      <w:r>
        <w:rPr>
          <w:rFonts w:hint="eastAsia" w:ascii="黑体" w:hAnsi="黑体" w:eastAsia="黑体"/>
          <w:color w:val="auto"/>
          <w:sz w:val="44"/>
          <w:szCs w:val="44"/>
          <w:highlight w:val="none"/>
        </w:rPr>
        <w:br w:type="page"/>
      </w:r>
    </w:p>
    <w:p w14:paraId="33096993">
      <w:pPr>
        <w:widowControl/>
        <w:jc w:val="center"/>
        <w:rPr>
          <w:rFonts w:hint="eastAsia" w:ascii="黑体" w:hAnsi="黑体" w:eastAsia="黑体"/>
          <w:color w:val="auto"/>
          <w:sz w:val="44"/>
          <w:szCs w:val="44"/>
          <w:highlight w:val="none"/>
        </w:rPr>
        <w:sectPr>
          <w:footerReference r:id="rId7" w:type="default"/>
          <w:pgSz w:w="11906" w:h="16838"/>
          <w:pgMar w:top="1440" w:right="1800" w:bottom="1440" w:left="1800" w:header="851" w:footer="992" w:gutter="0"/>
          <w:pgNumType w:fmt="decimal" w:start="1"/>
          <w:cols w:space="425" w:num="1"/>
          <w:docGrid w:type="lines" w:linePitch="312" w:charSpace="0"/>
        </w:sectPr>
      </w:pPr>
    </w:p>
    <w:tbl>
      <w:tblPr>
        <w:tblStyle w:val="18"/>
        <w:tblW w:w="1515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82"/>
        <w:gridCol w:w="30"/>
        <w:gridCol w:w="2015"/>
        <w:gridCol w:w="127"/>
        <w:gridCol w:w="1643"/>
        <w:gridCol w:w="209"/>
        <w:gridCol w:w="2363"/>
        <w:gridCol w:w="103"/>
        <w:gridCol w:w="440"/>
        <w:gridCol w:w="80"/>
        <w:gridCol w:w="1672"/>
        <w:gridCol w:w="520"/>
        <w:gridCol w:w="25"/>
        <w:gridCol w:w="1065"/>
        <w:gridCol w:w="73"/>
        <w:gridCol w:w="432"/>
        <w:gridCol w:w="178"/>
        <w:gridCol w:w="308"/>
        <w:gridCol w:w="287"/>
        <w:gridCol w:w="2898"/>
      </w:tblGrid>
      <w:tr w14:paraId="403D46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1" w:hRule="atLeast"/>
        </w:trPr>
        <w:tc>
          <w:tcPr>
            <w:tcW w:w="15150" w:type="dxa"/>
            <w:gridSpan w:val="20"/>
            <w:tcBorders>
              <w:top w:val="single" w:color="000000" w:sz="4" w:space="0"/>
              <w:left w:val="single" w:color="000000" w:sz="4" w:space="0"/>
              <w:bottom w:val="single" w:color="000000" w:sz="4" w:space="0"/>
              <w:right w:val="single" w:color="000000" w:sz="4" w:space="0"/>
            </w:tcBorders>
            <w:shd w:val="clear" w:color="auto" w:fill="auto"/>
            <w:vAlign w:val="center"/>
          </w:tcPr>
          <w:p w14:paraId="6C54A21F">
            <w:pPr>
              <w:keepNext w:val="0"/>
              <w:keepLines w:val="0"/>
              <w:widowControl/>
              <w:suppressLineNumbers w:val="0"/>
              <w:jc w:val="center"/>
              <w:textAlignment w:val="center"/>
              <w:rPr>
                <w:rFonts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28"/>
                <w:szCs w:val="28"/>
                <w:u w:val="none"/>
                <w:lang w:val="en-US" w:eastAsia="zh-CN" w:bidi="ar"/>
              </w:rPr>
              <w:t>部门预算项目支出绩效自评表（2025年度）</w:t>
            </w:r>
          </w:p>
        </w:tc>
      </w:tr>
      <w:tr w14:paraId="2F2B15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85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6167BF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12296" w:type="dxa"/>
            <w:gridSpan w:val="16"/>
            <w:tcBorders>
              <w:top w:val="single" w:color="000000" w:sz="4" w:space="0"/>
              <w:left w:val="single" w:color="000000" w:sz="4" w:space="0"/>
              <w:bottom w:val="single" w:color="000000" w:sz="4" w:space="0"/>
              <w:right w:val="single" w:color="000000" w:sz="4" w:space="0"/>
            </w:tcBorders>
            <w:shd w:val="clear" w:color="auto" w:fill="auto"/>
            <w:vAlign w:val="center"/>
          </w:tcPr>
          <w:p w14:paraId="54FBFDF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51190025T000013195415-2025年年初部门预算特定目标类项目157001南江县检察院移动办案平台运行和执勤执法GPS运行费</w:t>
            </w:r>
          </w:p>
        </w:tc>
      </w:tr>
      <w:tr w14:paraId="36EF58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285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566810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7055"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383252B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南江县检察院部门</w:t>
            </w:r>
          </w:p>
        </w:tc>
        <w:tc>
          <w:tcPr>
            <w:tcW w:w="1138" w:type="dxa"/>
            <w:gridSpan w:val="2"/>
            <w:tcBorders>
              <w:top w:val="nil"/>
              <w:left w:val="nil"/>
              <w:bottom w:val="nil"/>
              <w:right w:val="nil"/>
            </w:tcBorders>
            <w:shd w:val="clear" w:color="auto" w:fill="auto"/>
            <w:vAlign w:val="center"/>
          </w:tcPr>
          <w:p w14:paraId="05119FC2">
            <w:pPr>
              <w:keepNext w:val="0"/>
              <w:keepLines w:val="0"/>
              <w:widowControl/>
              <w:suppressLineNumbers w:val="0"/>
              <w:jc w:val="left"/>
              <w:textAlignment w:val="center"/>
              <w:rPr>
                <w:rFonts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410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48CE1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南江县检察院</w:t>
            </w:r>
          </w:p>
        </w:tc>
      </w:tr>
      <w:tr w14:paraId="54DDE8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71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05AFF7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214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B1353D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7055"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59AF4A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5241"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44DC8621">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年度目标完成情况</w:t>
            </w:r>
          </w:p>
        </w:tc>
      </w:tr>
      <w:tr w14:paraId="40BADF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71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AD6821">
            <w:pPr>
              <w:rPr>
                <w:rFonts w:hint="eastAsia" w:ascii="宋体" w:hAnsi="宋体" w:eastAsia="宋体" w:cs="宋体"/>
                <w:i w:val="0"/>
                <w:iCs w:val="0"/>
                <w:color w:val="000000"/>
                <w:sz w:val="18"/>
                <w:szCs w:val="18"/>
                <w:u w:val="none"/>
              </w:rPr>
            </w:pPr>
          </w:p>
        </w:tc>
        <w:tc>
          <w:tcPr>
            <w:tcW w:w="214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CCD592">
            <w:pPr>
              <w:rPr>
                <w:rFonts w:hint="eastAsia" w:ascii="宋体" w:hAnsi="宋体" w:eastAsia="宋体" w:cs="宋体"/>
                <w:i w:val="0"/>
                <w:iCs w:val="0"/>
                <w:color w:val="000000"/>
                <w:sz w:val="18"/>
                <w:szCs w:val="18"/>
                <w:u w:val="none"/>
              </w:rPr>
            </w:pPr>
          </w:p>
        </w:tc>
        <w:tc>
          <w:tcPr>
            <w:tcW w:w="7055"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6691292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确保保障移动办案业务平台和执勤执法车辆GPS的运行费正常使用</w:t>
            </w:r>
          </w:p>
        </w:tc>
        <w:tc>
          <w:tcPr>
            <w:tcW w:w="5241"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43E8D18E">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全年实现对移动办案平台终端维修维护，全年对6辆执法执勤用车GPS实施用车全程监控服务，保障办案和检察业务工作中用车安全和科学性。</w:t>
            </w:r>
          </w:p>
        </w:tc>
      </w:tr>
      <w:tr w14:paraId="50B281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3" w:hRule="atLeast"/>
        </w:trPr>
        <w:tc>
          <w:tcPr>
            <w:tcW w:w="71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942FD4">
            <w:pPr>
              <w:rPr>
                <w:rFonts w:hint="eastAsia" w:ascii="宋体" w:hAnsi="宋体" w:eastAsia="宋体" w:cs="宋体"/>
                <w:i w:val="0"/>
                <w:iCs w:val="0"/>
                <w:color w:val="000000"/>
                <w:sz w:val="18"/>
                <w:szCs w:val="18"/>
                <w:u w:val="none"/>
              </w:rPr>
            </w:pPr>
          </w:p>
        </w:tc>
        <w:tc>
          <w:tcPr>
            <w:tcW w:w="21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E52D7E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12296" w:type="dxa"/>
            <w:gridSpan w:val="16"/>
            <w:tcBorders>
              <w:top w:val="single" w:color="000000" w:sz="4" w:space="0"/>
              <w:left w:val="single" w:color="000000" w:sz="4" w:space="0"/>
              <w:bottom w:val="single" w:color="000000" w:sz="4" w:space="0"/>
              <w:right w:val="single" w:color="000000" w:sz="4" w:space="0"/>
            </w:tcBorders>
            <w:shd w:val="clear" w:color="auto" w:fill="auto"/>
            <w:vAlign w:val="center"/>
          </w:tcPr>
          <w:p w14:paraId="1FBE4C90">
            <w:pPr>
              <w:rPr>
                <w:rFonts w:ascii="宋体" w:hAnsi="宋体" w:eastAsia="宋体" w:cs="宋体"/>
                <w:i w:val="0"/>
                <w:iCs w:val="0"/>
                <w:color w:val="000000"/>
                <w:sz w:val="18"/>
                <w:szCs w:val="18"/>
                <w:u w:val="none"/>
              </w:rPr>
            </w:pPr>
          </w:p>
        </w:tc>
      </w:tr>
      <w:tr w14:paraId="56EC12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71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04083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21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72113E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185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6D30D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2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B2A71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2840"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EB5FB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113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9CD9C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61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40C3D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59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BDC38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8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BE00A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3F4905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71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533DD2">
            <w:pPr>
              <w:jc w:val="center"/>
              <w:rPr>
                <w:rFonts w:hint="eastAsia" w:ascii="宋体" w:hAnsi="宋体" w:eastAsia="宋体" w:cs="宋体"/>
                <w:i w:val="0"/>
                <w:iCs w:val="0"/>
                <w:color w:val="000000"/>
                <w:sz w:val="18"/>
                <w:szCs w:val="18"/>
                <w:u w:val="none"/>
              </w:rPr>
            </w:pPr>
          </w:p>
        </w:tc>
        <w:tc>
          <w:tcPr>
            <w:tcW w:w="21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0C3AF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185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4D541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21.00</w:t>
            </w:r>
          </w:p>
        </w:tc>
        <w:tc>
          <w:tcPr>
            <w:tcW w:w="2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21D8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21.00</w:t>
            </w:r>
          </w:p>
        </w:tc>
        <w:tc>
          <w:tcPr>
            <w:tcW w:w="2840"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0A298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21.00</w:t>
            </w:r>
          </w:p>
        </w:tc>
        <w:tc>
          <w:tcPr>
            <w:tcW w:w="113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565FF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61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0CB7B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59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1E595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89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38693C6">
            <w:pPr>
              <w:rPr>
                <w:rFonts w:hint="eastAsia" w:ascii="黑体" w:hAnsi="黑体" w:eastAsia="黑体" w:cs="黑体"/>
                <w:i w:val="0"/>
                <w:iCs w:val="0"/>
                <w:color w:val="000000"/>
                <w:sz w:val="18"/>
                <w:szCs w:val="18"/>
                <w:u w:val="none"/>
              </w:rPr>
            </w:pPr>
          </w:p>
        </w:tc>
      </w:tr>
      <w:tr w14:paraId="272A47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71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5B48EF">
            <w:pPr>
              <w:jc w:val="center"/>
              <w:rPr>
                <w:rFonts w:hint="eastAsia" w:ascii="宋体" w:hAnsi="宋体" w:eastAsia="宋体" w:cs="宋体"/>
                <w:i w:val="0"/>
                <w:iCs w:val="0"/>
                <w:color w:val="000000"/>
                <w:sz w:val="18"/>
                <w:szCs w:val="18"/>
                <w:u w:val="none"/>
              </w:rPr>
            </w:pPr>
          </w:p>
        </w:tc>
        <w:tc>
          <w:tcPr>
            <w:tcW w:w="21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C843DE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185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DD3B3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21.00</w:t>
            </w:r>
          </w:p>
        </w:tc>
        <w:tc>
          <w:tcPr>
            <w:tcW w:w="2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7626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21.00</w:t>
            </w:r>
          </w:p>
        </w:tc>
        <w:tc>
          <w:tcPr>
            <w:tcW w:w="2840"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2A040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21.00</w:t>
            </w:r>
          </w:p>
        </w:tc>
        <w:tc>
          <w:tcPr>
            <w:tcW w:w="113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D7989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61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F1F07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2FA4F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8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AE67EB">
            <w:pPr>
              <w:rPr>
                <w:rFonts w:hint="eastAsia" w:ascii="黑体" w:hAnsi="黑体" w:eastAsia="黑体" w:cs="黑体"/>
                <w:i w:val="0"/>
                <w:iCs w:val="0"/>
                <w:color w:val="000000"/>
                <w:sz w:val="18"/>
                <w:szCs w:val="18"/>
                <w:u w:val="none"/>
              </w:rPr>
            </w:pPr>
          </w:p>
        </w:tc>
      </w:tr>
      <w:tr w14:paraId="7F00BE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71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7B15BF">
            <w:pPr>
              <w:jc w:val="center"/>
              <w:rPr>
                <w:rFonts w:hint="eastAsia" w:ascii="宋体" w:hAnsi="宋体" w:eastAsia="宋体" w:cs="宋体"/>
                <w:i w:val="0"/>
                <w:iCs w:val="0"/>
                <w:color w:val="000000"/>
                <w:sz w:val="18"/>
                <w:szCs w:val="18"/>
                <w:u w:val="none"/>
              </w:rPr>
            </w:pPr>
          </w:p>
        </w:tc>
        <w:tc>
          <w:tcPr>
            <w:tcW w:w="21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71863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185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5D1FA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2C10E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840"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014D9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13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8E596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61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971D3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C6F60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8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86B747">
            <w:pPr>
              <w:rPr>
                <w:rFonts w:hint="eastAsia" w:ascii="黑体" w:hAnsi="黑体" w:eastAsia="黑体" w:cs="黑体"/>
                <w:i w:val="0"/>
                <w:iCs w:val="0"/>
                <w:color w:val="000000"/>
                <w:sz w:val="18"/>
                <w:szCs w:val="18"/>
                <w:u w:val="none"/>
              </w:rPr>
            </w:pPr>
          </w:p>
        </w:tc>
      </w:tr>
      <w:tr w14:paraId="3A2B42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71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6DA611">
            <w:pPr>
              <w:jc w:val="center"/>
              <w:rPr>
                <w:rFonts w:hint="eastAsia" w:ascii="宋体" w:hAnsi="宋体" w:eastAsia="宋体" w:cs="宋体"/>
                <w:i w:val="0"/>
                <w:iCs w:val="0"/>
                <w:color w:val="000000"/>
                <w:sz w:val="18"/>
                <w:szCs w:val="18"/>
                <w:u w:val="none"/>
              </w:rPr>
            </w:pPr>
          </w:p>
        </w:tc>
        <w:tc>
          <w:tcPr>
            <w:tcW w:w="21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49B7F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185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B69DD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3DDB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840"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5849F8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13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C6EA4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61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8BE5A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2D347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8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682932">
            <w:pPr>
              <w:rPr>
                <w:rFonts w:hint="eastAsia" w:ascii="黑体" w:hAnsi="黑体" w:eastAsia="黑体" w:cs="黑体"/>
                <w:i w:val="0"/>
                <w:iCs w:val="0"/>
                <w:color w:val="000000"/>
                <w:sz w:val="18"/>
                <w:szCs w:val="18"/>
                <w:u w:val="none"/>
              </w:rPr>
            </w:pPr>
          </w:p>
        </w:tc>
      </w:tr>
      <w:tr w14:paraId="2CE1DC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71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7CEE51">
            <w:pPr>
              <w:jc w:val="center"/>
              <w:rPr>
                <w:rFonts w:hint="eastAsia" w:ascii="宋体" w:hAnsi="宋体" w:eastAsia="宋体" w:cs="宋体"/>
                <w:i w:val="0"/>
                <w:iCs w:val="0"/>
                <w:color w:val="000000"/>
                <w:sz w:val="18"/>
                <w:szCs w:val="18"/>
                <w:u w:val="none"/>
              </w:rPr>
            </w:pPr>
          </w:p>
        </w:tc>
        <w:tc>
          <w:tcPr>
            <w:tcW w:w="21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A3CC6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185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E15BE03">
            <w:pPr>
              <w:jc w:val="center"/>
              <w:rPr>
                <w:rFonts w:hint="eastAsia" w:ascii="微软雅黑" w:hAnsi="微软雅黑" w:eastAsia="微软雅黑" w:cs="微软雅黑"/>
                <w:i/>
                <w:iCs/>
                <w:color w:val="000000"/>
                <w:sz w:val="16"/>
                <w:szCs w:val="16"/>
                <w:u w:val="none"/>
              </w:rPr>
            </w:pPr>
          </w:p>
        </w:tc>
        <w:tc>
          <w:tcPr>
            <w:tcW w:w="2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2A6E59">
            <w:pPr>
              <w:jc w:val="center"/>
              <w:rPr>
                <w:rFonts w:hint="eastAsia" w:ascii="微软雅黑" w:hAnsi="微软雅黑" w:eastAsia="微软雅黑" w:cs="微软雅黑"/>
                <w:i/>
                <w:iCs/>
                <w:color w:val="000000"/>
                <w:sz w:val="16"/>
                <w:szCs w:val="16"/>
                <w:u w:val="none"/>
              </w:rPr>
            </w:pPr>
          </w:p>
        </w:tc>
        <w:tc>
          <w:tcPr>
            <w:tcW w:w="2840"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AA53D95">
            <w:pPr>
              <w:jc w:val="center"/>
              <w:rPr>
                <w:rFonts w:hint="eastAsia" w:ascii="微软雅黑" w:hAnsi="微软雅黑" w:eastAsia="微软雅黑" w:cs="微软雅黑"/>
                <w:i/>
                <w:iCs/>
                <w:color w:val="000000"/>
                <w:sz w:val="16"/>
                <w:szCs w:val="16"/>
                <w:u w:val="none"/>
              </w:rPr>
            </w:pPr>
          </w:p>
        </w:tc>
        <w:tc>
          <w:tcPr>
            <w:tcW w:w="113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27C13FE">
            <w:pPr>
              <w:jc w:val="center"/>
              <w:rPr>
                <w:rFonts w:hint="eastAsia" w:ascii="微软雅黑" w:hAnsi="微软雅黑" w:eastAsia="微软雅黑" w:cs="微软雅黑"/>
                <w:i/>
                <w:iCs/>
                <w:color w:val="000000"/>
                <w:sz w:val="16"/>
                <w:szCs w:val="16"/>
                <w:u w:val="none"/>
              </w:rPr>
            </w:pPr>
          </w:p>
        </w:tc>
        <w:tc>
          <w:tcPr>
            <w:tcW w:w="61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ED0CA3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E3431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8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923E0C">
            <w:pPr>
              <w:rPr>
                <w:rFonts w:hint="eastAsia" w:ascii="黑体" w:hAnsi="黑体" w:eastAsia="黑体" w:cs="黑体"/>
                <w:i w:val="0"/>
                <w:iCs w:val="0"/>
                <w:color w:val="000000"/>
                <w:sz w:val="18"/>
                <w:szCs w:val="18"/>
                <w:u w:val="none"/>
              </w:rPr>
            </w:pPr>
          </w:p>
        </w:tc>
      </w:tr>
      <w:tr w14:paraId="790F85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71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2042ED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21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8D854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85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B13CCC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2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B9FB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4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D8569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175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8E600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54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6EA291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113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2C9A5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61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F603C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59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BC386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8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B536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1A0251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71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14E7FE">
            <w:pPr>
              <w:jc w:val="center"/>
              <w:rPr>
                <w:rFonts w:hint="eastAsia" w:ascii="宋体" w:hAnsi="宋体" w:eastAsia="宋体" w:cs="宋体"/>
                <w:i w:val="0"/>
                <w:iCs w:val="0"/>
                <w:color w:val="000000"/>
                <w:sz w:val="18"/>
                <w:szCs w:val="18"/>
                <w:u w:val="none"/>
              </w:rPr>
            </w:pPr>
          </w:p>
        </w:tc>
        <w:tc>
          <w:tcPr>
            <w:tcW w:w="214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15069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85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46A56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2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06A58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办案质量</w:t>
            </w:r>
          </w:p>
        </w:tc>
        <w:tc>
          <w:tcPr>
            <w:tcW w:w="54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97B4F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75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692981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54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58857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13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FEAA52D">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90</w:t>
            </w:r>
          </w:p>
        </w:tc>
        <w:tc>
          <w:tcPr>
            <w:tcW w:w="61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5D3AC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59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C05B5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8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774957">
            <w:pPr>
              <w:jc w:val="center"/>
              <w:rPr>
                <w:rFonts w:hint="eastAsia" w:ascii="微软雅黑" w:hAnsi="微软雅黑" w:eastAsia="微软雅黑" w:cs="微软雅黑"/>
                <w:i/>
                <w:iCs/>
                <w:color w:val="000000"/>
                <w:sz w:val="16"/>
                <w:szCs w:val="16"/>
                <w:u w:val="none"/>
              </w:rPr>
            </w:pPr>
          </w:p>
        </w:tc>
      </w:tr>
      <w:tr w14:paraId="6FAB26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71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5F1C25">
            <w:pPr>
              <w:jc w:val="center"/>
              <w:rPr>
                <w:rFonts w:hint="eastAsia" w:ascii="宋体" w:hAnsi="宋体" w:eastAsia="宋体" w:cs="宋体"/>
                <w:i w:val="0"/>
                <w:iCs w:val="0"/>
                <w:color w:val="000000"/>
                <w:sz w:val="18"/>
                <w:szCs w:val="18"/>
                <w:u w:val="none"/>
              </w:rPr>
            </w:pPr>
          </w:p>
        </w:tc>
        <w:tc>
          <w:tcPr>
            <w:tcW w:w="214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B222E4">
            <w:pPr>
              <w:jc w:val="center"/>
              <w:rPr>
                <w:rFonts w:hint="eastAsia" w:ascii="宋体" w:hAnsi="宋体" w:eastAsia="宋体" w:cs="宋体"/>
                <w:i w:val="0"/>
                <w:iCs w:val="0"/>
                <w:color w:val="000000"/>
                <w:sz w:val="18"/>
                <w:szCs w:val="18"/>
                <w:u w:val="none"/>
              </w:rPr>
            </w:pPr>
          </w:p>
        </w:tc>
        <w:tc>
          <w:tcPr>
            <w:tcW w:w="185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CCFCF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2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1BDA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保障移动办案业务平台和执勤执法车辆GPS正常使用</w:t>
            </w:r>
          </w:p>
        </w:tc>
        <w:tc>
          <w:tcPr>
            <w:tcW w:w="54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9562F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75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D8D26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4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4C95D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13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9E65272">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100</w:t>
            </w:r>
          </w:p>
        </w:tc>
        <w:tc>
          <w:tcPr>
            <w:tcW w:w="61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D76AA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59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ED58C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28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5DE6E6">
            <w:pPr>
              <w:jc w:val="center"/>
              <w:rPr>
                <w:rFonts w:hint="eastAsia" w:ascii="微软雅黑" w:hAnsi="微软雅黑" w:eastAsia="微软雅黑" w:cs="微软雅黑"/>
                <w:i/>
                <w:iCs/>
                <w:color w:val="000000"/>
                <w:sz w:val="16"/>
                <w:szCs w:val="16"/>
                <w:u w:val="none"/>
              </w:rPr>
            </w:pPr>
          </w:p>
        </w:tc>
      </w:tr>
      <w:tr w14:paraId="6892725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71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6D2B02">
            <w:pPr>
              <w:jc w:val="center"/>
              <w:rPr>
                <w:rFonts w:hint="eastAsia" w:ascii="宋体" w:hAnsi="宋体" w:eastAsia="宋体" w:cs="宋体"/>
                <w:i w:val="0"/>
                <w:iCs w:val="0"/>
                <w:color w:val="000000"/>
                <w:sz w:val="18"/>
                <w:szCs w:val="18"/>
                <w:u w:val="none"/>
              </w:rPr>
            </w:pPr>
          </w:p>
        </w:tc>
        <w:tc>
          <w:tcPr>
            <w:tcW w:w="21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524381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85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F381A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经济效益指标</w:t>
            </w:r>
          </w:p>
        </w:tc>
        <w:tc>
          <w:tcPr>
            <w:tcW w:w="2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A2B1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有效为群众挽回经济损失</w:t>
            </w:r>
          </w:p>
        </w:tc>
        <w:tc>
          <w:tcPr>
            <w:tcW w:w="54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EBF87E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75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5B9BA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54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7BD6E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13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13FE3B8">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90</w:t>
            </w:r>
          </w:p>
        </w:tc>
        <w:tc>
          <w:tcPr>
            <w:tcW w:w="61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9A0AA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59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E7BBD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8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C6C56D">
            <w:pPr>
              <w:jc w:val="center"/>
              <w:rPr>
                <w:rFonts w:hint="eastAsia" w:ascii="微软雅黑" w:hAnsi="微软雅黑" w:eastAsia="微软雅黑" w:cs="微软雅黑"/>
                <w:i/>
                <w:iCs/>
                <w:color w:val="000000"/>
                <w:sz w:val="16"/>
                <w:szCs w:val="16"/>
                <w:u w:val="none"/>
              </w:rPr>
            </w:pPr>
          </w:p>
        </w:tc>
      </w:tr>
      <w:tr w14:paraId="7CF377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71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25E22E">
            <w:pPr>
              <w:jc w:val="center"/>
              <w:rPr>
                <w:rFonts w:hint="eastAsia" w:ascii="宋体" w:hAnsi="宋体" w:eastAsia="宋体" w:cs="宋体"/>
                <w:i w:val="0"/>
                <w:iCs w:val="0"/>
                <w:color w:val="000000"/>
                <w:sz w:val="18"/>
                <w:szCs w:val="18"/>
                <w:u w:val="none"/>
              </w:rPr>
            </w:pPr>
          </w:p>
        </w:tc>
        <w:tc>
          <w:tcPr>
            <w:tcW w:w="21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69A4B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185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67BB1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2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1EB5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干警满意度</w:t>
            </w:r>
          </w:p>
        </w:tc>
        <w:tc>
          <w:tcPr>
            <w:tcW w:w="54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D111C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75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7E941A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54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43DC4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13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7F9FFF5">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90</w:t>
            </w:r>
          </w:p>
        </w:tc>
        <w:tc>
          <w:tcPr>
            <w:tcW w:w="61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ECB2B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59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2C874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8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AFBA40">
            <w:pPr>
              <w:jc w:val="center"/>
              <w:rPr>
                <w:rFonts w:hint="eastAsia" w:ascii="微软雅黑" w:hAnsi="微软雅黑" w:eastAsia="微软雅黑" w:cs="微软雅黑"/>
                <w:i/>
                <w:iCs/>
                <w:color w:val="000000"/>
                <w:sz w:val="16"/>
                <w:szCs w:val="16"/>
                <w:u w:val="none"/>
              </w:rPr>
            </w:pPr>
          </w:p>
        </w:tc>
      </w:tr>
      <w:tr w14:paraId="59169F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71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1796D8">
            <w:pPr>
              <w:jc w:val="center"/>
              <w:rPr>
                <w:rFonts w:hint="eastAsia" w:ascii="宋体" w:hAnsi="宋体" w:eastAsia="宋体" w:cs="宋体"/>
                <w:i w:val="0"/>
                <w:iCs w:val="0"/>
                <w:color w:val="000000"/>
                <w:sz w:val="18"/>
                <w:szCs w:val="18"/>
                <w:u w:val="none"/>
              </w:rPr>
            </w:pPr>
          </w:p>
        </w:tc>
        <w:tc>
          <w:tcPr>
            <w:tcW w:w="21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FC753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185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A1E1B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2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143E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维护系统正常运行开支</w:t>
            </w:r>
          </w:p>
        </w:tc>
        <w:tc>
          <w:tcPr>
            <w:tcW w:w="54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66CD2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75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543BC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210000</w:t>
            </w:r>
          </w:p>
        </w:tc>
        <w:tc>
          <w:tcPr>
            <w:tcW w:w="54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2EB9D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元</w:t>
            </w:r>
          </w:p>
        </w:tc>
        <w:tc>
          <w:tcPr>
            <w:tcW w:w="113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358AF02">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210000</w:t>
            </w:r>
          </w:p>
        </w:tc>
        <w:tc>
          <w:tcPr>
            <w:tcW w:w="61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A7BED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59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3291A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8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81AA9B">
            <w:pPr>
              <w:jc w:val="center"/>
              <w:rPr>
                <w:rFonts w:hint="eastAsia" w:ascii="微软雅黑" w:hAnsi="微软雅黑" w:eastAsia="微软雅黑" w:cs="微软雅黑"/>
                <w:i/>
                <w:iCs/>
                <w:color w:val="000000"/>
                <w:sz w:val="16"/>
                <w:szCs w:val="16"/>
                <w:u w:val="none"/>
              </w:rPr>
            </w:pPr>
          </w:p>
        </w:tc>
      </w:tr>
      <w:tr w14:paraId="28D906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11047" w:type="dxa"/>
            <w:gridSpan w:val="15"/>
            <w:tcBorders>
              <w:top w:val="single" w:color="000000" w:sz="4" w:space="0"/>
              <w:left w:val="single" w:color="000000" w:sz="4" w:space="0"/>
              <w:bottom w:val="single" w:color="000000" w:sz="4" w:space="0"/>
              <w:right w:val="single" w:color="000000" w:sz="4" w:space="0"/>
            </w:tcBorders>
            <w:shd w:val="clear" w:color="auto" w:fill="auto"/>
            <w:vAlign w:val="center"/>
          </w:tcPr>
          <w:p w14:paraId="1AC9F92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61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0869A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9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C72D6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8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17833B">
            <w:pPr>
              <w:rPr>
                <w:rFonts w:hint="eastAsia" w:ascii="宋体" w:hAnsi="宋体" w:eastAsia="宋体" w:cs="宋体"/>
                <w:i w:val="0"/>
                <w:iCs w:val="0"/>
                <w:color w:val="000000"/>
                <w:sz w:val="18"/>
                <w:szCs w:val="18"/>
                <w:u w:val="none"/>
              </w:rPr>
            </w:pPr>
          </w:p>
        </w:tc>
      </w:tr>
      <w:tr w14:paraId="038913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3" w:hRule="atLeast"/>
        </w:trPr>
        <w:tc>
          <w:tcPr>
            <w:tcW w:w="71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8A56E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14438" w:type="dxa"/>
            <w:gridSpan w:val="18"/>
            <w:tcBorders>
              <w:top w:val="single" w:color="000000" w:sz="4" w:space="0"/>
              <w:left w:val="single" w:color="000000" w:sz="4" w:space="0"/>
              <w:bottom w:val="single" w:color="000000" w:sz="4" w:space="0"/>
              <w:right w:val="single" w:color="000000" w:sz="4" w:space="0"/>
            </w:tcBorders>
            <w:shd w:val="clear" w:color="auto" w:fill="auto"/>
            <w:vAlign w:val="center"/>
          </w:tcPr>
          <w:p w14:paraId="369DE735">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6"/>
                <w:szCs w:val="16"/>
                <w:u w:val="none"/>
                <w:lang w:val="en-US" w:eastAsia="zh-CN" w:bidi="ar"/>
              </w:rPr>
              <w:t>全年实现对移动办案平台终端维修维护，全年对6辆执法执勤用车GPS实施用车全程监控服务，保障办案和检察业务工作中用车安全和科学性。</w:t>
            </w:r>
          </w:p>
        </w:tc>
      </w:tr>
      <w:tr w14:paraId="6F2CCC2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2" w:hRule="atLeast"/>
        </w:trPr>
        <w:tc>
          <w:tcPr>
            <w:tcW w:w="71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BC69C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14438" w:type="dxa"/>
            <w:gridSpan w:val="18"/>
            <w:tcBorders>
              <w:top w:val="single" w:color="000000" w:sz="4" w:space="0"/>
              <w:left w:val="single" w:color="000000" w:sz="4" w:space="0"/>
              <w:bottom w:val="single" w:color="000000" w:sz="4" w:space="0"/>
              <w:right w:val="single" w:color="000000" w:sz="4" w:space="0"/>
            </w:tcBorders>
            <w:shd w:val="clear" w:color="auto" w:fill="auto"/>
            <w:vAlign w:val="center"/>
          </w:tcPr>
          <w:p w14:paraId="3CBF2B3D">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6"/>
                <w:szCs w:val="16"/>
                <w:u w:val="none"/>
                <w:lang w:val="en-US" w:eastAsia="zh-CN" w:bidi="ar"/>
              </w:rPr>
              <w:t>随着办案案件增加和办案质量时效的提高，对办案平台和车辆运行执行成本越高，现有的经费保障略显不足。</w:t>
            </w:r>
          </w:p>
        </w:tc>
      </w:tr>
      <w:tr w14:paraId="5DA990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71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98618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14438" w:type="dxa"/>
            <w:gridSpan w:val="18"/>
            <w:tcBorders>
              <w:top w:val="single" w:color="000000" w:sz="4" w:space="0"/>
              <w:left w:val="single" w:color="000000" w:sz="4" w:space="0"/>
              <w:bottom w:val="single" w:color="000000" w:sz="4" w:space="0"/>
              <w:right w:val="single" w:color="000000" w:sz="4" w:space="0"/>
            </w:tcBorders>
            <w:shd w:val="clear" w:color="auto" w:fill="auto"/>
            <w:vAlign w:val="center"/>
          </w:tcPr>
          <w:p w14:paraId="4A3AF625">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6"/>
                <w:szCs w:val="16"/>
                <w:u w:val="none"/>
                <w:lang w:val="en-US" w:eastAsia="zh-CN" w:bidi="ar"/>
              </w:rPr>
              <w:t>建议加大经费投入，确保经费充足，保障日常运行到位。</w:t>
            </w:r>
          </w:p>
        </w:tc>
      </w:tr>
      <w:tr w14:paraId="47C573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7612"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5C626AD4">
            <w:pPr>
              <w:keepNext w:val="0"/>
              <w:keepLines w:val="0"/>
              <w:widowControl/>
              <w:suppressLineNumbers w:val="0"/>
              <w:jc w:val="left"/>
              <w:textAlignment w:val="center"/>
              <w:rPr>
                <w:rFonts w:hint="default" w:ascii="黑体" w:hAnsi="黑体" w:eastAsia="黑体" w:cs="黑体"/>
                <w:i w:val="0"/>
                <w:iCs w:val="0"/>
                <w:color w:val="000000"/>
                <w:sz w:val="18"/>
                <w:szCs w:val="18"/>
                <w:u w:val="none"/>
                <w:lang w:val="en-US"/>
              </w:rPr>
            </w:pPr>
            <w:r>
              <w:rPr>
                <w:rFonts w:hint="eastAsia" w:ascii="黑体" w:hAnsi="黑体" w:eastAsia="黑体" w:cs="黑体"/>
                <w:i w:val="0"/>
                <w:iCs w:val="0"/>
                <w:color w:val="000000"/>
                <w:kern w:val="0"/>
                <w:sz w:val="18"/>
                <w:szCs w:val="18"/>
                <w:u w:val="none"/>
                <w:lang w:val="en-US" w:eastAsia="zh-CN" w:bidi="ar"/>
              </w:rPr>
              <w:t>项目负责人：梁娟</w:t>
            </w:r>
          </w:p>
        </w:tc>
        <w:tc>
          <w:tcPr>
            <w:tcW w:w="7538"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17418383">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财务负责人：吴芳</w:t>
            </w:r>
          </w:p>
        </w:tc>
      </w:tr>
      <w:tr w14:paraId="2202DF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682" w:type="dxa"/>
            <w:tcBorders>
              <w:top w:val="nil"/>
              <w:left w:val="nil"/>
              <w:bottom w:val="nil"/>
              <w:right w:val="nil"/>
            </w:tcBorders>
            <w:shd w:val="clear" w:color="auto" w:fill="auto"/>
            <w:vAlign w:val="center"/>
          </w:tcPr>
          <w:p w14:paraId="097B758C">
            <w:pPr>
              <w:rPr>
                <w:rFonts w:hint="eastAsia" w:ascii="宋体" w:hAnsi="宋体" w:eastAsia="宋体" w:cs="宋体"/>
                <w:i w:val="0"/>
                <w:iCs w:val="0"/>
                <w:color w:val="000000"/>
                <w:sz w:val="18"/>
                <w:szCs w:val="18"/>
                <w:u w:val="none"/>
              </w:rPr>
            </w:pPr>
          </w:p>
        </w:tc>
        <w:tc>
          <w:tcPr>
            <w:tcW w:w="2045" w:type="dxa"/>
            <w:gridSpan w:val="2"/>
            <w:tcBorders>
              <w:top w:val="nil"/>
              <w:left w:val="nil"/>
              <w:bottom w:val="nil"/>
              <w:right w:val="nil"/>
            </w:tcBorders>
            <w:shd w:val="clear" w:color="auto" w:fill="auto"/>
            <w:vAlign w:val="center"/>
          </w:tcPr>
          <w:p w14:paraId="2D50B68F">
            <w:pPr>
              <w:rPr>
                <w:rFonts w:hint="eastAsia" w:ascii="宋体" w:hAnsi="宋体" w:eastAsia="宋体" w:cs="宋体"/>
                <w:i w:val="0"/>
                <w:iCs w:val="0"/>
                <w:color w:val="000000"/>
                <w:sz w:val="18"/>
                <w:szCs w:val="18"/>
                <w:u w:val="none"/>
              </w:rPr>
            </w:pPr>
          </w:p>
        </w:tc>
        <w:tc>
          <w:tcPr>
            <w:tcW w:w="1770" w:type="dxa"/>
            <w:gridSpan w:val="2"/>
            <w:tcBorders>
              <w:top w:val="nil"/>
              <w:left w:val="nil"/>
              <w:bottom w:val="nil"/>
              <w:right w:val="nil"/>
            </w:tcBorders>
            <w:shd w:val="clear" w:color="auto" w:fill="auto"/>
            <w:vAlign w:val="center"/>
          </w:tcPr>
          <w:p w14:paraId="1DEC4DED">
            <w:pPr>
              <w:rPr>
                <w:rFonts w:hint="eastAsia" w:ascii="宋体" w:hAnsi="宋体" w:eastAsia="宋体" w:cs="宋体"/>
                <w:i w:val="0"/>
                <w:iCs w:val="0"/>
                <w:color w:val="000000"/>
                <w:sz w:val="18"/>
                <w:szCs w:val="18"/>
                <w:u w:val="none"/>
              </w:rPr>
            </w:pPr>
          </w:p>
          <w:p w14:paraId="623B24F1">
            <w:pPr>
              <w:rPr>
                <w:rFonts w:hint="eastAsia" w:ascii="宋体" w:hAnsi="宋体" w:eastAsia="宋体" w:cs="宋体"/>
                <w:i w:val="0"/>
                <w:iCs w:val="0"/>
                <w:color w:val="000000"/>
                <w:sz w:val="18"/>
                <w:szCs w:val="18"/>
                <w:u w:val="none"/>
              </w:rPr>
            </w:pPr>
          </w:p>
          <w:p w14:paraId="49FD4432">
            <w:pPr>
              <w:rPr>
                <w:rFonts w:hint="eastAsia" w:ascii="宋体" w:hAnsi="宋体" w:eastAsia="宋体" w:cs="宋体"/>
                <w:i w:val="0"/>
                <w:iCs w:val="0"/>
                <w:color w:val="000000"/>
                <w:sz w:val="18"/>
                <w:szCs w:val="18"/>
                <w:u w:val="none"/>
              </w:rPr>
            </w:pPr>
          </w:p>
          <w:p w14:paraId="3987D5FE">
            <w:pPr>
              <w:rPr>
                <w:rFonts w:hint="eastAsia" w:ascii="宋体" w:hAnsi="宋体" w:eastAsia="宋体" w:cs="宋体"/>
                <w:i w:val="0"/>
                <w:iCs w:val="0"/>
                <w:color w:val="000000"/>
                <w:sz w:val="18"/>
                <w:szCs w:val="18"/>
                <w:u w:val="none"/>
              </w:rPr>
            </w:pPr>
          </w:p>
          <w:p w14:paraId="72BF67D9">
            <w:pPr>
              <w:rPr>
                <w:rFonts w:hint="eastAsia" w:ascii="宋体" w:hAnsi="宋体" w:eastAsia="宋体" w:cs="宋体"/>
                <w:i w:val="0"/>
                <w:iCs w:val="0"/>
                <w:color w:val="000000"/>
                <w:sz w:val="18"/>
                <w:szCs w:val="18"/>
                <w:u w:val="none"/>
              </w:rPr>
            </w:pPr>
          </w:p>
          <w:p w14:paraId="6CF739C1">
            <w:pPr>
              <w:rPr>
                <w:rFonts w:hint="eastAsia" w:ascii="宋体" w:hAnsi="宋体" w:eastAsia="宋体" w:cs="宋体"/>
                <w:i w:val="0"/>
                <w:iCs w:val="0"/>
                <w:color w:val="000000"/>
                <w:sz w:val="18"/>
                <w:szCs w:val="18"/>
                <w:u w:val="none"/>
              </w:rPr>
            </w:pPr>
          </w:p>
          <w:p w14:paraId="0E147C9E">
            <w:pPr>
              <w:rPr>
                <w:rFonts w:hint="eastAsia" w:ascii="宋体" w:hAnsi="宋体" w:eastAsia="宋体" w:cs="宋体"/>
                <w:i w:val="0"/>
                <w:iCs w:val="0"/>
                <w:color w:val="000000"/>
                <w:sz w:val="18"/>
                <w:szCs w:val="18"/>
                <w:u w:val="none"/>
              </w:rPr>
            </w:pPr>
          </w:p>
          <w:p w14:paraId="462D1D8B">
            <w:pPr>
              <w:rPr>
                <w:rFonts w:hint="eastAsia" w:ascii="宋体" w:hAnsi="宋体" w:eastAsia="宋体" w:cs="宋体"/>
                <w:i w:val="0"/>
                <w:iCs w:val="0"/>
                <w:color w:val="000000"/>
                <w:sz w:val="18"/>
                <w:szCs w:val="18"/>
                <w:u w:val="none"/>
              </w:rPr>
            </w:pPr>
          </w:p>
          <w:p w14:paraId="058EE75E">
            <w:pPr>
              <w:rPr>
                <w:rFonts w:hint="eastAsia" w:ascii="宋体" w:hAnsi="宋体" w:eastAsia="宋体" w:cs="宋体"/>
                <w:i w:val="0"/>
                <w:iCs w:val="0"/>
                <w:color w:val="000000"/>
                <w:sz w:val="18"/>
                <w:szCs w:val="18"/>
                <w:u w:val="none"/>
              </w:rPr>
            </w:pPr>
          </w:p>
          <w:p w14:paraId="709DA5FB">
            <w:pPr>
              <w:rPr>
                <w:rFonts w:hint="eastAsia" w:ascii="宋体" w:hAnsi="宋体" w:eastAsia="宋体" w:cs="宋体"/>
                <w:i w:val="0"/>
                <w:iCs w:val="0"/>
                <w:color w:val="000000"/>
                <w:sz w:val="18"/>
                <w:szCs w:val="18"/>
                <w:u w:val="none"/>
              </w:rPr>
            </w:pPr>
          </w:p>
          <w:p w14:paraId="0F3DC41E">
            <w:pPr>
              <w:rPr>
                <w:rFonts w:hint="eastAsia" w:ascii="宋体" w:hAnsi="宋体" w:eastAsia="宋体" w:cs="宋体"/>
                <w:i w:val="0"/>
                <w:iCs w:val="0"/>
                <w:color w:val="000000"/>
                <w:sz w:val="18"/>
                <w:szCs w:val="18"/>
                <w:u w:val="none"/>
              </w:rPr>
            </w:pPr>
          </w:p>
          <w:p w14:paraId="233D5F3C">
            <w:pPr>
              <w:rPr>
                <w:rFonts w:hint="eastAsia" w:ascii="宋体" w:hAnsi="宋体" w:eastAsia="宋体" w:cs="宋体"/>
                <w:i w:val="0"/>
                <w:iCs w:val="0"/>
                <w:color w:val="000000"/>
                <w:sz w:val="18"/>
                <w:szCs w:val="18"/>
                <w:u w:val="none"/>
              </w:rPr>
            </w:pPr>
          </w:p>
        </w:tc>
        <w:tc>
          <w:tcPr>
            <w:tcW w:w="2675" w:type="dxa"/>
            <w:gridSpan w:val="3"/>
            <w:tcBorders>
              <w:top w:val="nil"/>
              <w:left w:val="nil"/>
              <w:bottom w:val="nil"/>
              <w:right w:val="nil"/>
            </w:tcBorders>
            <w:shd w:val="clear" w:color="auto" w:fill="auto"/>
            <w:vAlign w:val="center"/>
          </w:tcPr>
          <w:p w14:paraId="75029F24">
            <w:pPr>
              <w:rPr>
                <w:rFonts w:hint="eastAsia" w:ascii="宋体" w:hAnsi="宋体" w:eastAsia="宋体" w:cs="宋体"/>
                <w:i w:val="0"/>
                <w:iCs w:val="0"/>
                <w:color w:val="000000"/>
                <w:sz w:val="18"/>
                <w:szCs w:val="18"/>
                <w:u w:val="none"/>
              </w:rPr>
            </w:pPr>
          </w:p>
        </w:tc>
        <w:tc>
          <w:tcPr>
            <w:tcW w:w="520" w:type="dxa"/>
            <w:gridSpan w:val="2"/>
            <w:tcBorders>
              <w:top w:val="nil"/>
              <w:left w:val="nil"/>
              <w:bottom w:val="nil"/>
              <w:right w:val="nil"/>
            </w:tcBorders>
            <w:shd w:val="clear" w:color="auto" w:fill="auto"/>
            <w:vAlign w:val="center"/>
          </w:tcPr>
          <w:p w14:paraId="6E185A11">
            <w:pPr>
              <w:rPr>
                <w:rFonts w:hint="eastAsia" w:ascii="宋体" w:hAnsi="宋体" w:eastAsia="宋体" w:cs="宋体"/>
                <w:i w:val="0"/>
                <w:iCs w:val="0"/>
                <w:color w:val="000000"/>
                <w:sz w:val="18"/>
                <w:szCs w:val="18"/>
                <w:u w:val="none"/>
              </w:rPr>
            </w:pPr>
          </w:p>
        </w:tc>
        <w:tc>
          <w:tcPr>
            <w:tcW w:w="1672" w:type="dxa"/>
            <w:tcBorders>
              <w:top w:val="nil"/>
              <w:left w:val="nil"/>
              <w:bottom w:val="nil"/>
              <w:right w:val="nil"/>
            </w:tcBorders>
            <w:shd w:val="clear" w:color="auto" w:fill="auto"/>
            <w:vAlign w:val="center"/>
          </w:tcPr>
          <w:p w14:paraId="6C68C823">
            <w:pPr>
              <w:rPr>
                <w:rFonts w:hint="eastAsia" w:ascii="宋体" w:hAnsi="宋体" w:eastAsia="宋体" w:cs="宋体"/>
                <w:i w:val="0"/>
                <w:iCs w:val="0"/>
                <w:color w:val="000000"/>
                <w:sz w:val="18"/>
                <w:szCs w:val="18"/>
                <w:u w:val="none"/>
              </w:rPr>
            </w:pPr>
          </w:p>
        </w:tc>
        <w:tc>
          <w:tcPr>
            <w:tcW w:w="520" w:type="dxa"/>
            <w:tcBorders>
              <w:top w:val="nil"/>
              <w:left w:val="nil"/>
              <w:bottom w:val="nil"/>
              <w:right w:val="nil"/>
            </w:tcBorders>
            <w:shd w:val="clear" w:color="auto" w:fill="auto"/>
            <w:vAlign w:val="center"/>
          </w:tcPr>
          <w:p w14:paraId="127BDD9A">
            <w:pPr>
              <w:rPr>
                <w:rFonts w:hint="eastAsia" w:ascii="宋体" w:hAnsi="宋体" w:eastAsia="宋体" w:cs="宋体"/>
                <w:i w:val="0"/>
                <w:iCs w:val="0"/>
                <w:color w:val="000000"/>
                <w:sz w:val="18"/>
                <w:szCs w:val="18"/>
                <w:u w:val="none"/>
              </w:rPr>
            </w:pPr>
          </w:p>
        </w:tc>
        <w:tc>
          <w:tcPr>
            <w:tcW w:w="1090" w:type="dxa"/>
            <w:gridSpan w:val="2"/>
            <w:tcBorders>
              <w:top w:val="nil"/>
              <w:left w:val="nil"/>
              <w:bottom w:val="nil"/>
              <w:right w:val="nil"/>
            </w:tcBorders>
            <w:shd w:val="clear" w:color="auto" w:fill="auto"/>
            <w:vAlign w:val="center"/>
          </w:tcPr>
          <w:p w14:paraId="34091187">
            <w:pPr>
              <w:rPr>
                <w:rFonts w:hint="eastAsia" w:ascii="宋体" w:hAnsi="宋体" w:eastAsia="宋体" w:cs="宋体"/>
                <w:i w:val="0"/>
                <w:iCs w:val="0"/>
                <w:color w:val="000000"/>
                <w:sz w:val="18"/>
                <w:szCs w:val="18"/>
                <w:u w:val="none"/>
              </w:rPr>
            </w:pPr>
          </w:p>
        </w:tc>
        <w:tc>
          <w:tcPr>
            <w:tcW w:w="505" w:type="dxa"/>
            <w:gridSpan w:val="2"/>
            <w:tcBorders>
              <w:top w:val="nil"/>
              <w:left w:val="nil"/>
              <w:bottom w:val="nil"/>
              <w:right w:val="nil"/>
            </w:tcBorders>
            <w:shd w:val="clear" w:color="auto" w:fill="auto"/>
            <w:vAlign w:val="center"/>
          </w:tcPr>
          <w:p w14:paraId="41C40B4B">
            <w:pPr>
              <w:rPr>
                <w:rFonts w:hint="eastAsia" w:ascii="宋体" w:hAnsi="宋体" w:eastAsia="宋体" w:cs="宋体"/>
                <w:i w:val="0"/>
                <w:iCs w:val="0"/>
                <w:color w:val="000000"/>
                <w:sz w:val="18"/>
                <w:szCs w:val="18"/>
                <w:u w:val="none"/>
              </w:rPr>
            </w:pPr>
          </w:p>
        </w:tc>
        <w:tc>
          <w:tcPr>
            <w:tcW w:w="486" w:type="dxa"/>
            <w:gridSpan w:val="2"/>
            <w:tcBorders>
              <w:top w:val="nil"/>
              <w:left w:val="nil"/>
              <w:bottom w:val="nil"/>
              <w:right w:val="nil"/>
            </w:tcBorders>
            <w:shd w:val="clear" w:color="auto" w:fill="auto"/>
            <w:vAlign w:val="center"/>
          </w:tcPr>
          <w:p w14:paraId="5C2C14A4">
            <w:pPr>
              <w:rPr>
                <w:rFonts w:hint="eastAsia" w:ascii="宋体" w:hAnsi="宋体" w:eastAsia="宋体" w:cs="宋体"/>
                <w:i w:val="0"/>
                <w:iCs w:val="0"/>
                <w:color w:val="000000"/>
                <w:sz w:val="18"/>
                <w:szCs w:val="18"/>
                <w:u w:val="none"/>
              </w:rPr>
            </w:pPr>
          </w:p>
        </w:tc>
        <w:tc>
          <w:tcPr>
            <w:tcW w:w="3185" w:type="dxa"/>
            <w:gridSpan w:val="2"/>
            <w:tcBorders>
              <w:top w:val="nil"/>
              <w:left w:val="nil"/>
              <w:bottom w:val="nil"/>
              <w:right w:val="nil"/>
            </w:tcBorders>
            <w:shd w:val="clear" w:color="auto" w:fill="auto"/>
            <w:vAlign w:val="center"/>
          </w:tcPr>
          <w:p w14:paraId="415BBBF8">
            <w:pPr>
              <w:rPr>
                <w:rFonts w:hint="eastAsia" w:ascii="宋体" w:hAnsi="宋体" w:eastAsia="宋体" w:cs="宋体"/>
                <w:i w:val="0"/>
                <w:iCs w:val="0"/>
                <w:color w:val="000000"/>
                <w:sz w:val="18"/>
                <w:szCs w:val="18"/>
                <w:u w:val="none"/>
              </w:rPr>
            </w:pPr>
          </w:p>
        </w:tc>
      </w:tr>
    </w:tbl>
    <w:p w14:paraId="655B3DF4">
      <w:pPr>
        <w:widowControl/>
        <w:jc w:val="center"/>
        <w:rPr>
          <w:rFonts w:hint="eastAsia" w:ascii="黑体" w:hAnsi="黑体" w:eastAsia="黑体"/>
          <w:color w:val="auto"/>
          <w:sz w:val="44"/>
          <w:szCs w:val="44"/>
          <w:highlight w:val="none"/>
        </w:rPr>
        <w:sectPr>
          <w:pgSz w:w="16838" w:h="11906" w:orient="landscape"/>
          <w:pgMar w:top="1800" w:right="1440" w:bottom="1800" w:left="1440" w:header="851" w:footer="992" w:gutter="0"/>
          <w:pgNumType w:fmt="decimal"/>
          <w:cols w:space="425" w:num="1"/>
          <w:titlePg/>
          <w:docGrid w:type="lines" w:linePitch="312" w:charSpace="0"/>
        </w:sectPr>
      </w:pPr>
    </w:p>
    <w:tbl>
      <w:tblPr>
        <w:tblStyle w:val="18"/>
        <w:tblW w:w="14505"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83"/>
        <w:gridCol w:w="2050"/>
        <w:gridCol w:w="1774"/>
        <w:gridCol w:w="2262"/>
        <w:gridCol w:w="521"/>
        <w:gridCol w:w="1676"/>
        <w:gridCol w:w="521"/>
        <w:gridCol w:w="1091"/>
        <w:gridCol w:w="585"/>
        <w:gridCol w:w="570"/>
        <w:gridCol w:w="2772"/>
      </w:tblGrid>
      <w:tr w14:paraId="55CD7B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14515"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6AA1096E">
            <w:pPr>
              <w:keepNext w:val="0"/>
              <w:keepLines w:val="0"/>
              <w:widowControl/>
              <w:suppressLineNumbers w:val="0"/>
              <w:jc w:val="center"/>
              <w:textAlignment w:val="center"/>
              <w:rPr>
                <w:rFonts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7FBEF9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73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565C6A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11779"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604DDB0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51190025T000013195606-2025年年初部门预算特定目标类项目157001南江县检察院办案业务经费</w:t>
            </w:r>
          </w:p>
        </w:tc>
      </w:tr>
      <w:tr w14:paraId="0BD2B1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2" w:hRule="atLeast"/>
        </w:trPr>
        <w:tc>
          <w:tcPr>
            <w:tcW w:w="273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B8E58C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675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D07806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南江县检察院部门</w:t>
            </w:r>
          </w:p>
        </w:tc>
        <w:tc>
          <w:tcPr>
            <w:tcW w:w="1091" w:type="dxa"/>
            <w:tcBorders>
              <w:top w:val="nil"/>
              <w:left w:val="nil"/>
              <w:bottom w:val="nil"/>
              <w:right w:val="nil"/>
            </w:tcBorders>
            <w:shd w:val="clear" w:color="auto" w:fill="auto"/>
            <w:vAlign w:val="center"/>
          </w:tcPr>
          <w:p w14:paraId="1F91444A">
            <w:pPr>
              <w:keepNext w:val="0"/>
              <w:keepLines w:val="0"/>
              <w:widowControl/>
              <w:suppressLineNumbers w:val="0"/>
              <w:jc w:val="left"/>
              <w:textAlignment w:val="center"/>
              <w:rPr>
                <w:rFonts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393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4A9489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南江县检察院</w:t>
            </w:r>
          </w:p>
        </w:tc>
      </w:tr>
      <w:tr w14:paraId="4A9F97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ADC932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205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071ADA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675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130BC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502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0B8F81B">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年度目标完成情况</w:t>
            </w:r>
          </w:p>
        </w:tc>
      </w:tr>
      <w:tr w14:paraId="68257F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60"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ECA56B">
            <w:pPr>
              <w:rPr>
                <w:rFonts w:hint="eastAsia" w:ascii="宋体" w:hAnsi="宋体" w:eastAsia="宋体" w:cs="宋体"/>
                <w:i w:val="0"/>
                <w:iCs w:val="0"/>
                <w:color w:val="000000"/>
                <w:sz w:val="18"/>
                <w:szCs w:val="18"/>
                <w:u w:val="none"/>
              </w:rPr>
            </w:pPr>
          </w:p>
        </w:tc>
        <w:tc>
          <w:tcPr>
            <w:tcW w:w="20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BD78EB">
            <w:pPr>
              <w:rPr>
                <w:rFonts w:hint="eastAsia" w:ascii="宋体" w:hAnsi="宋体" w:eastAsia="宋体" w:cs="宋体"/>
                <w:i w:val="0"/>
                <w:iCs w:val="0"/>
                <w:color w:val="000000"/>
                <w:sz w:val="18"/>
                <w:szCs w:val="18"/>
                <w:u w:val="none"/>
              </w:rPr>
            </w:pPr>
          </w:p>
        </w:tc>
        <w:tc>
          <w:tcPr>
            <w:tcW w:w="675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72446F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保障刑事检察、民事检察、公益诉讼等案件过程中发生的交通费、差旅费等支出，确保检察工作正常开展</w:t>
            </w:r>
          </w:p>
        </w:tc>
        <w:tc>
          <w:tcPr>
            <w:tcW w:w="502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B0CB06D">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本年度办案业务经费项目在保障案件办理、提升了办案效率和质量以及成本控制等方面均取得了显著成效，顺利完成了年初设定的各项工作目标。加强了办案业务经费管理，优化资金使用效益，持续改进了工作中存在的问题，不断提升办案工作水平，为维护社会公平正义和稳定做出了更大的贡献。</w:t>
            </w:r>
          </w:p>
        </w:tc>
      </w:tr>
      <w:tr w14:paraId="0B91C2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D85656">
            <w:pP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F79A9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11779"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0A34E41E">
            <w:pPr>
              <w:rPr>
                <w:rFonts w:hint="eastAsia" w:ascii="宋体" w:hAnsi="宋体" w:eastAsia="宋体" w:cs="宋体"/>
                <w:i w:val="0"/>
                <w:iCs w:val="0"/>
                <w:color w:val="000000"/>
                <w:sz w:val="18"/>
                <w:szCs w:val="18"/>
                <w:u w:val="none"/>
              </w:rPr>
            </w:pPr>
          </w:p>
        </w:tc>
      </w:tr>
      <w:tr w14:paraId="035C50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0DA8F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9630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9941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22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B7A4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27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104B3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7BC5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E0E4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01FB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1FF1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6DAFF0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6"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5895E9">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2695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CB2A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140.60</w:t>
            </w:r>
          </w:p>
        </w:tc>
        <w:tc>
          <w:tcPr>
            <w:tcW w:w="22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8ADD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140.60</w:t>
            </w:r>
          </w:p>
        </w:tc>
        <w:tc>
          <w:tcPr>
            <w:tcW w:w="27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CB08A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140.60</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7484C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1AA5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4EF30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77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1858321">
            <w:pPr>
              <w:rPr>
                <w:rFonts w:hint="eastAsia" w:ascii="黑体" w:hAnsi="黑体" w:eastAsia="黑体" w:cs="黑体"/>
                <w:i/>
                <w:iCs/>
                <w:color w:val="000000"/>
                <w:sz w:val="18"/>
                <w:szCs w:val="18"/>
                <w:u w:val="none"/>
              </w:rPr>
            </w:pPr>
          </w:p>
        </w:tc>
      </w:tr>
      <w:tr w14:paraId="45F5A8E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E84F11">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38DD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3006E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140.60</w:t>
            </w:r>
          </w:p>
        </w:tc>
        <w:tc>
          <w:tcPr>
            <w:tcW w:w="22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B3E2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140.60</w:t>
            </w:r>
          </w:p>
        </w:tc>
        <w:tc>
          <w:tcPr>
            <w:tcW w:w="27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3843F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140.60</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9F2D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94A2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6499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7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1D18BA">
            <w:pPr>
              <w:rPr>
                <w:rFonts w:hint="eastAsia" w:ascii="黑体" w:hAnsi="黑体" w:eastAsia="黑体" w:cs="黑体"/>
                <w:i/>
                <w:iCs/>
                <w:color w:val="000000"/>
                <w:sz w:val="18"/>
                <w:szCs w:val="18"/>
                <w:u w:val="none"/>
              </w:rPr>
            </w:pPr>
          </w:p>
        </w:tc>
      </w:tr>
      <w:tr w14:paraId="47133B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F25F3D">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7F9C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3E49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2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05F0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7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1CD89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80C69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3EB1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F6D5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7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0860F3">
            <w:pPr>
              <w:rPr>
                <w:rFonts w:hint="eastAsia" w:ascii="黑体" w:hAnsi="黑体" w:eastAsia="黑体" w:cs="黑体"/>
                <w:i/>
                <w:iCs/>
                <w:color w:val="000000"/>
                <w:sz w:val="18"/>
                <w:szCs w:val="18"/>
                <w:u w:val="none"/>
              </w:rPr>
            </w:pPr>
          </w:p>
        </w:tc>
      </w:tr>
      <w:tr w14:paraId="18CBEF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4FA20D">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3AC5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B90F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2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04FB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7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AC702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AD01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4AFA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88C6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7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8D0B1F">
            <w:pPr>
              <w:rPr>
                <w:rFonts w:hint="eastAsia" w:ascii="黑体" w:hAnsi="黑体" w:eastAsia="黑体" w:cs="黑体"/>
                <w:i/>
                <w:iCs/>
                <w:color w:val="000000"/>
                <w:sz w:val="18"/>
                <w:szCs w:val="18"/>
                <w:u w:val="none"/>
              </w:rPr>
            </w:pPr>
          </w:p>
        </w:tc>
      </w:tr>
      <w:tr w14:paraId="1E9E54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6F21BC">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0BAD1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629E13">
            <w:pPr>
              <w:jc w:val="center"/>
              <w:rPr>
                <w:rFonts w:hint="eastAsia" w:ascii="微软雅黑" w:hAnsi="微软雅黑" w:eastAsia="微软雅黑" w:cs="微软雅黑"/>
                <w:i/>
                <w:iCs/>
                <w:color w:val="000000"/>
                <w:sz w:val="16"/>
                <w:szCs w:val="16"/>
                <w:u w:val="none"/>
              </w:rPr>
            </w:pPr>
          </w:p>
        </w:tc>
        <w:tc>
          <w:tcPr>
            <w:tcW w:w="22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96279B">
            <w:pPr>
              <w:jc w:val="center"/>
              <w:rPr>
                <w:rFonts w:hint="eastAsia" w:ascii="微软雅黑" w:hAnsi="微软雅黑" w:eastAsia="微软雅黑" w:cs="微软雅黑"/>
                <w:i/>
                <w:iCs/>
                <w:color w:val="000000"/>
                <w:sz w:val="16"/>
                <w:szCs w:val="16"/>
                <w:u w:val="none"/>
              </w:rPr>
            </w:pPr>
          </w:p>
        </w:tc>
        <w:tc>
          <w:tcPr>
            <w:tcW w:w="27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DC6AE2F">
            <w:pPr>
              <w:jc w:val="center"/>
              <w:rPr>
                <w:rFonts w:hint="eastAsia" w:ascii="微软雅黑" w:hAnsi="微软雅黑" w:eastAsia="微软雅黑" w:cs="微软雅黑"/>
                <w:i/>
                <w:iCs/>
                <w:color w:val="000000"/>
                <w:sz w:val="16"/>
                <w:szCs w:val="16"/>
                <w:u w:val="none"/>
              </w:rPr>
            </w:pP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BEF40C">
            <w:pPr>
              <w:jc w:val="center"/>
              <w:rPr>
                <w:rFonts w:hint="eastAsia" w:ascii="微软雅黑" w:hAnsi="微软雅黑" w:eastAsia="微软雅黑" w:cs="微软雅黑"/>
                <w:i/>
                <w:iCs/>
                <w:color w:val="000000"/>
                <w:sz w:val="16"/>
                <w:szCs w:val="16"/>
                <w:u w:val="none"/>
              </w:rPr>
            </w:pPr>
          </w:p>
        </w:tc>
        <w:tc>
          <w:tcPr>
            <w:tcW w:w="5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8592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6C3E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7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56FE2F">
            <w:pPr>
              <w:rPr>
                <w:rFonts w:hint="eastAsia" w:ascii="黑体" w:hAnsi="黑体" w:eastAsia="黑体" w:cs="黑体"/>
                <w:i/>
                <w:iCs/>
                <w:color w:val="000000"/>
                <w:sz w:val="18"/>
                <w:szCs w:val="18"/>
                <w:u w:val="none"/>
              </w:rPr>
            </w:pPr>
          </w:p>
        </w:tc>
      </w:tr>
      <w:tr w14:paraId="1BFF06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8CB45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0816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54A4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22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CEDD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E8BAA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1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6381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A7A5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DF67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CF3D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9B86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52AA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7B89B0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8A4FBE">
            <w:pPr>
              <w:jc w:val="center"/>
              <w:rPr>
                <w:rFonts w:hint="eastAsia" w:ascii="宋体" w:hAnsi="宋体" w:eastAsia="宋体" w:cs="宋体"/>
                <w:i w:val="0"/>
                <w:iCs w:val="0"/>
                <w:color w:val="000000"/>
                <w:sz w:val="18"/>
                <w:szCs w:val="18"/>
                <w:u w:val="none"/>
              </w:rPr>
            </w:pPr>
          </w:p>
        </w:tc>
        <w:tc>
          <w:tcPr>
            <w:tcW w:w="205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B09A6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4DDE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22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C1023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全年目标任务</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0C9A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BF10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E0DD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17ABC8">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100</w:t>
            </w:r>
          </w:p>
        </w:tc>
        <w:tc>
          <w:tcPr>
            <w:tcW w:w="5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E437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0E44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E51F8D">
            <w:pPr>
              <w:jc w:val="center"/>
              <w:rPr>
                <w:rFonts w:hint="eastAsia" w:ascii="微软雅黑" w:hAnsi="微软雅黑" w:eastAsia="微软雅黑" w:cs="微软雅黑"/>
                <w:i/>
                <w:iCs/>
                <w:color w:val="000000"/>
                <w:sz w:val="16"/>
                <w:szCs w:val="16"/>
                <w:u w:val="none"/>
              </w:rPr>
            </w:pPr>
          </w:p>
        </w:tc>
      </w:tr>
      <w:tr w14:paraId="02910F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FC11FB">
            <w:pPr>
              <w:jc w:val="center"/>
              <w:rPr>
                <w:rFonts w:hint="eastAsia" w:ascii="宋体" w:hAnsi="宋体" w:eastAsia="宋体" w:cs="宋体"/>
                <w:i w:val="0"/>
                <w:iCs w:val="0"/>
                <w:color w:val="000000"/>
                <w:sz w:val="18"/>
                <w:szCs w:val="18"/>
                <w:u w:val="none"/>
              </w:rPr>
            </w:pPr>
          </w:p>
        </w:tc>
        <w:tc>
          <w:tcPr>
            <w:tcW w:w="20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24163D">
            <w:pPr>
              <w:jc w:val="center"/>
              <w:rPr>
                <w:rFonts w:hint="eastAsia" w:ascii="宋体" w:hAnsi="宋体" w:eastAsia="宋体" w:cs="宋体"/>
                <w:i w:val="0"/>
                <w:iCs w:val="0"/>
                <w:color w:val="000000"/>
                <w:sz w:val="18"/>
                <w:szCs w:val="18"/>
                <w:u w:val="none"/>
              </w:rPr>
            </w:pP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EF8C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22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AB37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办案规范化</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BC72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B278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388CB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34795B">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90</w:t>
            </w:r>
          </w:p>
        </w:tc>
        <w:tc>
          <w:tcPr>
            <w:tcW w:w="5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DE25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EF62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954D7E">
            <w:pPr>
              <w:jc w:val="center"/>
              <w:rPr>
                <w:rFonts w:hint="eastAsia" w:ascii="微软雅黑" w:hAnsi="微软雅黑" w:eastAsia="微软雅黑" w:cs="微软雅黑"/>
                <w:i/>
                <w:iCs/>
                <w:color w:val="000000"/>
                <w:sz w:val="16"/>
                <w:szCs w:val="16"/>
                <w:u w:val="none"/>
              </w:rPr>
            </w:pPr>
          </w:p>
        </w:tc>
      </w:tr>
      <w:tr w14:paraId="4A62B0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C0A691">
            <w:pPr>
              <w:jc w:val="center"/>
              <w:rPr>
                <w:rFonts w:hint="eastAsia" w:ascii="宋体" w:hAnsi="宋体" w:eastAsia="宋体" w:cs="宋体"/>
                <w:i w:val="0"/>
                <w:iCs w:val="0"/>
                <w:color w:val="000000"/>
                <w:sz w:val="18"/>
                <w:szCs w:val="18"/>
                <w:u w:val="none"/>
              </w:rPr>
            </w:pPr>
          </w:p>
        </w:tc>
        <w:tc>
          <w:tcPr>
            <w:tcW w:w="20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6DBCEF">
            <w:pPr>
              <w:jc w:val="center"/>
              <w:rPr>
                <w:rFonts w:hint="eastAsia" w:ascii="宋体" w:hAnsi="宋体" w:eastAsia="宋体" w:cs="宋体"/>
                <w:i w:val="0"/>
                <w:iCs w:val="0"/>
                <w:color w:val="000000"/>
                <w:sz w:val="18"/>
                <w:szCs w:val="18"/>
                <w:u w:val="none"/>
              </w:rPr>
            </w:pP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3900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22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5003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办案时效</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41CD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3673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CCF1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276C15">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90</w:t>
            </w:r>
          </w:p>
        </w:tc>
        <w:tc>
          <w:tcPr>
            <w:tcW w:w="5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A368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69DA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482493">
            <w:pPr>
              <w:jc w:val="center"/>
              <w:rPr>
                <w:rFonts w:hint="eastAsia" w:ascii="微软雅黑" w:hAnsi="微软雅黑" w:eastAsia="微软雅黑" w:cs="微软雅黑"/>
                <w:i/>
                <w:iCs/>
                <w:color w:val="000000"/>
                <w:sz w:val="16"/>
                <w:szCs w:val="16"/>
                <w:u w:val="none"/>
              </w:rPr>
            </w:pPr>
          </w:p>
        </w:tc>
      </w:tr>
      <w:tr w14:paraId="343EAF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FBF778">
            <w:pPr>
              <w:jc w:val="center"/>
              <w:rPr>
                <w:rFonts w:hint="eastAsia" w:ascii="宋体" w:hAnsi="宋体" w:eastAsia="宋体" w:cs="宋体"/>
                <w:i w:val="0"/>
                <w:iCs w:val="0"/>
                <w:color w:val="000000"/>
                <w:sz w:val="18"/>
                <w:szCs w:val="18"/>
                <w:u w:val="none"/>
              </w:rPr>
            </w:pPr>
          </w:p>
        </w:tc>
        <w:tc>
          <w:tcPr>
            <w:tcW w:w="205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706AD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49EE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22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420B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为国家和群众挽回经济损失</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A266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A026D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A69F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5C7A74">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90</w:t>
            </w:r>
          </w:p>
        </w:tc>
        <w:tc>
          <w:tcPr>
            <w:tcW w:w="5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F6FB2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C56B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849FFA">
            <w:pPr>
              <w:jc w:val="center"/>
              <w:rPr>
                <w:rFonts w:hint="eastAsia" w:ascii="微软雅黑" w:hAnsi="微软雅黑" w:eastAsia="微软雅黑" w:cs="微软雅黑"/>
                <w:i/>
                <w:iCs/>
                <w:color w:val="000000"/>
                <w:sz w:val="16"/>
                <w:szCs w:val="16"/>
                <w:u w:val="none"/>
              </w:rPr>
            </w:pPr>
          </w:p>
        </w:tc>
      </w:tr>
      <w:tr w14:paraId="105217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ACCA78">
            <w:pPr>
              <w:jc w:val="center"/>
              <w:rPr>
                <w:rFonts w:hint="eastAsia" w:ascii="宋体" w:hAnsi="宋体" w:eastAsia="宋体" w:cs="宋体"/>
                <w:i w:val="0"/>
                <w:iCs w:val="0"/>
                <w:color w:val="000000"/>
                <w:sz w:val="18"/>
                <w:szCs w:val="18"/>
                <w:u w:val="none"/>
              </w:rPr>
            </w:pPr>
          </w:p>
        </w:tc>
        <w:tc>
          <w:tcPr>
            <w:tcW w:w="20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E543E7">
            <w:pPr>
              <w:jc w:val="center"/>
              <w:rPr>
                <w:rFonts w:hint="eastAsia" w:ascii="宋体" w:hAnsi="宋体" w:eastAsia="宋体" w:cs="宋体"/>
                <w:i w:val="0"/>
                <w:iCs w:val="0"/>
                <w:color w:val="000000"/>
                <w:sz w:val="18"/>
                <w:szCs w:val="18"/>
                <w:u w:val="none"/>
              </w:rPr>
            </w:pP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D802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可持续发展指标</w:t>
            </w:r>
          </w:p>
        </w:tc>
        <w:tc>
          <w:tcPr>
            <w:tcW w:w="22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FB85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确保检察业务可持续发展</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8112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49B9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85</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985E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914C4D">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85</w:t>
            </w:r>
          </w:p>
        </w:tc>
        <w:tc>
          <w:tcPr>
            <w:tcW w:w="5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72D7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392D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5E8DB9">
            <w:pPr>
              <w:jc w:val="center"/>
              <w:rPr>
                <w:rFonts w:hint="eastAsia" w:ascii="微软雅黑" w:hAnsi="微软雅黑" w:eastAsia="微软雅黑" w:cs="微软雅黑"/>
                <w:i/>
                <w:iCs/>
                <w:color w:val="000000"/>
                <w:sz w:val="16"/>
                <w:szCs w:val="16"/>
                <w:u w:val="none"/>
              </w:rPr>
            </w:pPr>
          </w:p>
        </w:tc>
      </w:tr>
      <w:tr w14:paraId="1FBB58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57715F">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FC0BF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BD47F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22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E494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群众满意度</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76D7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35B44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C2470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C20B04">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100</w:t>
            </w:r>
          </w:p>
        </w:tc>
        <w:tc>
          <w:tcPr>
            <w:tcW w:w="5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1DA4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BD49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FBF369">
            <w:pPr>
              <w:jc w:val="center"/>
              <w:rPr>
                <w:rFonts w:hint="eastAsia" w:ascii="微软雅黑" w:hAnsi="微软雅黑" w:eastAsia="微软雅黑" w:cs="微软雅黑"/>
                <w:i/>
                <w:iCs/>
                <w:color w:val="000000"/>
                <w:sz w:val="16"/>
                <w:szCs w:val="16"/>
                <w:u w:val="none"/>
              </w:rPr>
            </w:pPr>
          </w:p>
        </w:tc>
      </w:tr>
      <w:tr w14:paraId="05C5CE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0C91E5">
            <w:pPr>
              <w:jc w:val="center"/>
              <w:rPr>
                <w:rFonts w:hint="eastAsia" w:ascii="宋体" w:hAnsi="宋体" w:eastAsia="宋体" w:cs="宋体"/>
                <w:i w:val="0"/>
                <w:iCs w:val="0"/>
                <w:color w:val="000000"/>
                <w:sz w:val="18"/>
                <w:szCs w:val="18"/>
                <w:u w:val="none"/>
              </w:rPr>
            </w:pPr>
          </w:p>
        </w:tc>
        <w:tc>
          <w:tcPr>
            <w:tcW w:w="205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F86D6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19EC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22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71B0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办案成本开支</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6665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E5AD8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1406000</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4036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元</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A64CE3">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1406000</w:t>
            </w:r>
          </w:p>
        </w:tc>
        <w:tc>
          <w:tcPr>
            <w:tcW w:w="5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D8C5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A558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8D04ED">
            <w:pPr>
              <w:jc w:val="center"/>
              <w:rPr>
                <w:rFonts w:hint="eastAsia" w:ascii="微软雅黑" w:hAnsi="微软雅黑" w:eastAsia="微软雅黑" w:cs="微软雅黑"/>
                <w:i/>
                <w:iCs/>
                <w:color w:val="000000"/>
                <w:sz w:val="16"/>
                <w:szCs w:val="16"/>
                <w:u w:val="none"/>
              </w:rPr>
            </w:pPr>
          </w:p>
        </w:tc>
      </w:tr>
      <w:tr w14:paraId="5379DA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FBD3C9">
            <w:pPr>
              <w:jc w:val="center"/>
              <w:rPr>
                <w:rFonts w:hint="eastAsia" w:ascii="宋体" w:hAnsi="宋体" w:eastAsia="宋体" w:cs="宋体"/>
                <w:i w:val="0"/>
                <w:iCs w:val="0"/>
                <w:color w:val="000000"/>
                <w:sz w:val="18"/>
                <w:szCs w:val="18"/>
                <w:u w:val="none"/>
              </w:rPr>
            </w:pPr>
          </w:p>
        </w:tc>
        <w:tc>
          <w:tcPr>
            <w:tcW w:w="20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751343">
            <w:pPr>
              <w:jc w:val="center"/>
              <w:rPr>
                <w:rFonts w:hint="eastAsia" w:ascii="宋体" w:hAnsi="宋体" w:eastAsia="宋体" w:cs="宋体"/>
                <w:i w:val="0"/>
                <w:iCs w:val="0"/>
                <w:color w:val="000000"/>
                <w:sz w:val="18"/>
                <w:szCs w:val="18"/>
                <w:u w:val="none"/>
              </w:rPr>
            </w:pP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1EE6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生态环境成本指标</w:t>
            </w:r>
          </w:p>
        </w:tc>
        <w:tc>
          <w:tcPr>
            <w:tcW w:w="22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CB34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保护生态环境可持续发展</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CBBE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F969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80</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6DCB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5F3FEF">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80</w:t>
            </w:r>
          </w:p>
        </w:tc>
        <w:tc>
          <w:tcPr>
            <w:tcW w:w="5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F687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4A5B9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EB58E1">
            <w:pPr>
              <w:jc w:val="center"/>
              <w:rPr>
                <w:rFonts w:hint="eastAsia" w:ascii="微软雅黑" w:hAnsi="微软雅黑" w:eastAsia="微软雅黑" w:cs="微软雅黑"/>
                <w:i/>
                <w:iCs/>
                <w:color w:val="000000"/>
                <w:sz w:val="16"/>
                <w:szCs w:val="16"/>
                <w:u w:val="none"/>
              </w:rPr>
            </w:pPr>
          </w:p>
        </w:tc>
      </w:tr>
      <w:tr w14:paraId="6FA4B5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10585"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0B2A6EE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7C96D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F21DA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DEE09C">
            <w:pPr>
              <w:rPr>
                <w:rFonts w:hint="eastAsia" w:ascii="宋体" w:hAnsi="宋体" w:eastAsia="宋体" w:cs="宋体"/>
                <w:i w:val="0"/>
                <w:iCs w:val="0"/>
                <w:color w:val="000000"/>
                <w:sz w:val="18"/>
                <w:szCs w:val="18"/>
                <w:u w:val="none"/>
              </w:rPr>
            </w:pPr>
          </w:p>
        </w:tc>
      </w:tr>
      <w:tr w14:paraId="15FBF4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5E8F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13831"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2072F26">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办案经费较好的保障了办案过程中的差旅费、交通费和其他费用，以及检察业务开支过程中宣传费、业务费等支出，为检察工作顺利开展提供资金补充。</w:t>
            </w:r>
          </w:p>
        </w:tc>
      </w:tr>
      <w:tr w14:paraId="04AB24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5FD91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13831"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D71C733">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随着案件数量的增加，经费支出有些不足。</w:t>
            </w:r>
          </w:p>
        </w:tc>
      </w:tr>
      <w:tr w14:paraId="227046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352B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13831"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0625EDE">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建议加大经费投入，确保经费充足，保障日常运行到位。</w:t>
            </w:r>
          </w:p>
        </w:tc>
      </w:tr>
      <w:tr w14:paraId="26FD941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729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207DB4E">
            <w:pPr>
              <w:keepNext w:val="0"/>
              <w:keepLines w:val="0"/>
              <w:widowControl/>
              <w:suppressLineNumbers w:val="0"/>
              <w:jc w:val="left"/>
              <w:textAlignment w:val="center"/>
              <w:rPr>
                <w:rFonts w:hint="default" w:ascii="黑体" w:hAnsi="黑体" w:eastAsia="黑体" w:cs="黑体"/>
                <w:i w:val="0"/>
                <w:iCs w:val="0"/>
                <w:color w:val="000000"/>
                <w:sz w:val="18"/>
                <w:szCs w:val="18"/>
                <w:u w:val="none"/>
                <w:lang w:val="en-US"/>
              </w:rPr>
            </w:pPr>
            <w:r>
              <w:rPr>
                <w:rFonts w:hint="eastAsia" w:ascii="黑体" w:hAnsi="黑体" w:eastAsia="黑体" w:cs="黑体"/>
                <w:i w:val="0"/>
                <w:iCs w:val="0"/>
                <w:color w:val="000000"/>
                <w:kern w:val="0"/>
                <w:sz w:val="18"/>
                <w:szCs w:val="18"/>
                <w:u w:val="none"/>
                <w:lang w:val="en-US" w:eastAsia="zh-CN" w:bidi="ar"/>
              </w:rPr>
              <w:t>项目负责人：梁娟</w:t>
            </w:r>
          </w:p>
        </w:tc>
        <w:tc>
          <w:tcPr>
            <w:tcW w:w="7219"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6710BF5">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财务负责人：吴芳</w:t>
            </w:r>
          </w:p>
        </w:tc>
      </w:tr>
      <w:tr w14:paraId="01AD18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684" w:type="dxa"/>
            <w:tcBorders>
              <w:top w:val="nil"/>
              <w:left w:val="nil"/>
              <w:bottom w:val="nil"/>
              <w:right w:val="nil"/>
            </w:tcBorders>
            <w:shd w:val="clear" w:color="auto" w:fill="auto"/>
            <w:vAlign w:val="center"/>
          </w:tcPr>
          <w:p w14:paraId="290A9F9B">
            <w:pPr>
              <w:rPr>
                <w:rFonts w:hint="eastAsia" w:ascii="宋体" w:hAnsi="宋体" w:eastAsia="宋体" w:cs="宋体"/>
                <w:i w:val="0"/>
                <w:iCs w:val="0"/>
                <w:color w:val="000000"/>
                <w:sz w:val="18"/>
                <w:szCs w:val="18"/>
                <w:u w:val="none"/>
              </w:rPr>
            </w:pPr>
          </w:p>
          <w:p w14:paraId="7B77938F">
            <w:pPr>
              <w:rPr>
                <w:rFonts w:hint="eastAsia" w:ascii="宋体" w:hAnsi="宋体" w:eastAsia="宋体" w:cs="宋体"/>
                <w:i w:val="0"/>
                <w:iCs w:val="0"/>
                <w:color w:val="000000"/>
                <w:sz w:val="18"/>
                <w:szCs w:val="18"/>
                <w:u w:val="none"/>
              </w:rPr>
            </w:pPr>
          </w:p>
          <w:p w14:paraId="02025CBB">
            <w:pPr>
              <w:rPr>
                <w:rFonts w:hint="eastAsia" w:ascii="宋体" w:hAnsi="宋体" w:eastAsia="宋体" w:cs="宋体"/>
                <w:i w:val="0"/>
                <w:iCs w:val="0"/>
                <w:color w:val="000000"/>
                <w:sz w:val="18"/>
                <w:szCs w:val="18"/>
                <w:u w:val="none"/>
              </w:rPr>
            </w:pPr>
          </w:p>
          <w:p w14:paraId="3FFF3101">
            <w:pPr>
              <w:rPr>
                <w:rFonts w:hint="eastAsia" w:ascii="宋体" w:hAnsi="宋体" w:eastAsia="宋体" w:cs="宋体"/>
                <w:i w:val="0"/>
                <w:iCs w:val="0"/>
                <w:color w:val="000000"/>
                <w:sz w:val="18"/>
                <w:szCs w:val="18"/>
                <w:u w:val="none"/>
              </w:rPr>
            </w:pPr>
          </w:p>
        </w:tc>
        <w:tc>
          <w:tcPr>
            <w:tcW w:w="2052" w:type="dxa"/>
            <w:tcBorders>
              <w:top w:val="nil"/>
              <w:left w:val="nil"/>
              <w:bottom w:val="nil"/>
              <w:right w:val="nil"/>
            </w:tcBorders>
            <w:shd w:val="clear" w:color="auto" w:fill="auto"/>
            <w:vAlign w:val="center"/>
          </w:tcPr>
          <w:p w14:paraId="0FB37992">
            <w:pPr>
              <w:rPr>
                <w:rFonts w:hint="eastAsia" w:ascii="宋体" w:hAnsi="宋体" w:eastAsia="宋体" w:cs="宋体"/>
                <w:i w:val="0"/>
                <w:iCs w:val="0"/>
                <w:color w:val="000000"/>
                <w:sz w:val="18"/>
                <w:szCs w:val="18"/>
                <w:u w:val="none"/>
              </w:rPr>
            </w:pPr>
          </w:p>
        </w:tc>
        <w:tc>
          <w:tcPr>
            <w:tcW w:w="1775" w:type="dxa"/>
            <w:tcBorders>
              <w:top w:val="nil"/>
              <w:left w:val="nil"/>
              <w:bottom w:val="nil"/>
              <w:right w:val="nil"/>
            </w:tcBorders>
            <w:shd w:val="clear" w:color="auto" w:fill="auto"/>
            <w:vAlign w:val="center"/>
          </w:tcPr>
          <w:p w14:paraId="5EA195F4">
            <w:pPr>
              <w:rPr>
                <w:rFonts w:hint="eastAsia" w:ascii="宋体" w:hAnsi="宋体" w:eastAsia="宋体" w:cs="宋体"/>
                <w:i w:val="0"/>
                <w:iCs w:val="0"/>
                <w:color w:val="000000"/>
                <w:sz w:val="18"/>
                <w:szCs w:val="18"/>
                <w:u w:val="none"/>
              </w:rPr>
            </w:pPr>
          </w:p>
        </w:tc>
        <w:tc>
          <w:tcPr>
            <w:tcW w:w="2264" w:type="dxa"/>
            <w:tcBorders>
              <w:top w:val="nil"/>
              <w:left w:val="nil"/>
              <w:bottom w:val="nil"/>
              <w:right w:val="nil"/>
            </w:tcBorders>
            <w:shd w:val="clear" w:color="auto" w:fill="auto"/>
            <w:vAlign w:val="center"/>
          </w:tcPr>
          <w:p w14:paraId="6507C01A">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color="auto" w:fill="auto"/>
            <w:vAlign w:val="center"/>
          </w:tcPr>
          <w:p w14:paraId="4DF043F6">
            <w:pPr>
              <w:rPr>
                <w:rFonts w:hint="eastAsia" w:ascii="宋体" w:hAnsi="宋体" w:eastAsia="宋体" w:cs="宋体"/>
                <w:i w:val="0"/>
                <w:iCs w:val="0"/>
                <w:color w:val="000000"/>
                <w:sz w:val="18"/>
                <w:szCs w:val="18"/>
                <w:u w:val="none"/>
              </w:rPr>
            </w:pPr>
          </w:p>
        </w:tc>
        <w:tc>
          <w:tcPr>
            <w:tcW w:w="1677" w:type="dxa"/>
            <w:tcBorders>
              <w:top w:val="nil"/>
              <w:left w:val="nil"/>
              <w:bottom w:val="nil"/>
              <w:right w:val="nil"/>
            </w:tcBorders>
            <w:shd w:val="clear" w:color="auto" w:fill="auto"/>
            <w:vAlign w:val="center"/>
          </w:tcPr>
          <w:p w14:paraId="06ADAC64">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color="auto" w:fill="auto"/>
            <w:vAlign w:val="center"/>
          </w:tcPr>
          <w:p w14:paraId="0777833B">
            <w:pPr>
              <w:rPr>
                <w:rFonts w:hint="eastAsia" w:ascii="宋体" w:hAnsi="宋体" w:eastAsia="宋体" w:cs="宋体"/>
                <w:i w:val="0"/>
                <w:iCs w:val="0"/>
                <w:color w:val="000000"/>
                <w:sz w:val="18"/>
                <w:szCs w:val="18"/>
                <w:u w:val="none"/>
              </w:rPr>
            </w:pPr>
          </w:p>
        </w:tc>
        <w:tc>
          <w:tcPr>
            <w:tcW w:w="1091" w:type="dxa"/>
            <w:tcBorders>
              <w:top w:val="nil"/>
              <w:left w:val="nil"/>
              <w:bottom w:val="nil"/>
              <w:right w:val="nil"/>
            </w:tcBorders>
            <w:shd w:val="clear" w:color="auto" w:fill="auto"/>
            <w:vAlign w:val="center"/>
          </w:tcPr>
          <w:p w14:paraId="29E91251">
            <w:pPr>
              <w:rPr>
                <w:rFonts w:hint="eastAsia" w:ascii="宋体" w:hAnsi="宋体" w:eastAsia="宋体" w:cs="宋体"/>
                <w:i w:val="0"/>
                <w:iCs w:val="0"/>
                <w:color w:val="000000"/>
                <w:sz w:val="18"/>
                <w:szCs w:val="18"/>
                <w:u w:val="none"/>
              </w:rPr>
            </w:pPr>
          </w:p>
        </w:tc>
        <w:tc>
          <w:tcPr>
            <w:tcW w:w="585" w:type="dxa"/>
            <w:tcBorders>
              <w:top w:val="nil"/>
              <w:left w:val="nil"/>
              <w:bottom w:val="nil"/>
              <w:right w:val="nil"/>
            </w:tcBorders>
            <w:shd w:val="clear" w:color="auto" w:fill="auto"/>
            <w:vAlign w:val="center"/>
          </w:tcPr>
          <w:p w14:paraId="4E0E043C">
            <w:pPr>
              <w:rPr>
                <w:rFonts w:hint="eastAsia" w:ascii="宋体" w:hAnsi="宋体" w:eastAsia="宋体" w:cs="宋体"/>
                <w:i w:val="0"/>
                <w:iCs w:val="0"/>
                <w:color w:val="000000"/>
                <w:sz w:val="18"/>
                <w:szCs w:val="18"/>
                <w:u w:val="none"/>
              </w:rPr>
            </w:pPr>
          </w:p>
        </w:tc>
        <w:tc>
          <w:tcPr>
            <w:tcW w:w="570" w:type="dxa"/>
            <w:tcBorders>
              <w:top w:val="nil"/>
              <w:left w:val="nil"/>
              <w:bottom w:val="nil"/>
              <w:right w:val="nil"/>
            </w:tcBorders>
            <w:shd w:val="clear" w:color="auto" w:fill="auto"/>
            <w:vAlign w:val="center"/>
          </w:tcPr>
          <w:p w14:paraId="3717BBD0">
            <w:pPr>
              <w:rPr>
                <w:rFonts w:hint="eastAsia" w:ascii="宋体" w:hAnsi="宋体" w:eastAsia="宋体" w:cs="宋体"/>
                <w:i w:val="0"/>
                <w:iCs w:val="0"/>
                <w:color w:val="000000"/>
                <w:sz w:val="18"/>
                <w:szCs w:val="18"/>
                <w:u w:val="none"/>
              </w:rPr>
            </w:pPr>
          </w:p>
        </w:tc>
        <w:tc>
          <w:tcPr>
            <w:tcW w:w="2775" w:type="dxa"/>
            <w:tcBorders>
              <w:top w:val="nil"/>
              <w:left w:val="nil"/>
              <w:bottom w:val="nil"/>
              <w:right w:val="nil"/>
            </w:tcBorders>
            <w:shd w:val="clear" w:color="auto" w:fill="auto"/>
            <w:vAlign w:val="center"/>
          </w:tcPr>
          <w:p w14:paraId="6616C408">
            <w:pPr>
              <w:rPr>
                <w:rFonts w:hint="eastAsia" w:ascii="宋体" w:hAnsi="宋体" w:eastAsia="宋体" w:cs="宋体"/>
                <w:i w:val="0"/>
                <w:iCs w:val="0"/>
                <w:color w:val="000000"/>
                <w:sz w:val="18"/>
                <w:szCs w:val="18"/>
                <w:u w:val="none"/>
              </w:rPr>
            </w:pPr>
          </w:p>
        </w:tc>
      </w:tr>
      <w:tr w14:paraId="728B32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14515"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60A484D2">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662805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73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B0FA02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11779"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306703F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51190025T000013195668-2025年年初部门预算特定目标类项目157001南江县检察院检察服装经费</w:t>
            </w:r>
          </w:p>
        </w:tc>
      </w:tr>
      <w:tr w14:paraId="2806AF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2" w:hRule="atLeast"/>
        </w:trPr>
        <w:tc>
          <w:tcPr>
            <w:tcW w:w="273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5D425C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675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DAC6C0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南江县检察院部门</w:t>
            </w:r>
          </w:p>
        </w:tc>
        <w:tc>
          <w:tcPr>
            <w:tcW w:w="1091" w:type="dxa"/>
            <w:tcBorders>
              <w:top w:val="nil"/>
              <w:left w:val="nil"/>
              <w:bottom w:val="nil"/>
              <w:right w:val="nil"/>
            </w:tcBorders>
            <w:shd w:val="clear" w:color="auto" w:fill="auto"/>
            <w:vAlign w:val="center"/>
          </w:tcPr>
          <w:p w14:paraId="6A515AD2">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393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6DCB6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南江县检察院</w:t>
            </w:r>
          </w:p>
        </w:tc>
      </w:tr>
      <w:tr w14:paraId="5D54402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6D0DAA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205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1CCB60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675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254C6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502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CA4BFD1">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年度目标完成情况</w:t>
            </w:r>
          </w:p>
        </w:tc>
      </w:tr>
      <w:tr w14:paraId="1B8EEA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8"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3803DE">
            <w:pPr>
              <w:rPr>
                <w:rFonts w:hint="eastAsia" w:ascii="宋体" w:hAnsi="宋体" w:eastAsia="宋体" w:cs="宋体"/>
                <w:i w:val="0"/>
                <w:iCs w:val="0"/>
                <w:color w:val="000000"/>
                <w:sz w:val="18"/>
                <w:szCs w:val="18"/>
                <w:u w:val="none"/>
              </w:rPr>
            </w:pPr>
          </w:p>
        </w:tc>
        <w:tc>
          <w:tcPr>
            <w:tcW w:w="20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85918B">
            <w:pPr>
              <w:rPr>
                <w:rFonts w:hint="eastAsia" w:ascii="宋体" w:hAnsi="宋体" w:eastAsia="宋体" w:cs="宋体"/>
                <w:i w:val="0"/>
                <w:iCs w:val="0"/>
                <w:color w:val="000000"/>
                <w:sz w:val="18"/>
                <w:szCs w:val="18"/>
                <w:u w:val="none"/>
              </w:rPr>
            </w:pPr>
          </w:p>
        </w:tc>
        <w:tc>
          <w:tcPr>
            <w:tcW w:w="675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6EE4A0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保障及时更换检察夏季服装，新增5人冬季服装。</w:t>
            </w:r>
          </w:p>
        </w:tc>
        <w:tc>
          <w:tcPr>
            <w:tcW w:w="502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ED3B6EB">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完成全年干警两年检察制服更换</w:t>
            </w:r>
          </w:p>
        </w:tc>
      </w:tr>
      <w:tr w14:paraId="481454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3"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69978C">
            <w:pP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18CB4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11779"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6DFE2898">
            <w:pPr>
              <w:rPr>
                <w:rFonts w:hint="eastAsia" w:ascii="宋体" w:hAnsi="宋体" w:eastAsia="宋体" w:cs="宋体"/>
                <w:i w:val="0"/>
                <w:iCs w:val="0"/>
                <w:color w:val="000000"/>
                <w:sz w:val="18"/>
                <w:szCs w:val="18"/>
                <w:u w:val="none"/>
              </w:rPr>
            </w:pPr>
          </w:p>
        </w:tc>
      </w:tr>
      <w:tr w14:paraId="7DB482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CD0D3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6861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10F4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22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1363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27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093FA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B8A11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C871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B7958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12E4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665318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C6C5D2">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E047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F692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3.40</w:t>
            </w:r>
          </w:p>
        </w:tc>
        <w:tc>
          <w:tcPr>
            <w:tcW w:w="22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7F82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3.40</w:t>
            </w:r>
          </w:p>
        </w:tc>
        <w:tc>
          <w:tcPr>
            <w:tcW w:w="27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18EF0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3.40</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E6ACF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A4AD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1BEC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77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A4D09BB">
            <w:pPr>
              <w:rPr>
                <w:rFonts w:hint="eastAsia" w:ascii="黑体" w:hAnsi="黑体" w:eastAsia="黑体" w:cs="黑体"/>
                <w:i/>
                <w:iCs/>
                <w:color w:val="000000"/>
                <w:sz w:val="18"/>
                <w:szCs w:val="18"/>
                <w:u w:val="none"/>
              </w:rPr>
            </w:pPr>
          </w:p>
        </w:tc>
      </w:tr>
      <w:tr w14:paraId="089C43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ADF4F0">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772C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93B7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3.40</w:t>
            </w:r>
          </w:p>
        </w:tc>
        <w:tc>
          <w:tcPr>
            <w:tcW w:w="22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3523E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3.40</w:t>
            </w:r>
          </w:p>
        </w:tc>
        <w:tc>
          <w:tcPr>
            <w:tcW w:w="27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401D3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3.40</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1E68E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0215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1436C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7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CCA468">
            <w:pPr>
              <w:rPr>
                <w:rFonts w:hint="eastAsia" w:ascii="黑体" w:hAnsi="黑体" w:eastAsia="黑体" w:cs="黑体"/>
                <w:i/>
                <w:iCs/>
                <w:color w:val="000000"/>
                <w:sz w:val="18"/>
                <w:szCs w:val="18"/>
                <w:u w:val="none"/>
              </w:rPr>
            </w:pPr>
          </w:p>
        </w:tc>
      </w:tr>
      <w:tr w14:paraId="12AE32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A49CCC">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47AA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9DA0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2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5994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7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20A8C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3E8A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8B26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8D8C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7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EFDC1D">
            <w:pPr>
              <w:rPr>
                <w:rFonts w:hint="eastAsia" w:ascii="黑体" w:hAnsi="黑体" w:eastAsia="黑体" w:cs="黑体"/>
                <w:i/>
                <w:iCs/>
                <w:color w:val="000000"/>
                <w:sz w:val="18"/>
                <w:szCs w:val="18"/>
                <w:u w:val="none"/>
              </w:rPr>
            </w:pPr>
          </w:p>
        </w:tc>
      </w:tr>
      <w:tr w14:paraId="482E53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9226DC">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D074D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4A96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2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1CB6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7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DA659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3A88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1CDF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B185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7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67FA15">
            <w:pPr>
              <w:rPr>
                <w:rFonts w:hint="eastAsia" w:ascii="黑体" w:hAnsi="黑体" w:eastAsia="黑体" w:cs="黑体"/>
                <w:i/>
                <w:iCs/>
                <w:color w:val="000000"/>
                <w:sz w:val="18"/>
                <w:szCs w:val="18"/>
                <w:u w:val="none"/>
              </w:rPr>
            </w:pPr>
          </w:p>
        </w:tc>
      </w:tr>
      <w:tr w14:paraId="6F8A17D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6489E3">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2E68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F9A2A1">
            <w:pPr>
              <w:jc w:val="center"/>
              <w:rPr>
                <w:rFonts w:hint="eastAsia" w:ascii="微软雅黑" w:hAnsi="微软雅黑" w:eastAsia="微软雅黑" w:cs="微软雅黑"/>
                <w:i/>
                <w:iCs/>
                <w:color w:val="000000"/>
                <w:sz w:val="16"/>
                <w:szCs w:val="16"/>
                <w:u w:val="none"/>
              </w:rPr>
            </w:pPr>
          </w:p>
        </w:tc>
        <w:tc>
          <w:tcPr>
            <w:tcW w:w="22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E8D74E">
            <w:pPr>
              <w:jc w:val="center"/>
              <w:rPr>
                <w:rFonts w:hint="eastAsia" w:ascii="微软雅黑" w:hAnsi="微软雅黑" w:eastAsia="微软雅黑" w:cs="微软雅黑"/>
                <w:i/>
                <w:iCs/>
                <w:color w:val="000000"/>
                <w:sz w:val="16"/>
                <w:szCs w:val="16"/>
                <w:u w:val="none"/>
              </w:rPr>
            </w:pPr>
          </w:p>
        </w:tc>
        <w:tc>
          <w:tcPr>
            <w:tcW w:w="27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DC4BF06">
            <w:pPr>
              <w:jc w:val="center"/>
              <w:rPr>
                <w:rFonts w:hint="eastAsia" w:ascii="微软雅黑" w:hAnsi="微软雅黑" w:eastAsia="微软雅黑" w:cs="微软雅黑"/>
                <w:i/>
                <w:iCs/>
                <w:color w:val="000000"/>
                <w:sz w:val="16"/>
                <w:szCs w:val="16"/>
                <w:u w:val="none"/>
              </w:rPr>
            </w:pP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0B9328">
            <w:pPr>
              <w:jc w:val="center"/>
              <w:rPr>
                <w:rFonts w:hint="eastAsia" w:ascii="微软雅黑" w:hAnsi="微软雅黑" w:eastAsia="微软雅黑" w:cs="微软雅黑"/>
                <w:i/>
                <w:iCs/>
                <w:color w:val="000000"/>
                <w:sz w:val="16"/>
                <w:szCs w:val="16"/>
                <w:u w:val="none"/>
              </w:rPr>
            </w:pPr>
          </w:p>
        </w:tc>
        <w:tc>
          <w:tcPr>
            <w:tcW w:w="5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F1F14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226C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7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160723">
            <w:pPr>
              <w:rPr>
                <w:rFonts w:hint="eastAsia" w:ascii="黑体" w:hAnsi="黑体" w:eastAsia="黑体" w:cs="黑体"/>
                <w:i/>
                <w:iCs/>
                <w:color w:val="000000"/>
                <w:sz w:val="18"/>
                <w:szCs w:val="18"/>
                <w:u w:val="none"/>
              </w:rPr>
            </w:pPr>
          </w:p>
        </w:tc>
      </w:tr>
      <w:tr w14:paraId="525BB1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D3F8F4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503B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7B39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22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6ABE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A9F4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1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9FB5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FD3C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B5D2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FB6B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80DA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BE114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4037C2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64A5D1">
            <w:pPr>
              <w:jc w:val="center"/>
              <w:rPr>
                <w:rFonts w:hint="eastAsia" w:ascii="宋体" w:hAnsi="宋体" w:eastAsia="宋体" w:cs="宋体"/>
                <w:i w:val="0"/>
                <w:iCs w:val="0"/>
                <w:color w:val="000000"/>
                <w:sz w:val="18"/>
                <w:szCs w:val="18"/>
                <w:u w:val="none"/>
              </w:rPr>
            </w:pPr>
          </w:p>
        </w:tc>
        <w:tc>
          <w:tcPr>
            <w:tcW w:w="205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9BFFF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B822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22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2C91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检察制服更换人数</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526A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30D7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80</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2992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人数</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521CF4">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80</w:t>
            </w:r>
          </w:p>
        </w:tc>
        <w:tc>
          <w:tcPr>
            <w:tcW w:w="5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1036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4C2D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DE8460">
            <w:pPr>
              <w:jc w:val="center"/>
              <w:rPr>
                <w:rFonts w:hint="eastAsia" w:ascii="微软雅黑" w:hAnsi="微软雅黑" w:eastAsia="微软雅黑" w:cs="微软雅黑"/>
                <w:i/>
                <w:iCs/>
                <w:color w:val="000000"/>
                <w:sz w:val="16"/>
                <w:szCs w:val="16"/>
                <w:u w:val="none"/>
              </w:rPr>
            </w:pPr>
          </w:p>
        </w:tc>
      </w:tr>
      <w:tr w14:paraId="5718CA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162FA7">
            <w:pPr>
              <w:jc w:val="center"/>
              <w:rPr>
                <w:rFonts w:hint="eastAsia" w:ascii="宋体" w:hAnsi="宋体" w:eastAsia="宋体" w:cs="宋体"/>
                <w:i w:val="0"/>
                <w:iCs w:val="0"/>
                <w:color w:val="000000"/>
                <w:sz w:val="18"/>
                <w:szCs w:val="18"/>
                <w:u w:val="none"/>
              </w:rPr>
            </w:pPr>
          </w:p>
        </w:tc>
        <w:tc>
          <w:tcPr>
            <w:tcW w:w="20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F7AE1B">
            <w:pPr>
              <w:jc w:val="center"/>
              <w:rPr>
                <w:rFonts w:hint="eastAsia" w:ascii="宋体" w:hAnsi="宋体" w:eastAsia="宋体" w:cs="宋体"/>
                <w:i w:val="0"/>
                <w:iCs w:val="0"/>
                <w:color w:val="000000"/>
                <w:sz w:val="18"/>
                <w:szCs w:val="18"/>
                <w:u w:val="none"/>
              </w:rPr>
            </w:pP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5B89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22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33FA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提高检察制服配备质量</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241F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A36C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85</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05A9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2D88D9">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85</w:t>
            </w:r>
          </w:p>
        </w:tc>
        <w:tc>
          <w:tcPr>
            <w:tcW w:w="5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52E2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1F97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7710E6">
            <w:pPr>
              <w:jc w:val="center"/>
              <w:rPr>
                <w:rFonts w:hint="eastAsia" w:ascii="微软雅黑" w:hAnsi="微软雅黑" w:eastAsia="微软雅黑" w:cs="微软雅黑"/>
                <w:i/>
                <w:iCs/>
                <w:color w:val="000000"/>
                <w:sz w:val="16"/>
                <w:szCs w:val="16"/>
                <w:u w:val="none"/>
              </w:rPr>
            </w:pPr>
          </w:p>
        </w:tc>
      </w:tr>
      <w:tr w14:paraId="70BF08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4563F9">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B325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1508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可持续影响指标</w:t>
            </w:r>
          </w:p>
        </w:tc>
        <w:tc>
          <w:tcPr>
            <w:tcW w:w="22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7465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检察人员着装规范度</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0E8F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1E4F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80</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8C4C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59F685">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80</w:t>
            </w:r>
          </w:p>
        </w:tc>
        <w:tc>
          <w:tcPr>
            <w:tcW w:w="5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1ECD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28EC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787273">
            <w:pPr>
              <w:jc w:val="center"/>
              <w:rPr>
                <w:rFonts w:hint="eastAsia" w:ascii="微软雅黑" w:hAnsi="微软雅黑" w:eastAsia="微软雅黑" w:cs="微软雅黑"/>
                <w:i/>
                <w:iCs/>
                <w:color w:val="000000"/>
                <w:sz w:val="16"/>
                <w:szCs w:val="16"/>
                <w:u w:val="none"/>
              </w:rPr>
            </w:pPr>
          </w:p>
        </w:tc>
      </w:tr>
      <w:tr w14:paraId="1E015A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537823">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350D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8A3E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22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3EF1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干警满意度</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A32B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F8B34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85</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7610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B9C037">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85</w:t>
            </w:r>
          </w:p>
        </w:tc>
        <w:tc>
          <w:tcPr>
            <w:tcW w:w="5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BBF2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BA27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8DD6E9">
            <w:pPr>
              <w:jc w:val="center"/>
              <w:rPr>
                <w:rFonts w:hint="eastAsia" w:ascii="微软雅黑" w:hAnsi="微软雅黑" w:eastAsia="微软雅黑" w:cs="微软雅黑"/>
                <w:i/>
                <w:iCs/>
                <w:color w:val="000000"/>
                <w:sz w:val="16"/>
                <w:szCs w:val="16"/>
                <w:u w:val="none"/>
              </w:rPr>
            </w:pPr>
          </w:p>
        </w:tc>
      </w:tr>
      <w:tr w14:paraId="3583A3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9235AD">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6B71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555C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22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0749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检察制服成本</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1B5C3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704A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34000</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E253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元</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5D4F15">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34000</w:t>
            </w:r>
          </w:p>
        </w:tc>
        <w:tc>
          <w:tcPr>
            <w:tcW w:w="5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02A4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10C7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395CDF">
            <w:pPr>
              <w:jc w:val="center"/>
              <w:rPr>
                <w:rFonts w:hint="eastAsia" w:ascii="微软雅黑" w:hAnsi="微软雅黑" w:eastAsia="微软雅黑" w:cs="微软雅黑"/>
                <w:i/>
                <w:iCs/>
                <w:color w:val="000000"/>
                <w:sz w:val="16"/>
                <w:szCs w:val="16"/>
                <w:u w:val="none"/>
              </w:rPr>
            </w:pPr>
          </w:p>
        </w:tc>
      </w:tr>
      <w:tr w14:paraId="5DA22E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10585"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416B42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2952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0B4B84">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88FE26">
            <w:pPr>
              <w:rPr>
                <w:rFonts w:hint="eastAsia" w:ascii="宋体" w:hAnsi="宋体" w:eastAsia="宋体" w:cs="宋体"/>
                <w:i w:val="0"/>
                <w:iCs w:val="0"/>
                <w:color w:val="000000"/>
                <w:sz w:val="18"/>
                <w:szCs w:val="18"/>
                <w:u w:val="none"/>
              </w:rPr>
            </w:pPr>
          </w:p>
        </w:tc>
      </w:tr>
      <w:tr w14:paraId="5EA45A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58BE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13831"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DCBE8E5">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较好的保障了检察人员服装更换费。</w:t>
            </w:r>
          </w:p>
        </w:tc>
      </w:tr>
      <w:tr w14:paraId="3FFE10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0A63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13831"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C57C25C">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服装经费未单独预算，挤占办案业务经费。</w:t>
            </w:r>
          </w:p>
        </w:tc>
      </w:tr>
      <w:tr w14:paraId="1E4A63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3BD5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13831"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9CE4169">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加强与财政对接汇报，争取经费保障。</w:t>
            </w:r>
          </w:p>
        </w:tc>
      </w:tr>
      <w:tr w14:paraId="70400A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729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7202FB5">
            <w:pPr>
              <w:keepNext w:val="0"/>
              <w:keepLines w:val="0"/>
              <w:widowControl/>
              <w:suppressLineNumbers w:val="0"/>
              <w:jc w:val="left"/>
              <w:textAlignment w:val="center"/>
              <w:rPr>
                <w:rFonts w:hint="default" w:ascii="黑体" w:hAnsi="黑体" w:eastAsia="黑体" w:cs="黑体"/>
                <w:i w:val="0"/>
                <w:iCs w:val="0"/>
                <w:color w:val="000000"/>
                <w:sz w:val="18"/>
                <w:szCs w:val="18"/>
                <w:u w:val="none"/>
                <w:lang w:val="en-US"/>
              </w:rPr>
            </w:pPr>
            <w:r>
              <w:rPr>
                <w:rFonts w:hint="eastAsia" w:ascii="黑体" w:hAnsi="黑体" w:eastAsia="黑体" w:cs="黑体"/>
                <w:i w:val="0"/>
                <w:iCs w:val="0"/>
                <w:color w:val="000000"/>
                <w:kern w:val="0"/>
                <w:sz w:val="18"/>
                <w:szCs w:val="18"/>
                <w:u w:val="none"/>
                <w:lang w:val="en-US" w:eastAsia="zh-CN" w:bidi="ar"/>
              </w:rPr>
              <w:t>项目负责人：梁娟</w:t>
            </w:r>
          </w:p>
        </w:tc>
        <w:tc>
          <w:tcPr>
            <w:tcW w:w="7219"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B05EAB9">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财务负责人：吴芳</w:t>
            </w:r>
          </w:p>
        </w:tc>
      </w:tr>
      <w:tr w14:paraId="17C9B3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684" w:type="dxa"/>
            <w:tcBorders>
              <w:top w:val="nil"/>
              <w:left w:val="nil"/>
              <w:bottom w:val="nil"/>
              <w:right w:val="nil"/>
            </w:tcBorders>
            <w:shd w:val="clear" w:color="auto" w:fill="auto"/>
            <w:vAlign w:val="center"/>
          </w:tcPr>
          <w:p w14:paraId="011DADBD">
            <w:pPr>
              <w:rPr>
                <w:rFonts w:hint="eastAsia" w:ascii="宋体" w:hAnsi="宋体" w:eastAsia="宋体" w:cs="宋体"/>
                <w:i w:val="0"/>
                <w:iCs w:val="0"/>
                <w:color w:val="000000"/>
                <w:sz w:val="18"/>
                <w:szCs w:val="18"/>
                <w:u w:val="none"/>
              </w:rPr>
            </w:pPr>
          </w:p>
        </w:tc>
        <w:tc>
          <w:tcPr>
            <w:tcW w:w="2052" w:type="dxa"/>
            <w:tcBorders>
              <w:top w:val="nil"/>
              <w:left w:val="nil"/>
              <w:bottom w:val="nil"/>
              <w:right w:val="nil"/>
            </w:tcBorders>
            <w:shd w:val="clear" w:color="auto" w:fill="auto"/>
            <w:vAlign w:val="center"/>
          </w:tcPr>
          <w:p w14:paraId="36F468E8">
            <w:pPr>
              <w:rPr>
                <w:rFonts w:hint="eastAsia" w:ascii="宋体" w:hAnsi="宋体" w:eastAsia="宋体" w:cs="宋体"/>
                <w:i w:val="0"/>
                <w:iCs w:val="0"/>
                <w:color w:val="000000"/>
                <w:sz w:val="18"/>
                <w:szCs w:val="18"/>
                <w:u w:val="none"/>
              </w:rPr>
            </w:pPr>
          </w:p>
        </w:tc>
        <w:tc>
          <w:tcPr>
            <w:tcW w:w="1775" w:type="dxa"/>
            <w:tcBorders>
              <w:top w:val="nil"/>
              <w:left w:val="nil"/>
              <w:bottom w:val="nil"/>
              <w:right w:val="nil"/>
            </w:tcBorders>
            <w:shd w:val="clear" w:color="auto" w:fill="auto"/>
            <w:vAlign w:val="center"/>
          </w:tcPr>
          <w:p w14:paraId="6A3CDA9C">
            <w:pPr>
              <w:rPr>
                <w:rFonts w:hint="eastAsia" w:ascii="宋体" w:hAnsi="宋体" w:eastAsia="宋体" w:cs="宋体"/>
                <w:i w:val="0"/>
                <w:iCs w:val="0"/>
                <w:color w:val="000000"/>
                <w:sz w:val="18"/>
                <w:szCs w:val="18"/>
                <w:u w:val="none"/>
              </w:rPr>
            </w:pPr>
          </w:p>
        </w:tc>
        <w:tc>
          <w:tcPr>
            <w:tcW w:w="2264" w:type="dxa"/>
            <w:tcBorders>
              <w:top w:val="nil"/>
              <w:left w:val="nil"/>
              <w:bottom w:val="nil"/>
              <w:right w:val="nil"/>
            </w:tcBorders>
            <w:shd w:val="clear" w:color="auto" w:fill="auto"/>
            <w:vAlign w:val="center"/>
          </w:tcPr>
          <w:p w14:paraId="6945E1E2">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color="auto" w:fill="auto"/>
            <w:vAlign w:val="center"/>
          </w:tcPr>
          <w:p w14:paraId="03251EBB">
            <w:pPr>
              <w:rPr>
                <w:rFonts w:hint="eastAsia" w:ascii="宋体" w:hAnsi="宋体" w:eastAsia="宋体" w:cs="宋体"/>
                <w:i w:val="0"/>
                <w:iCs w:val="0"/>
                <w:color w:val="000000"/>
                <w:sz w:val="18"/>
                <w:szCs w:val="18"/>
                <w:u w:val="none"/>
              </w:rPr>
            </w:pPr>
          </w:p>
        </w:tc>
        <w:tc>
          <w:tcPr>
            <w:tcW w:w="1677" w:type="dxa"/>
            <w:tcBorders>
              <w:top w:val="nil"/>
              <w:left w:val="nil"/>
              <w:bottom w:val="nil"/>
              <w:right w:val="nil"/>
            </w:tcBorders>
            <w:shd w:val="clear" w:color="auto" w:fill="auto"/>
            <w:vAlign w:val="center"/>
          </w:tcPr>
          <w:p w14:paraId="67108077">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color="auto" w:fill="auto"/>
            <w:vAlign w:val="center"/>
          </w:tcPr>
          <w:p w14:paraId="49489F06">
            <w:pPr>
              <w:rPr>
                <w:rFonts w:hint="eastAsia" w:ascii="宋体" w:hAnsi="宋体" w:eastAsia="宋体" w:cs="宋体"/>
                <w:i w:val="0"/>
                <w:iCs w:val="0"/>
                <w:color w:val="000000"/>
                <w:sz w:val="18"/>
                <w:szCs w:val="18"/>
                <w:u w:val="none"/>
              </w:rPr>
            </w:pPr>
          </w:p>
        </w:tc>
        <w:tc>
          <w:tcPr>
            <w:tcW w:w="1091" w:type="dxa"/>
            <w:tcBorders>
              <w:top w:val="nil"/>
              <w:left w:val="nil"/>
              <w:bottom w:val="nil"/>
              <w:right w:val="nil"/>
            </w:tcBorders>
            <w:shd w:val="clear" w:color="auto" w:fill="auto"/>
            <w:vAlign w:val="center"/>
          </w:tcPr>
          <w:p w14:paraId="003D8452">
            <w:pPr>
              <w:rPr>
                <w:rFonts w:hint="eastAsia" w:ascii="宋体" w:hAnsi="宋体" w:eastAsia="宋体" w:cs="宋体"/>
                <w:i w:val="0"/>
                <w:iCs w:val="0"/>
                <w:color w:val="000000"/>
                <w:sz w:val="18"/>
                <w:szCs w:val="18"/>
                <w:u w:val="none"/>
              </w:rPr>
            </w:pPr>
          </w:p>
        </w:tc>
        <w:tc>
          <w:tcPr>
            <w:tcW w:w="585" w:type="dxa"/>
            <w:tcBorders>
              <w:top w:val="nil"/>
              <w:left w:val="nil"/>
              <w:bottom w:val="nil"/>
              <w:right w:val="nil"/>
            </w:tcBorders>
            <w:shd w:val="clear" w:color="auto" w:fill="auto"/>
            <w:vAlign w:val="center"/>
          </w:tcPr>
          <w:p w14:paraId="713E15EE">
            <w:pPr>
              <w:rPr>
                <w:rFonts w:hint="eastAsia" w:ascii="宋体" w:hAnsi="宋体" w:eastAsia="宋体" w:cs="宋体"/>
                <w:i w:val="0"/>
                <w:iCs w:val="0"/>
                <w:color w:val="000000"/>
                <w:sz w:val="18"/>
                <w:szCs w:val="18"/>
                <w:u w:val="none"/>
              </w:rPr>
            </w:pPr>
          </w:p>
        </w:tc>
        <w:tc>
          <w:tcPr>
            <w:tcW w:w="570" w:type="dxa"/>
            <w:tcBorders>
              <w:top w:val="nil"/>
              <w:left w:val="nil"/>
              <w:bottom w:val="nil"/>
              <w:right w:val="nil"/>
            </w:tcBorders>
            <w:shd w:val="clear" w:color="auto" w:fill="auto"/>
            <w:vAlign w:val="center"/>
          </w:tcPr>
          <w:p w14:paraId="33ACD35E">
            <w:pPr>
              <w:rPr>
                <w:rFonts w:hint="eastAsia" w:ascii="宋体" w:hAnsi="宋体" w:eastAsia="宋体" w:cs="宋体"/>
                <w:i w:val="0"/>
                <w:iCs w:val="0"/>
                <w:color w:val="000000"/>
                <w:sz w:val="18"/>
                <w:szCs w:val="18"/>
                <w:u w:val="none"/>
              </w:rPr>
            </w:pPr>
          </w:p>
        </w:tc>
        <w:tc>
          <w:tcPr>
            <w:tcW w:w="2775" w:type="dxa"/>
            <w:tcBorders>
              <w:top w:val="nil"/>
              <w:left w:val="nil"/>
              <w:bottom w:val="nil"/>
              <w:right w:val="nil"/>
            </w:tcBorders>
            <w:shd w:val="clear" w:color="auto" w:fill="auto"/>
            <w:vAlign w:val="center"/>
          </w:tcPr>
          <w:p w14:paraId="2C5B5E08">
            <w:pPr>
              <w:rPr>
                <w:rFonts w:hint="eastAsia" w:ascii="宋体" w:hAnsi="宋体" w:eastAsia="宋体" w:cs="宋体"/>
                <w:i w:val="0"/>
                <w:iCs w:val="0"/>
                <w:color w:val="000000"/>
                <w:sz w:val="18"/>
                <w:szCs w:val="18"/>
                <w:u w:val="none"/>
              </w:rPr>
            </w:pPr>
          </w:p>
        </w:tc>
      </w:tr>
    </w:tbl>
    <w:p w14:paraId="33983BB7">
      <w:pPr>
        <w:rPr>
          <w:rFonts w:hint="eastAsia"/>
        </w:rPr>
        <w:sectPr>
          <w:pgSz w:w="16838" w:h="11906" w:orient="landscape"/>
          <w:pgMar w:top="1800" w:right="1440" w:bottom="1800" w:left="1440" w:header="851" w:footer="992" w:gutter="0"/>
          <w:pgNumType w:fmt="decimal"/>
          <w:cols w:space="425" w:num="1"/>
          <w:titlePg/>
          <w:docGrid w:type="lines" w:linePitch="312" w:charSpace="0"/>
        </w:sectPr>
      </w:pPr>
    </w:p>
    <w:p w14:paraId="105F89F7">
      <w:pPr>
        <w:widowControl/>
        <w:jc w:val="center"/>
        <w:outlineLvl w:val="0"/>
        <w:rPr>
          <w:rFonts w:hint="eastAsia" w:ascii="仿宋" w:hAnsi="仿宋" w:eastAsia="仿宋"/>
          <w:b w:val="0"/>
          <w:color w:val="auto"/>
          <w:highlight w:val="none"/>
        </w:rPr>
      </w:pPr>
      <w:bookmarkStart w:id="69" w:name="_Toc16888"/>
      <w:r>
        <w:rPr>
          <w:rFonts w:hint="eastAsia" w:ascii="黑体" w:hAnsi="黑体" w:eastAsia="黑体"/>
          <w:color w:val="auto"/>
          <w:sz w:val="44"/>
          <w:szCs w:val="44"/>
          <w:highlight w:val="none"/>
        </w:rPr>
        <w:t>第</w:t>
      </w:r>
      <w:r>
        <w:rPr>
          <w:rStyle w:val="39"/>
          <w:rFonts w:hint="eastAsia" w:ascii="黑体" w:hAnsi="黑体" w:eastAsia="黑体"/>
          <w:b w:val="0"/>
          <w:color w:val="auto"/>
          <w:highlight w:val="none"/>
        </w:rPr>
        <w:t>五部分 附表</w:t>
      </w:r>
      <w:bookmarkEnd w:id="69"/>
    </w:p>
    <w:p w14:paraId="32AF2B57">
      <w:pPr>
        <w:pStyle w:val="4"/>
        <w:outlineLvl w:val="9"/>
        <w:rPr>
          <w:rFonts w:hint="eastAsia" w:ascii="仿宋_GB2312" w:hAnsi="仿宋_GB2312" w:eastAsia="仿宋_GB2312" w:cs="仿宋_GB2312"/>
          <w:b w:val="0"/>
          <w:bCs w:val="0"/>
          <w:color w:val="auto"/>
          <w:kern w:val="0"/>
          <w:position w:val="0"/>
          <w:sz w:val="32"/>
          <w:szCs w:val="32"/>
          <w:highlight w:val="none"/>
          <w:lang w:val="zh-CN" w:eastAsia="zh-CN" w:bidi="ar-SA"/>
        </w:rPr>
      </w:pPr>
      <w:r>
        <w:rPr>
          <w:rFonts w:hint="eastAsia" w:ascii="仿宋_GB2312" w:hAnsi="仿宋_GB2312" w:eastAsia="仿宋_GB2312" w:cs="仿宋_GB2312"/>
          <w:b w:val="0"/>
          <w:bCs w:val="0"/>
          <w:color w:val="auto"/>
          <w:kern w:val="0"/>
          <w:position w:val="0"/>
          <w:sz w:val="32"/>
          <w:szCs w:val="32"/>
          <w:highlight w:val="none"/>
          <w:lang w:val="zh-CN" w:eastAsia="zh-CN" w:bidi="ar-SA"/>
        </w:rPr>
        <w:t>一、收入支出决算总表</w:t>
      </w:r>
    </w:p>
    <w:p w14:paraId="43A8EACF">
      <w:pPr>
        <w:pStyle w:val="4"/>
        <w:outlineLvl w:val="9"/>
        <w:rPr>
          <w:rFonts w:hint="eastAsia" w:ascii="仿宋_GB2312" w:hAnsi="仿宋_GB2312" w:eastAsia="仿宋_GB2312" w:cs="仿宋_GB2312"/>
          <w:b w:val="0"/>
          <w:bCs w:val="0"/>
          <w:color w:val="auto"/>
          <w:kern w:val="0"/>
          <w:position w:val="0"/>
          <w:sz w:val="32"/>
          <w:szCs w:val="32"/>
          <w:highlight w:val="none"/>
          <w:lang w:val="zh-CN" w:eastAsia="zh-CN" w:bidi="ar-SA"/>
        </w:rPr>
      </w:pPr>
      <w:r>
        <w:rPr>
          <w:rFonts w:hint="eastAsia" w:ascii="仿宋_GB2312" w:hAnsi="仿宋_GB2312" w:eastAsia="仿宋_GB2312" w:cs="仿宋_GB2312"/>
          <w:b w:val="0"/>
          <w:bCs w:val="0"/>
          <w:color w:val="auto"/>
          <w:kern w:val="0"/>
          <w:position w:val="0"/>
          <w:sz w:val="32"/>
          <w:szCs w:val="32"/>
          <w:highlight w:val="none"/>
          <w:lang w:val="zh-CN" w:eastAsia="zh-CN" w:bidi="ar-SA"/>
        </w:rPr>
        <w:t>二、收入决算表</w:t>
      </w:r>
    </w:p>
    <w:p w14:paraId="55252EDE">
      <w:pPr>
        <w:pStyle w:val="4"/>
        <w:outlineLvl w:val="9"/>
        <w:rPr>
          <w:rFonts w:hint="eastAsia" w:ascii="仿宋_GB2312" w:hAnsi="仿宋_GB2312" w:eastAsia="仿宋_GB2312" w:cs="仿宋_GB2312"/>
          <w:b w:val="0"/>
          <w:bCs w:val="0"/>
          <w:color w:val="auto"/>
          <w:kern w:val="0"/>
          <w:position w:val="0"/>
          <w:sz w:val="32"/>
          <w:szCs w:val="32"/>
          <w:highlight w:val="none"/>
          <w:lang w:val="zh-CN" w:eastAsia="zh-CN" w:bidi="ar-SA"/>
        </w:rPr>
      </w:pPr>
      <w:r>
        <w:rPr>
          <w:rFonts w:hint="eastAsia" w:ascii="仿宋_GB2312" w:hAnsi="仿宋_GB2312" w:eastAsia="仿宋_GB2312" w:cs="仿宋_GB2312"/>
          <w:b w:val="0"/>
          <w:bCs w:val="0"/>
          <w:color w:val="auto"/>
          <w:kern w:val="0"/>
          <w:position w:val="0"/>
          <w:sz w:val="32"/>
          <w:szCs w:val="32"/>
          <w:highlight w:val="none"/>
          <w:lang w:val="zh-CN" w:eastAsia="zh-CN" w:bidi="ar-SA"/>
        </w:rPr>
        <w:t>三、支出决算表</w:t>
      </w:r>
    </w:p>
    <w:p w14:paraId="27B7D889">
      <w:pPr>
        <w:pStyle w:val="4"/>
        <w:outlineLvl w:val="9"/>
        <w:rPr>
          <w:rFonts w:hint="eastAsia" w:ascii="仿宋_GB2312" w:hAnsi="仿宋_GB2312" w:eastAsia="仿宋_GB2312" w:cs="仿宋_GB2312"/>
          <w:b w:val="0"/>
          <w:bCs w:val="0"/>
          <w:color w:val="auto"/>
          <w:kern w:val="0"/>
          <w:position w:val="0"/>
          <w:sz w:val="32"/>
          <w:szCs w:val="32"/>
          <w:highlight w:val="none"/>
          <w:lang w:val="zh-CN" w:eastAsia="zh-CN" w:bidi="ar-SA"/>
        </w:rPr>
      </w:pPr>
      <w:r>
        <w:rPr>
          <w:rFonts w:hint="eastAsia" w:ascii="仿宋_GB2312" w:hAnsi="仿宋_GB2312" w:eastAsia="仿宋_GB2312" w:cs="仿宋_GB2312"/>
          <w:b w:val="0"/>
          <w:bCs w:val="0"/>
          <w:color w:val="auto"/>
          <w:kern w:val="0"/>
          <w:position w:val="0"/>
          <w:sz w:val="32"/>
          <w:szCs w:val="32"/>
          <w:highlight w:val="none"/>
          <w:lang w:val="zh-CN" w:eastAsia="zh-CN" w:bidi="ar-SA"/>
        </w:rPr>
        <w:t>四、财政拨款收入支出决算总表</w:t>
      </w:r>
    </w:p>
    <w:p w14:paraId="6DF09E44">
      <w:pPr>
        <w:pStyle w:val="4"/>
        <w:outlineLvl w:val="9"/>
        <w:rPr>
          <w:rFonts w:hint="eastAsia" w:ascii="仿宋_GB2312" w:hAnsi="仿宋_GB2312" w:eastAsia="仿宋_GB2312" w:cs="仿宋_GB2312"/>
          <w:b w:val="0"/>
          <w:bCs w:val="0"/>
          <w:color w:val="auto"/>
          <w:kern w:val="0"/>
          <w:position w:val="0"/>
          <w:sz w:val="32"/>
          <w:szCs w:val="32"/>
          <w:highlight w:val="none"/>
          <w:lang w:val="zh-CN" w:eastAsia="zh-CN" w:bidi="ar-SA"/>
        </w:rPr>
      </w:pPr>
      <w:r>
        <w:rPr>
          <w:rFonts w:hint="eastAsia" w:ascii="仿宋_GB2312" w:hAnsi="仿宋_GB2312" w:eastAsia="仿宋_GB2312" w:cs="仿宋_GB2312"/>
          <w:b w:val="0"/>
          <w:bCs w:val="0"/>
          <w:color w:val="auto"/>
          <w:kern w:val="0"/>
          <w:position w:val="0"/>
          <w:sz w:val="32"/>
          <w:szCs w:val="32"/>
          <w:highlight w:val="none"/>
          <w:lang w:val="zh-CN" w:eastAsia="zh-CN" w:bidi="ar-SA"/>
        </w:rPr>
        <w:t>五、财政拨款支出决算明细表</w:t>
      </w:r>
    </w:p>
    <w:p w14:paraId="3261A86A">
      <w:pPr>
        <w:pStyle w:val="4"/>
        <w:outlineLvl w:val="9"/>
        <w:rPr>
          <w:rFonts w:hint="eastAsia" w:ascii="仿宋_GB2312" w:hAnsi="仿宋_GB2312" w:eastAsia="仿宋_GB2312" w:cs="仿宋_GB2312"/>
          <w:b w:val="0"/>
          <w:bCs w:val="0"/>
          <w:color w:val="auto"/>
          <w:kern w:val="0"/>
          <w:position w:val="0"/>
          <w:sz w:val="32"/>
          <w:szCs w:val="32"/>
          <w:highlight w:val="none"/>
          <w:lang w:val="zh-CN" w:eastAsia="zh-CN" w:bidi="ar-SA"/>
        </w:rPr>
      </w:pPr>
      <w:r>
        <w:rPr>
          <w:rFonts w:hint="eastAsia" w:ascii="仿宋_GB2312" w:hAnsi="仿宋_GB2312" w:eastAsia="仿宋_GB2312" w:cs="仿宋_GB2312"/>
          <w:b w:val="0"/>
          <w:bCs w:val="0"/>
          <w:color w:val="auto"/>
          <w:kern w:val="0"/>
          <w:position w:val="0"/>
          <w:sz w:val="32"/>
          <w:szCs w:val="32"/>
          <w:highlight w:val="none"/>
          <w:lang w:val="zh-CN" w:eastAsia="zh-CN" w:bidi="ar-SA"/>
        </w:rPr>
        <w:t>六、一般公共预算财政拨款支出决算表</w:t>
      </w:r>
    </w:p>
    <w:p w14:paraId="5C21B7AB">
      <w:pPr>
        <w:pStyle w:val="4"/>
        <w:outlineLvl w:val="9"/>
        <w:rPr>
          <w:rFonts w:hint="eastAsia" w:ascii="仿宋_GB2312" w:hAnsi="仿宋_GB2312" w:eastAsia="仿宋_GB2312" w:cs="仿宋_GB2312"/>
          <w:b w:val="0"/>
          <w:bCs w:val="0"/>
          <w:color w:val="auto"/>
          <w:kern w:val="0"/>
          <w:position w:val="0"/>
          <w:sz w:val="32"/>
          <w:szCs w:val="32"/>
          <w:highlight w:val="none"/>
          <w:lang w:val="zh-CN" w:eastAsia="zh-CN" w:bidi="ar-SA"/>
        </w:rPr>
      </w:pPr>
      <w:r>
        <w:rPr>
          <w:rFonts w:hint="eastAsia" w:ascii="仿宋_GB2312" w:hAnsi="仿宋_GB2312" w:eastAsia="仿宋_GB2312" w:cs="仿宋_GB2312"/>
          <w:b w:val="0"/>
          <w:bCs w:val="0"/>
          <w:color w:val="auto"/>
          <w:kern w:val="0"/>
          <w:position w:val="0"/>
          <w:sz w:val="32"/>
          <w:szCs w:val="32"/>
          <w:highlight w:val="none"/>
          <w:lang w:val="zh-CN" w:eastAsia="zh-CN" w:bidi="ar-SA"/>
        </w:rPr>
        <w:t>七、一般公共预算财政拨款支出决算明细表</w:t>
      </w:r>
    </w:p>
    <w:p w14:paraId="7D168280">
      <w:pPr>
        <w:pStyle w:val="4"/>
        <w:outlineLvl w:val="9"/>
        <w:rPr>
          <w:rFonts w:hint="eastAsia" w:ascii="仿宋_GB2312" w:hAnsi="仿宋_GB2312" w:eastAsia="仿宋_GB2312" w:cs="仿宋_GB2312"/>
          <w:b w:val="0"/>
          <w:bCs w:val="0"/>
          <w:color w:val="auto"/>
          <w:kern w:val="0"/>
          <w:position w:val="0"/>
          <w:sz w:val="32"/>
          <w:szCs w:val="32"/>
          <w:highlight w:val="none"/>
          <w:lang w:val="zh-CN" w:eastAsia="zh-CN" w:bidi="ar-SA"/>
        </w:rPr>
      </w:pPr>
      <w:r>
        <w:rPr>
          <w:rFonts w:hint="eastAsia" w:ascii="仿宋_GB2312" w:hAnsi="仿宋_GB2312" w:eastAsia="仿宋_GB2312" w:cs="仿宋_GB2312"/>
          <w:b w:val="0"/>
          <w:bCs w:val="0"/>
          <w:color w:val="auto"/>
          <w:kern w:val="0"/>
          <w:position w:val="0"/>
          <w:sz w:val="32"/>
          <w:szCs w:val="32"/>
          <w:highlight w:val="none"/>
          <w:lang w:val="zh-CN" w:eastAsia="zh-CN" w:bidi="ar-SA"/>
        </w:rPr>
        <w:t>八、一般公共预算财政拨款基本支出决算表</w:t>
      </w:r>
    </w:p>
    <w:p w14:paraId="1765BED7">
      <w:pPr>
        <w:pStyle w:val="4"/>
        <w:outlineLvl w:val="9"/>
        <w:rPr>
          <w:rFonts w:hint="eastAsia" w:ascii="仿宋_GB2312" w:hAnsi="仿宋_GB2312" w:eastAsia="仿宋_GB2312" w:cs="仿宋_GB2312"/>
          <w:b w:val="0"/>
          <w:bCs w:val="0"/>
          <w:color w:val="auto"/>
          <w:kern w:val="0"/>
          <w:position w:val="0"/>
          <w:sz w:val="32"/>
          <w:szCs w:val="32"/>
          <w:highlight w:val="none"/>
          <w:lang w:val="zh-CN" w:eastAsia="zh-CN" w:bidi="ar-SA"/>
        </w:rPr>
      </w:pPr>
      <w:r>
        <w:rPr>
          <w:rFonts w:hint="eastAsia" w:ascii="仿宋_GB2312" w:hAnsi="仿宋_GB2312" w:eastAsia="仿宋_GB2312" w:cs="仿宋_GB2312"/>
          <w:b w:val="0"/>
          <w:bCs w:val="0"/>
          <w:color w:val="auto"/>
          <w:kern w:val="0"/>
          <w:position w:val="0"/>
          <w:sz w:val="32"/>
          <w:szCs w:val="32"/>
          <w:highlight w:val="none"/>
          <w:lang w:val="zh-CN" w:eastAsia="zh-CN" w:bidi="ar-SA"/>
        </w:rPr>
        <w:t>九、一般公共预算财政拨款项目支出决算表</w:t>
      </w:r>
    </w:p>
    <w:p w14:paraId="41DA5FEB">
      <w:pPr>
        <w:pStyle w:val="4"/>
        <w:outlineLvl w:val="9"/>
        <w:rPr>
          <w:rFonts w:hint="eastAsia" w:ascii="仿宋_GB2312" w:hAnsi="仿宋_GB2312" w:eastAsia="仿宋_GB2312" w:cs="仿宋_GB2312"/>
          <w:b w:val="0"/>
          <w:bCs w:val="0"/>
          <w:color w:val="auto"/>
          <w:kern w:val="0"/>
          <w:position w:val="0"/>
          <w:sz w:val="32"/>
          <w:szCs w:val="32"/>
          <w:highlight w:val="none"/>
          <w:lang w:val="zh-CN" w:eastAsia="zh-CN" w:bidi="ar-SA"/>
        </w:rPr>
      </w:pPr>
      <w:r>
        <w:rPr>
          <w:rFonts w:hint="eastAsia" w:ascii="仿宋_GB2312" w:hAnsi="仿宋_GB2312" w:eastAsia="仿宋_GB2312" w:cs="仿宋_GB2312"/>
          <w:b w:val="0"/>
          <w:bCs w:val="0"/>
          <w:color w:val="auto"/>
          <w:kern w:val="0"/>
          <w:position w:val="0"/>
          <w:sz w:val="32"/>
          <w:szCs w:val="32"/>
          <w:highlight w:val="none"/>
          <w:lang w:val="zh-CN" w:eastAsia="zh-CN" w:bidi="ar-SA"/>
        </w:rPr>
        <w:t>十、政府性基金预算财政拨款收入支出决算表</w:t>
      </w:r>
    </w:p>
    <w:p w14:paraId="438220B1">
      <w:pPr>
        <w:pStyle w:val="4"/>
        <w:outlineLvl w:val="9"/>
        <w:rPr>
          <w:rFonts w:hint="eastAsia" w:ascii="仿宋_GB2312" w:hAnsi="仿宋_GB2312" w:eastAsia="仿宋_GB2312" w:cs="仿宋_GB2312"/>
          <w:b w:val="0"/>
          <w:bCs w:val="0"/>
          <w:color w:val="auto"/>
          <w:kern w:val="0"/>
          <w:position w:val="0"/>
          <w:sz w:val="32"/>
          <w:szCs w:val="32"/>
          <w:highlight w:val="none"/>
          <w:lang w:val="zh-CN" w:eastAsia="zh-CN" w:bidi="ar-SA"/>
        </w:rPr>
      </w:pPr>
      <w:r>
        <w:rPr>
          <w:rFonts w:hint="eastAsia" w:ascii="仿宋_GB2312" w:hAnsi="仿宋_GB2312" w:eastAsia="仿宋_GB2312" w:cs="仿宋_GB2312"/>
          <w:b w:val="0"/>
          <w:bCs w:val="0"/>
          <w:color w:val="auto"/>
          <w:kern w:val="0"/>
          <w:position w:val="0"/>
          <w:sz w:val="32"/>
          <w:szCs w:val="32"/>
          <w:highlight w:val="none"/>
          <w:lang w:val="zh-CN" w:eastAsia="zh-CN" w:bidi="ar-SA"/>
        </w:rPr>
        <w:t>十一、国有资本经营预算财政拨款收入支出决算表</w:t>
      </w:r>
    </w:p>
    <w:p w14:paraId="69E697AC">
      <w:pPr>
        <w:pStyle w:val="4"/>
        <w:outlineLvl w:val="9"/>
        <w:rPr>
          <w:rFonts w:hint="eastAsia" w:ascii="仿宋_GB2312" w:hAnsi="仿宋_GB2312" w:eastAsia="仿宋_GB2312" w:cs="仿宋_GB2312"/>
          <w:b w:val="0"/>
          <w:bCs w:val="0"/>
          <w:color w:val="auto"/>
          <w:kern w:val="0"/>
          <w:position w:val="0"/>
          <w:sz w:val="32"/>
          <w:szCs w:val="32"/>
          <w:highlight w:val="none"/>
          <w:lang w:val="zh-CN" w:eastAsia="zh-CN" w:bidi="ar-SA"/>
        </w:rPr>
      </w:pPr>
      <w:r>
        <w:rPr>
          <w:rFonts w:hint="eastAsia" w:ascii="仿宋_GB2312" w:hAnsi="仿宋_GB2312" w:eastAsia="仿宋_GB2312" w:cs="仿宋_GB2312"/>
          <w:b w:val="0"/>
          <w:bCs w:val="0"/>
          <w:color w:val="auto"/>
          <w:kern w:val="0"/>
          <w:position w:val="0"/>
          <w:sz w:val="32"/>
          <w:szCs w:val="32"/>
          <w:highlight w:val="none"/>
          <w:lang w:val="zh-CN" w:eastAsia="zh-CN" w:bidi="ar-SA"/>
        </w:rPr>
        <w:t>十二、国有资本经营预算财政拨款支出决算表</w:t>
      </w:r>
    </w:p>
    <w:p w14:paraId="70F4E4FD">
      <w:pPr>
        <w:pStyle w:val="4"/>
        <w:outlineLvl w:val="9"/>
        <w:rPr>
          <w:rFonts w:hint="eastAsia" w:ascii="仿宋_GB2312" w:hAnsi="仿宋_GB2312" w:eastAsia="仿宋_GB2312" w:cs="仿宋_GB2312"/>
          <w:b w:val="0"/>
          <w:bCs w:val="0"/>
          <w:color w:val="auto"/>
          <w:kern w:val="0"/>
          <w:position w:val="0"/>
          <w:sz w:val="32"/>
          <w:szCs w:val="32"/>
          <w:highlight w:val="none"/>
          <w:lang w:val="zh-CN" w:eastAsia="zh-CN" w:bidi="ar-SA"/>
        </w:rPr>
      </w:pPr>
      <w:r>
        <w:rPr>
          <w:rFonts w:hint="eastAsia" w:ascii="仿宋_GB2312" w:hAnsi="仿宋_GB2312" w:eastAsia="仿宋_GB2312" w:cs="仿宋_GB2312"/>
          <w:b w:val="0"/>
          <w:bCs w:val="0"/>
          <w:color w:val="auto"/>
          <w:kern w:val="0"/>
          <w:position w:val="0"/>
          <w:sz w:val="32"/>
          <w:szCs w:val="32"/>
          <w:highlight w:val="none"/>
          <w:lang w:val="zh-CN" w:eastAsia="zh-CN" w:bidi="ar-SA"/>
        </w:rPr>
        <w:t>十三、财政拨款“三公”经费支出决算表</w:t>
      </w:r>
    </w:p>
    <w:p w14:paraId="7EE56566"/>
    <w:bookmarkEnd w:id="64"/>
    <w:bookmarkEnd w:id="66"/>
    <w:p w14:paraId="2DBF46F8">
      <w:pPr>
        <w:pStyle w:val="4"/>
        <w:outlineLvl w:val="9"/>
        <w:rPr>
          <w:rFonts w:eastAsia="仿宋"/>
          <w:color w:val="0000FF"/>
        </w:rPr>
      </w:pPr>
    </w:p>
    <w:sectPr>
      <w:footerReference r:id="rId9" w:type="first"/>
      <w:footerReference r:id="rId8" w:type="default"/>
      <w:pgSz w:w="11906" w:h="16838"/>
      <w:pgMar w:top="1440" w:right="1800" w:bottom="1440" w:left="1800" w:header="851" w:footer="992" w:gutter="0"/>
      <w:pgNumType w:fmt="decimal"/>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5B42F120-6C68-4462-9508-BAF1F86EBDEF}"/>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FB726FAA-FBFA-482C-B732-AF7657CB036C}"/>
  </w:font>
  <w:font w:name="Cambria">
    <w:panose1 w:val="02040503050406030204"/>
    <w:charset w:val="00"/>
    <w:family w:val="roman"/>
    <w:pitch w:val="default"/>
    <w:sig w:usb0="E00006FF" w:usb1="420024FF" w:usb2="02000000" w:usb3="00000000" w:csb0="2000019F" w:csb1="00000000"/>
  </w:font>
  <w:font w:name="仿宋_GB2312">
    <w:altName w:val="仿宋"/>
    <w:panose1 w:val="02010609030101010101"/>
    <w:charset w:val="86"/>
    <w:family w:val="auto"/>
    <w:pitch w:val="default"/>
    <w:sig w:usb0="00000000" w:usb1="00000000" w:usb2="00000000" w:usb3="00000000" w:csb0="00040000" w:csb1="00000000"/>
    <w:embedRegular r:id="rId3" w:fontKey="{00E2D6C8-30F3-43B0-A2CF-FF2923F88DE6}"/>
  </w:font>
  <w:font w:name="仿宋">
    <w:panose1 w:val="02010609060101010101"/>
    <w:charset w:val="86"/>
    <w:family w:val="modern"/>
    <w:pitch w:val="default"/>
    <w:sig w:usb0="800002BF" w:usb1="38CF7CFA" w:usb2="00000016" w:usb3="00000000" w:csb0="00040001" w:csb1="00000000"/>
    <w:embedRegular r:id="rId4" w:fontKey="{615795D8-B5FC-4E3C-9F51-2E2FFB4CFBD3}"/>
  </w:font>
  <w:font w:name="??">
    <w:altName w:val="Times New Roman"/>
    <w:panose1 w:val="00000000000000000000"/>
    <w:charset w:val="00"/>
    <w:family w:val="roman"/>
    <w:pitch w:val="default"/>
    <w:sig w:usb0="00000000" w:usb1="00000000" w:usb2="00000000" w:usb3="00000000" w:csb0="00040001" w:csb1="00000000"/>
  </w:font>
  <w:font w:name="方正小标宋简体">
    <w:panose1 w:val="02010601030101010101"/>
    <w:charset w:val="86"/>
    <w:family w:val="script"/>
    <w:pitch w:val="default"/>
    <w:sig w:usb0="00000001" w:usb1="080E0000" w:usb2="00000000" w:usb3="00000000" w:csb0="00040000" w:csb1="00000000"/>
  </w:font>
  <w:font w:name="楷体_GB2312">
    <w:altName w:val="楷体"/>
    <w:panose1 w:val="02010609030101010101"/>
    <w:charset w:val="86"/>
    <w:family w:val="auto"/>
    <w:pitch w:val="default"/>
    <w:sig w:usb0="00000000" w:usb1="00000000" w:usb2="00000000" w:usb3="00000000" w:csb0="00040000" w:csb1="00000000"/>
    <w:embedRegular r:id="rId5" w:fontKey="{2C81E767-C410-4045-9565-D8C36858BF9B}"/>
  </w:font>
  <w:font w:name="楷体">
    <w:panose1 w:val="02010609060101010101"/>
    <w:charset w:val="86"/>
    <w:family w:val="auto"/>
    <w:pitch w:val="default"/>
    <w:sig w:usb0="800002BF" w:usb1="38CF7CFA" w:usb2="00000016" w:usb3="00000000" w:csb0="00040001" w:csb1="00000000"/>
  </w:font>
  <w:font w:name="方正仿宋_GBK">
    <w:panose1 w:val="03000509000000000000"/>
    <w:charset w:val="86"/>
    <w:family w:val="script"/>
    <w:pitch w:val="default"/>
    <w:sig w:usb0="00000001" w:usb1="080E0000" w:usb2="00000000" w:usb3="00000000" w:csb0="00040000" w:csb1="00000000"/>
    <w:embedRegular r:id="rId6" w:fontKey="{8CD7E676-9A86-49EE-89C9-EF481C14C1B1}"/>
  </w:font>
  <w:font w:name="方正黑体_GBK">
    <w:altName w:val="微软雅黑"/>
    <w:panose1 w:val="02000000000000000000"/>
    <w:charset w:val="86"/>
    <w:family w:val="script"/>
    <w:pitch w:val="default"/>
    <w:sig w:usb0="00000000" w:usb1="00000000" w:usb2="00000000" w:usb3="00000000" w:csb0="00040000" w:csb1="00000000"/>
    <w:embedRegular r:id="rId7" w:fontKey="{4FC5DB1A-6073-4729-A55D-03FD095CB80A}"/>
  </w:font>
  <w:font w:name="微软雅黑">
    <w:panose1 w:val="020B0503020204020204"/>
    <w:charset w:val="86"/>
    <w:family w:val="auto"/>
    <w:pitch w:val="default"/>
    <w:sig w:usb0="80000287" w:usb1="2ACF3C50" w:usb2="00000016" w:usb3="00000000" w:csb0="0004001F" w:csb1="00000000"/>
    <w:embedRegular r:id="rId8" w:fontKey="{8559E092-91D0-4F4C-B7E3-5E12B7CF72E5}"/>
  </w:font>
  <w:font w:name="方正楷体_GBK">
    <w:panose1 w:val="03000509000000000000"/>
    <w:charset w:val="86"/>
    <w:family w:val="script"/>
    <w:pitch w:val="default"/>
    <w:sig w:usb0="00000001" w:usb1="080E0000" w:usb2="00000000" w:usb3="00000000" w:csb0="00040000" w:csb1="00000000"/>
    <w:embedRegular r:id="rId9" w:fontKey="{E1D3509D-35F2-41D0-8FFA-DECEA5832D26}"/>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4DDE8A">
    <w:pPr>
      <w:pStyle w:val="12"/>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BDD4A52">
                          <w:pPr>
                            <w:pStyle w:val="12"/>
                          </w:pPr>
                          <w:r>
                            <w:fldChar w:fldCharType="begin"/>
                          </w:r>
                          <w:r>
                            <w:instrText xml:space="preserve"> PAGE  \* MERGEFORMAT </w:instrText>
                          </w:r>
                          <w:r>
                            <w:fldChar w:fldCharType="separate"/>
                          </w:r>
                          <w:r>
                            <w:t>- 2 -</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KVIPQyAgAAY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pUg9DICAABhBAAADgAAAAAAAAABACAAAAAfAQAAZHJzL2Uyb0RvYy54bWxQSwUG&#10;AAAAAAYABgBZAQAAwwUAAAAA&#10;">
              <v:fill on="f" focussize="0,0"/>
              <v:stroke on="f" weight="0.5pt"/>
              <v:imagedata o:title=""/>
              <o:lock v:ext="edit" aspectratio="f"/>
              <v:textbox inset="0mm,0mm,0mm,0mm" style="mso-fit-shape-to-text:t;">
                <w:txbxContent>
                  <w:p w14:paraId="7BDD4A52">
                    <w:pPr>
                      <w:pStyle w:val="12"/>
                    </w:pPr>
                    <w:r>
                      <w:fldChar w:fldCharType="begin"/>
                    </w:r>
                    <w:r>
                      <w:instrText xml:space="preserve"> PAGE  \* MERGEFORMAT </w:instrText>
                    </w:r>
                    <w:r>
                      <w:fldChar w:fldCharType="separate"/>
                    </w:r>
                    <w:r>
                      <w:t>- 2 -</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05D7B6">
    <w:pPr>
      <w:pStyle w:val="1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D3D210">
    <w:pPr>
      <w:pStyle w:val="12"/>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0CA522">
    <w:pPr>
      <w:pStyle w:val="12"/>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23185FD">
                          <w:pPr>
                            <w:pStyle w:val="12"/>
                          </w:pPr>
                          <w:r>
                            <w:fldChar w:fldCharType="begin"/>
                          </w:r>
                          <w:r>
                            <w:instrText xml:space="preserve"> PAGE  \* MERGEFORMAT </w:instrText>
                          </w:r>
                          <w:r>
                            <w:fldChar w:fldCharType="separate"/>
                          </w:r>
                          <w:r>
                            <w:t>- 2 -</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z+8ZE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s/vGRMQIAAGMEAAAOAAAAAAAAAAEAIAAAAB8BAABkcnMvZTJvRG9jLnhtbFBLBQYA&#10;AAAABgAGAFkBAADCBQAAAAA=&#10;">
              <v:fill on="f" focussize="0,0"/>
              <v:stroke on="f" weight="0.5pt"/>
              <v:imagedata o:title=""/>
              <o:lock v:ext="edit" aspectratio="f"/>
              <v:textbox inset="0mm,0mm,0mm,0mm" style="mso-fit-shape-to-text:t;">
                <w:txbxContent>
                  <w:p w14:paraId="723185FD">
                    <w:pPr>
                      <w:pStyle w:val="12"/>
                    </w:pPr>
                    <w:r>
                      <w:fldChar w:fldCharType="begin"/>
                    </w:r>
                    <w:r>
                      <w:instrText xml:space="preserve"> PAGE  \* MERGEFORMAT </w:instrText>
                    </w:r>
                    <w:r>
                      <w:fldChar w:fldCharType="separate"/>
                    </w:r>
                    <w:r>
                      <w:t>- 2 -</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F68995">
    <w:pPr>
      <w:pStyle w:val="12"/>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5865FA6">
                          <w:pPr>
                            <w:pStyle w:val="12"/>
                          </w:pPr>
                          <w:r>
                            <w:fldChar w:fldCharType="begin"/>
                          </w:r>
                          <w:r>
                            <w:instrText xml:space="preserve"> PAGE  \* MERGEFORMAT </w:instrText>
                          </w:r>
                          <w:r>
                            <w:fldChar w:fldCharType="separate"/>
                          </w:r>
                          <w:r>
                            <w:t>- 2 -</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35865FA6">
                    <w:pPr>
                      <w:pStyle w:val="12"/>
                    </w:pPr>
                    <w:r>
                      <w:fldChar w:fldCharType="begin"/>
                    </w:r>
                    <w:r>
                      <w:instrText xml:space="preserve"> PAGE  \* MERGEFORMAT </w:instrText>
                    </w:r>
                    <w:r>
                      <w:fldChar w:fldCharType="separate"/>
                    </w:r>
                    <w:r>
                      <w:t>- 2 -</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71B6C5">
    <w:pPr>
      <w:pStyle w:val="12"/>
    </w:pP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20C15E6">
                          <w:pPr>
                            <w:pStyle w:val="12"/>
                          </w:pPr>
                          <w:r>
                            <w:fldChar w:fldCharType="begin"/>
                          </w:r>
                          <w:r>
                            <w:instrText xml:space="preserve"> PAGE  \* MERGEFORMAT </w:instrText>
                          </w:r>
                          <w:r>
                            <w:fldChar w:fldCharType="separate"/>
                          </w:r>
                          <w:r>
                            <w:t>31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mor5U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pqK+VMQIAAGMEAAAOAAAAAAAAAAEAIAAAAB8BAABkcnMvZTJvRG9jLnhtbFBLBQYA&#10;AAAABgAGAFkBAADCBQAAAAA=&#10;">
              <v:fill on="f" focussize="0,0"/>
              <v:stroke on="f" weight="0.5pt"/>
              <v:imagedata o:title=""/>
              <o:lock v:ext="edit" aspectratio="f"/>
              <v:textbox inset="0mm,0mm,0mm,0mm" style="mso-fit-shape-to-text:t;">
                <w:txbxContent>
                  <w:p w14:paraId="720C15E6">
                    <w:pPr>
                      <w:pStyle w:val="12"/>
                    </w:pPr>
                    <w:r>
                      <w:fldChar w:fldCharType="begin"/>
                    </w:r>
                    <w:r>
                      <w:instrText xml:space="preserve"> PAGE  \* MERGEFORMAT </w:instrText>
                    </w:r>
                    <w:r>
                      <w:fldChar w:fldCharType="separate"/>
                    </w:r>
                    <w:r>
                      <w:t>31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B3F144">
    <w:pPr>
      <w:pStyle w:val="13"/>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F652CEC"/>
    <w:multiLevelType w:val="singleLevel"/>
    <w:tmpl w:val="CF652CEC"/>
    <w:lvl w:ilvl="0" w:tentative="0">
      <w:start w:val="9"/>
      <w:numFmt w:val="chineseCounting"/>
      <w:suff w:val="nothing"/>
      <w:lvlText w:val="%1、"/>
      <w:lvlJc w:val="left"/>
      <w:rPr>
        <w:rFonts w:hint="eastAsia"/>
      </w:rPr>
    </w:lvl>
  </w:abstractNum>
  <w:abstractNum w:abstractNumId="1">
    <w:nsid w:val="E2FA047D"/>
    <w:multiLevelType w:val="singleLevel"/>
    <w:tmpl w:val="E2FA047D"/>
    <w:lvl w:ilvl="0" w:tentative="0">
      <w:start w:val="3"/>
      <w:numFmt w:val="chineseCounting"/>
      <w:suff w:val="space"/>
      <w:lvlText w:val="第%1部分"/>
      <w:lvlJc w:val="left"/>
      <w:rPr>
        <w:rFonts w:hint="eastAsia" w:ascii="黑体" w:hAnsi="黑体" w:eastAsia="黑体" w:cs="黑体"/>
        <w:sz w:val="44"/>
        <w:szCs w:val="44"/>
      </w:rPr>
    </w:lvl>
  </w:abstractNum>
  <w:abstractNum w:abstractNumId="2">
    <w:nsid w:val="1272550B"/>
    <w:multiLevelType w:val="multilevel"/>
    <w:tmpl w:val="1272550B"/>
    <w:lvl w:ilvl="0" w:tentative="0">
      <w:start w:val="1"/>
      <w:numFmt w:val="japaneseCounting"/>
      <w:lvlText w:val="%1、"/>
      <w:lvlJc w:val="left"/>
      <w:pPr>
        <w:ind w:left="1360" w:hanging="720"/>
      </w:pPr>
      <w:rPr>
        <w:rFonts w:hint="default"/>
        <w:b w:val="0"/>
      </w:rPr>
    </w:lvl>
    <w:lvl w:ilvl="1" w:tentative="0">
      <w:start w:val="1"/>
      <w:numFmt w:val="lowerLetter"/>
      <w:lvlText w:val="%2)"/>
      <w:lvlJc w:val="left"/>
      <w:pPr>
        <w:ind w:left="1480" w:hanging="420"/>
      </w:pPr>
    </w:lvl>
    <w:lvl w:ilvl="2" w:tentative="0">
      <w:start w:val="1"/>
      <w:numFmt w:val="lowerRoman"/>
      <w:lvlText w:val="%3."/>
      <w:lvlJc w:val="right"/>
      <w:pPr>
        <w:ind w:left="1900" w:hanging="420"/>
      </w:pPr>
    </w:lvl>
    <w:lvl w:ilvl="3" w:tentative="0">
      <w:start w:val="1"/>
      <w:numFmt w:val="decimal"/>
      <w:lvlText w:val="%4."/>
      <w:lvlJc w:val="left"/>
      <w:pPr>
        <w:ind w:left="2320" w:hanging="420"/>
      </w:pPr>
    </w:lvl>
    <w:lvl w:ilvl="4" w:tentative="0">
      <w:start w:val="1"/>
      <w:numFmt w:val="lowerLetter"/>
      <w:lvlText w:val="%5)"/>
      <w:lvlJc w:val="left"/>
      <w:pPr>
        <w:ind w:left="2740" w:hanging="420"/>
      </w:pPr>
    </w:lvl>
    <w:lvl w:ilvl="5" w:tentative="0">
      <w:start w:val="1"/>
      <w:numFmt w:val="lowerRoman"/>
      <w:lvlText w:val="%6."/>
      <w:lvlJc w:val="right"/>
      <w:pPr>
        <w:ind w:left="3160" w:hanging="420"/>
      </w:pPr>
    </w:lvl>
    <w:lvl w:ilvl="6" w:tentative="0">
      <w:start w:val="1"/>
      <w:numFmt w:val="decimal"/>
      <w:lvlText w:val="%7."/>
      <w:lvlJc w:val="left"/>
      <w:pPr>
        <w:ind w:left="3580" w:hanging="420"/>
      </w:pPr>
    </w:lvl>
    <w:lvl w:ilvl="7" w:tentative="0">
      <w:start w:val="1"/>
      <w:numFmt w:val="lowerLetter"/>
      <w:lvlText w:val="%8)"/>
      <w:lvlJc w:val="left"/>
      <w:pPr>
        <w:ind w:left="4000" w:hanging="420"/>
      </w:pPr>
    </w:lvl>
    <w:lvl w:ilvl="8" w:tentative="0">
      <w:start w:val="1"/>
      <w:numFmt w:val="lowerRoman"/>
      <w:lvlText w:val="%9."/>
      <w:lvlJc w:val="right"/>
      <w:pPr>
        <w:ind w:left="4420" w:hanging="42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MwYjZlOTRiYzI5YzkxODJmMmRlMmEyYzQzNTdiZWMifQ=="/>
  </w:docVars>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A1DAD"/>
    <w:rsid w:val="001C0962"/>
    <w:rsid w:val="001D7531"/>
    <w:rsid w:val="001E737D"/>
    <w:rsid w:val="001F0592"/>
    <w:rsid w:val="001F7506"/>
    <w:rsid w:val="002006CD"/>
    <w:rsid w:val="00202B36"/>
    <w:rsid w:val="00204B7A"/>
    <w:rsid w:val="00204CDE"/>
    <w:rsid w:val="00206907"/>
    <w:rsid w:val="0021101A"/>
    <w:rsid w:val="00212B4A"/>
    <w:rsid w:val="00220536"/>
    <w:rsid w:val="00235629"/>
    <w:rsid w:val="00260C38"/>
    <w:rsid w:val="002616C0"/>
    <w:rsid w:val="00265372"/>
    <w:rsid w:val="002662AA"/>
    <w:rsid w:val="00280496"/>
    <w:rsid w:val="00294DC9"/>
    <w:rsid w:val="00295495"/>
    <w:rsid w:val="002A31DE"/>
    <w:rsid w:val="002B2613"/>
    <w:rsid w:val="002C5004"/>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25C50"/>
    <w:rsid w:val="0043177C"/>
    <w:rsid w:val="00434489"/>
    <w:rsid w:val="00437085"/>
    <w:rsid w:val="00443880"/>
    <w:rsid w:val="004464F4"/>
    <w:rsid w:val="0046049C"/>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533CF"/>
    <w:rsid w:val="005664BB"/>
    <w:rsid w:val="00566FFA"/>
    <w:rsid w:val="0057481D"/>
    <w:rsid w:val="0058486E"/>
    <w:rsid w:val="00585B33"/>
    <w:rsid w:val="0059014D"/>
    <w:rsid w:val="005B5C64"/>
    <w:rsid w:val="005B6E8A"/>
    <w:rsid w:val="005C5337"/>
    <w:rsid w:val="005C6BD0"/>
    <w:rsid w:val="005D1C8B"/>
    <w:rsid w:val="005D468D"/>
    <w:rsid w:val="005D5CED"/>
    <w:rsid w:val="005F10BC"/>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55FC5"/>
    <w:rsid w:val="0066343B"/>
    <w:rsid w:val="00664777"/>
    <w:rsid w:val="006748A4"/>
    <w:rsid w:val="00681A31"/>
    <w:rsid w:val="00683E73"/>
    <w:rsid w:val="00696FB6"/>
    <w:rsid w:val="006A3141"/>
    <w:rsid w:val="006A5E34"/>
    <w:rsid w:val="006B2422"/>
    <w:rsid w:val="006B2B9A"/>
    <w:rsid w:val="006C1937"/>
    <w:rsid w:val="006C7278"/>
    <w:rsid w:val="006F020C"/>
    <w:rsid w:val="0071021A"/>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10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C7FD8"/>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6664C"/>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1E6F"/>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B12D25"/>
    <w:rsid w:val="02201D8C"/>
    <w:rsid w:val="02C24BF1"/>
    <w:rsid w:val="03A12400"/>
    <w:rsid w:val="03DC2831"/>
    <w:rsid w:val="044F0706"/>
    <w:rsid w:val="0513416B"/>
    <w:rsid w:val="054D733B"/>
    <w:rsid w:val="05DD1F63"/>
    <w:rsid w:val="05FB7B50"/>
    <w:rsid w:val="06B074BB"/>
    <w:rsid w:val="0725379A"/>
    <w:rsid w:val="073A744C"/>
    <w:rsid w:val="07487DBA"/>
    <w:rsid w:val="07F4584C"/>
    <w:rsid w:val="081B5E94"/>
    <w:rsid w:val="086A5B0F"/>
    <w:rsid w:val="08C2594B"/>
    <w:rsid w:val="08CE0793"/>
    <w:rsid w:val="08D2065C"/>
    <w:rsid w:val="096A04BC"/>
    <w:rsid w:val="09ED2E9B"/>
    <w:rsid w:val="0A053D41"/>
    <w:rsid w:val="0A2032A3"/>
    <w:rsid w:val="0B0035CA"/>
    <w:rsid w:val="0B226E42"/>
    <w:rsid w:val="0B5C3E34"/>
    <w:rsid w:val="0B5F1B77"/>
    <w:rsid w:val="0B8A37D8"/>
    <w:rsid w:val="0B8D158D"/>
    <w:rsid w:val="0C737AED"/>
    <w:rsid w:val="0D1F336B"/>
    <w:rsid w:val="0D344206"/>
    <w:rsid w:val="0D6945E7"/>
    <w:rsid w:val="0D911323"/>
    <w:rsid w:val="0D9C676A"/>
    <w:rsid w:val="0DA16476"/>
    <w:rsid w:val="0DC44A33"/>
    <w:rsid w:val="0DD7380E"/>
    <w:rsid w:val="0E0B0CD9"/>
    <w:rsid w:val="0E207EAF"/>
    <w:rsid w:val="0EC7610A"/>
    <w:rsid w:val="0F3B0205"/>
    <w:rsid w:val="0F5FFB2F"/>
    <w:rsid w:val="0F871DD2"/>
    <w:rsid w:val="0F974B62"/>
    <w:rsid w:val="0FE20680"/>
    <w:rsid w:val="0FF97D9D"/>
    <w:rsid w:val="0FFFCF60"/>
    <w:rsid w:val="1008458B"/>
    <w:rsid w:val="10C055FF"/>
    <w:rsid w:val="118107EC"/>
    <w:rsid w:val="118714DF"/>
    <w:rsid w:val="11987B90"/>
    <w:rsid w:val="11DD6519"/>
    <w:rsid w:val="12665208"/>
    <w:rsid w:val="132F0BDE"/>
    <w:rsid w:val="13370CE3"/>
    <w:rsid w:val="13620456"/>
    <w:rsid w:val="1367007B"/>
    <w:rsid w:val="13AE369B"/>
    <w:rsid w:val="1432607A"/>
    <w:rsid w:val="145F04F1"/>
    <w:rsid w:val="14DA78C1"/>
    <w:rsid w:val="157C06D7"/>
    <w:rsid w:val="15865FBD"/>
    <w:rsid w:val="15C000B2"/>
    <w:rsid w:val="16446DD2"/>
    <w:rsid w:val="16A86E93"/>
    <w:rsid w:val="16BB723D"/>
    <w:rsid w:val="16D06CA3"/>
    <w:rsid w:val="17051824"/>
    <w:rsid w:val="174A5489"/>
    <w:rsid w:val="17571954"/>
    <w:rsid w:val="17AA4179"/>
    <w:rsid w:val="17BA0860"/>
    <w:rsid w:val="18015F3F"/>
    <w:rsid w:val="188E5849"/>
    <w:rsid w:val="189B3AC2"/>
    <w:rsid w:val="1940130A"/>
    <w:rsid w:val="195F3CB4"/>
    <w:rsid w:val="196C2277"/>
    <w:rsid w:val="1991739F"/>
    <w:rsid w:val="19B211BB"/>
    <w:rsid w:val="19C54B49"/>
    <w:rsid w:val="19E41BC5"/>
    <w:rsid w:val="1A475CB0"/>
    <w:rsid w:val="1A620D3B"/>
    <w:rsid w:val="1B972C67"/>
    <w:rsid w:val="1BD53A7F"/>
    <w:rsid w:val="1BD73063"/>
    <w:rsid w:val="1BE8440E"/>
    <w:rsid w:val="1C142509"/>
    <w:rsid w:val="1C2C7853"/>
    <w:rsid w:val="1C9D78A0"/>
    <w:rsid w:val="1D155CEE"/>
    <w:rsid w:val="1D436C02"/>
    <w:rsid w:val="1E114F52"/>
    <w:rsid w:val="1E967206"/>
    <w:rsid w:val="1F262338"/>
    <w:rsid w:val="1F7C0142"/>
    <w:rsid w:val="1FA70EB0"/>
    <w:rsid w:val="1FCB4626"/>
    <w:rsid w:val="1FDBBF84"/>
    <w:rsid w:val="208A0FEC"/>
    <w:rsid w:val="20F57F95"/>
    <w:rsid w:val="211663DC"/>
    <w:rsid w:val="21CE72B3"/>
    <w:rsid w:val="21F66939"/>
    <w:rsid w:val="23072480"/>
    <w:rsid w:val="23F30C56"/>
    <w:rsid w:val="240371BF"/>
    <w:rsid w:val="244558F0"/>
    <w:rsid w:val="24A21573"/>
    <w:rsid w:val="25711CC6"/>
    <w:rsid w:val="25AA45A6"/>
    <w:rsid w:val="25C741E6"/>
    <w:rsid w:val="26E20257"/>
    <w:rsid w:val="271B0BF0"/>
    <w:rsid w:val="27445DC4"/>
    <w:rsid w:val="276F80C0"/>
    <w:rsid w:val="27842671"/>
    <w:rsid w:val="279F712B"/>
    <w:rsid w:val="28081242"/>
    <w:rsid w:val="2838132E"/>
    <w:rsid w:val="288842A5"/>
    <w:rsid w:val="288A09F7"/>
    <w:rsid w:val="28A751EA"/>
    <w:rsid w:val="29053906"/>
    <w:rsid w:val="29303D71"/>
    <w:rsid w:val="29656152"/>
    <w:rsid w:val="298864DD"/>
    <w:rsid w:val="29B844D4"/>
    <w:rsid w:val="29FD04D3"/>
    <w:rsid w:val="29FD45DD"/>
    <w:rsid w:val="2A936DFA"/>
    <w:rsid w:val="2ABE7A3E"/>
    <w:rsid w:val="2AD855D3"/>
    <w:rsid w:val="2AFF09B6"/>
    <w:rsid w:val="2B25253C"/>
    <w:rsid w:val="2B4327FE"/>
    <w:rsid w:val="2B620B9B"/>
    <w:rsid w:val="2B8D373E"/>
    <w:rsid w:val="2C5A1872"/>
    <w:rsid w:val="2C772424"/>
    <w:rsid w:val="2C936BF2"/>
    <w:rsid w:val="2CA234A8"/>
    <w:rsid w:val="2D4F6EFD"/>
    <w:rsid w:val="2D7B6E6F"/>
    <w:rsid w:val="2D834DF9"/>
    <w:rsid w:val="2E7A26A0"/>
    <w:rsid w:val="2EFA178C"/>
    <w:rsid w:val="2EFDF86C"/>
    <w:rsid w:val="2F9114D5"/>
    <w:rsid w:val="2F9D17E1"/>
    <w:rsid w:val="2FC17E5A"/>
    <w:rsid w:val="303E28B3"/>
    <w:rsid w:val="30B46D73"/>
    <w:rsid w:val="30C65728"/>
    <w:rsid w:val="31512667"/>
    <w:rsid w:val="31592904"/>
    <w:rsid w:val="318639B3"/>
    <w:rsid w:val="319F7F4E"/>
    <w:rsid w:val="31C14C9E"/>
    <w:rsid w:val="329A7F77"/>
    <w:rsid w:val="32CA457B"/>
    <w:rsid w:val="32E4458C"/>
    <w:rsid w:val="33042538"/>
    <w:rsid w:val="33072028"/>
    <w:rsid w:val="33167E1B"/>
    <w:rsid w:val="33582884"/>
    <w:rsid w:val="335A5B30"/>
    <w:rsid w:val="340C6244"/>
    <w:rsid w:val="3418647E"/>
    <w:rsid w:val="34A56C1F"/>
    <w:rsid w:val="34CE1050"/>
    <w:rsid w:val="352E7D40"/>
    <w:rsid w:val="35507A5F"/>
    <w:rsid w:val="356A28F1"/>
    <w:rsid w:val="357C035A"/>
    <w:rsid w:val="359009FB"/>
    <w:rsid w:val="3628478F"/>
    <w:rsid w:val="3663227B"/>
    <w:rsid w:val="368E000D"/>
    <w:rsid w:val="36C3270A"/>
    <w:rsid w:val="36E25286"/>
    <w:rsid w:val="376F634F"/>
    <w:rsid w:val="377A322A"/>
    <w:rsid w:val="37E13493"/>
    <w:rsid w:val="383C1841"/>
    <w:rsid w:val="383D272C"/>
    <w:rsid w:val="387719FE"/>
    <w:rsid w:val="38892F1E"/>
    <w:rsid w:val="391D07F7"/>
    <w:rsid w:val="396A7F79"/>
    <w:rsid w:val="39AE70AB"/>
    <w:rsid w:val="3A15327D"/>
    <w:rsid w:val="3A4DCE41"/>
    <w:rsid w:val="3A944AE9"/>
    <w:rsid w:val="3AA34D2C"/>
    <w:rsid w:val="3AA9447A"/>
    <w:rsid w:val="3AE72E6B"/>
    <w:rsid w:val="3BCB56FA"/>
    <w:rsid w:val="3C0C0783"/>
    <w:rsid w:val="3C5D0251"/>
    <w:rsid w:val="3C767483"/>
    <w:rsid w:val="3CB812D5"/>
    <w:rsid w:val="3DA908AC"/>
    <w:rsid w:val="3E0B6E71"/>
    <w:rsid w:val="3E343DA4"/>
    <w:rsid w:val="3E4F1453"/>
    <w:rsid w:val="3E777D7F"/>
    <w:rsid w:val="3EE7C2F4"/>
    <w:rsid w:val="3F1B6AD3"/>
    <w:rsid w:val="3F2516A5"/>
    <w:rsid w:val="3F371B56"/>
    <w:rsid w:val="3F636838"/>
    <w:rsid w:val="3F792ED8"/>
    <w:rsid w:val="3F9F3A96"/>
    <w:rsid w:val="3FB578CD"/>
    <w:rsid w:val="3FBD04BE"/>
    <w:rsid w:val="3FCE0156"/>
    <w:rsid w:val="3FECA4B2"/>
    <w:rsid w:val="3FF58C48"/>
    <w:rsid w:val="4019193C"/>
    <w:rsid w:val="40AD294B"/>
    <w:rsid w:val="40DC68A2"/>
    <w:rsid w:val="40FE037F"/>
    <w:rsid w:val="414F52C6"/>
    <w:rsid w:val="41807FB7"/>
    <w:rsid w:val="41B21056"/>
    <w:rsid w:val="42E02E70"/>
    <w:rsid w:val="42FF6694"/>
    <w:rsid w:val="435E7A42"/>
    <w:rsid w:val="43C24475"/>
    <w:rsid w:val="43E31A3B"/>
    <w:rsid w:val="446554F9"/>
    <w:rsid w:val="446C685D"/>
    <w:rsid w:val="447137A5"/>
    <w:rsid w:val="4518785F"/>
    <w:rsid w:val="45570BED"/>
    <w:rsid w:val="45961716"/>
    <w:rsid w:val="45CA37AD"/>
    <w:rsid w:val="45E02B2A"/>
    <w:rsid w:val="468B4FF2"/>
    <w:rsid w:val="47013507"/>
    <w:rsid w:val="477A6E15"/>
    <w:rsid w:val="48B71279"/>
    <w:rsid w:val="48BF60AB"/>
    <w:rsid w:val="493C27E9"/>
    <w:rsid w:val="49675177"/>
    <w:rsid w:val="496F39ED"/>
    <w:rsid w:val="49746212"/>
    <w:rsid w:val="49B04D70"/>
    <w:rsid w:val="49CF169A"/>
    <w:rsid w:val="49CF51F6"/>
    <w:rsid w:val="49E85F88"/>
    <w:rsid w:val="49FF41D3"/>
    <w:rsid w:val="4A392FB7"/>
    <w:rsid w:val="4A437992"/>
    <w:rsid w:val="4A7F4E6E"/>
    <w:rsid w:val="4A8561FD"/>
    <w:rsid w:val="4A9836AD"/>
    <w:rsid w:val="4A9F106C"/>
    <w:rsid w:val="4B447E66"/>
    <w:rsid w:val="4B481704"/>
    <w:rsid w:val="4B83273C"/>
    <w:rsid w:val="4BE068DB"/>
    <w:rsid w:val="4BE56F53"/>
    <w:rsid w:val="4BF6002B"/>
    <w:rsid w:val="4BFFC6BE"/>
    <w:rsid w:val="4CC96874"/>
    <w:rsid w:val="4DA031E8"/>
    <w:rsid w:val="4E0336C0"/>
    <w:rsid w:val="4E222111"/>
    <w:rsid w:val="4E3E6DEE"/>
    <w:rsid w:val="4E676345"/>
    <w:rsid w:val="4ECE2238"/>
    <w:rsid w:val="4EE80275"/>
    <w:rsid w:val="4F00719B"/>
    <w:rsid w:val="4F0973FC"/>
    <w:rsid w:val="507E34D2"/>
    <w:rsid w:val="50827466"/>
    <w:rsid w:val="50D41344"/>
    <w:rsid w:val="51075B54"/>
    <w:rsid w:val="51091368"/>
    <w:rsid w:val="5135720F"/>
    <w:rsid w:val="514006DA"/>
    <w:rsid w:val="51842D6A"/>
    <w:rsid w:val="51B80C66"/>
    <w:rsid w:val="51DB27C3"/>
    <w:rsid w:val="51DB4B86"/>
    <w:rsid w:val="51F64DB0"/>
    <w:rsid w:val="51FA302C"/>
    <w:rsid w:val="52472FB7"/>
    <w:rsid w:val="529945F3"/>
    <w:rsid w:val="52B27008"/>
    <w:rsid w:val="530323B4"/>
    <w:rsid w:val="530F48B5"/>
    <w:rsid w:val="531B241D"/>
    <w:rsid w:val="53870D4D"/>
    <w:rsid w:val="54106536"/>
    <w:rsid w:val="548643C7"/>
    <w:rsid w:val="54C769AA"/>
    <w:rsid w:val="54C85664"/>
    <w:rsid w:val="55333C3E"/>
    <w:rsid w:val="555E1B24"/>
    <w:rsid w:val="55747599"/>
    <w:rsid w:val="55AD03B6"/>
    <w:rsid w:val="55C049DC"/>
    <w:rsid w:val="55FD457E"/>
    <w:rsid w:val="56091A90"/>
    <w:rsid w:val="56B55774"/>
    <w:rsid w:val="56CD0D0F"/>
    <w:rsid w:val="57AA1051"/>
    <w:rsid w:val="57BB4EA1"/>
    <w:rsid w:val="5814296E"/>
    <w:rsid w:val="58405511"/>
    <w:rsid w:val="58417C07"/>
    <w:rsid w:val="58446D2E"/>
    <w:rsid w:val="58E97957"/>
    <w:rsid w:val="597C0DDC"/>
    <w:rsid w:val="59B60181"/>
    <w:rsid w:val="5A313332"/>
    <w:rsid w:val="5AE20B01"/>
    <w:rsid w:val="5B17384C"/>
    <w:rsid w:val="5BB626CD"/>
    <w:rsid w:val="5BF64864"/>
    <w:rsid w:val="5C3E620B"/>
    <w:rsid w:val="5CAF7193"/>
    <w:rsid w:val="5D0646E9"/>
    <w:rsid w:val="5D4E5F7D"/>
    <w:rsid w:val="5DD7665C"/>
    <w:rsid w:val="5F67802D"/>
    <w:rsid w:val="5F7149B8"/>
    <w:rsid w:val="5F7A57AC"/>
    <w:rsid w:val="5F7DC4F2"/>
    <w:rsid w:val="5FB36814"/>
    <w:rsid w:val="5FB707AE"/>
    <w:rsid w:val="5FBB8E56"/>
    <w:rsid w:val="5FD4310E"/>
    <w:rsid w:val="5FFB5535"/>
    <w:rsid w:val="60B42F40"/>
    <w:rsid w:val="61096DE8"/>
    <w:rsid w:val="61CC251F"/>
    <w:rsid w:val="61DB5F01"/>
    <w:rsid w:val="61FD4C1D"/>
    <w:rsid w:val="62031A89"/>
    <w:rsid w:val="62327ECA"/>
    <w:rsid w:val="624502F4"/>
    <w:rsid w:val="629923ED"/>
    <w:rsid w:val="62CF7BBD"/>
    <w:rsid w:val="63402869"/>
    <w:rsid w:val="63443BFB"/>
    <w:rsid w:val="63EC16D0"/>
    <w:rsid w:val="649E1F3D"/>
    <w:rsid w:val="64CA39A1"/>
    <w:rsid w:val="6547353D"/>
    <w:rsid w:val="65907AD8"/>
    <w:rsid w:val="65BC08CD"/>
    <w:rsid w:val="65BD2897"/>
    <w:rsid w:val="6663343E"/>
    <w:rsid w:val="66C35FA5"/>
    <w:rsid w:val="67966EFB"/>
    <w:rsid w:val="679F1F7E"/>
    <w:rsid w:val="6853303E"/>
    <w:rsid w:val="687774E3"/>
    <w:rsid w:val="689D184B"/>
    <w:rsid w:val="68CB7079"/>
    <w:rsid w:val="69630ADE"/>
    <w:rsid w:val="69676DA1"/>
    <w:rsid w:val="69BD5F13"/>
    <w:rsid w:val="69C42446"/>
    <w:rsid w:val="69CE6E20"/>
    <w:rsid w:val="69D70362"/>
    <w:rsid w:val="69D9075E"/>
    <w:rsid w:val="69FB0B4B"/>
    <w:rsid w:val="6A162576"/>
    <w:rsid w:val="6A975464"/>
    <w:rsid w:val="6ABF6769"/>
    <w:rsid w:val="6B376C47"/>
    <w:rsid w:val="6B715CB5"/>
    <w:rsid w:val="6BFFE1FB"/>
    <w:rsid w:val="6C4A05C8"/>
    <w:rsid w:val="6C830396"/>
    <w:rsid w:val="6C907531"/>
    <w:rsid w:val="6D1E00BF"/>
    <w:rsid w:val="6D3B1A89"/>
    <w:rsid w:val="6D6036AB"/>
    <w:rsid w:val="6D7D6CC2"/>
    <w:rsid w:val="6DAE1443"/>
    <w:rsid w:val="6DB7D8A3"/>
    <w:rsid w:val="6E430C03"/>
    <w:rsid w:val="6E565636"/>
    <w:rsid w:val="6E6934BB"/>
    <w:rsid w:val="6EA63A9D"/>
    <w:rsid w:val="6EC78701"/>
    <w:rsid w:val="6F476E99"/>
    <w:rsid w:val="6F4D4C8B"/>
    <w:rsid w:val="6F5E4BFA"/>
    <w:rsid w:val="6F7A5481"/>
    <w:rsid w:val="6FB40867"/>
    <w:rsid w:val="6FFA102D"/>
    <w:rsid w:val="6FFE07A9"/>
    <w:rsid w:val="70203DB0"/>
    <w:rsid w:val="704936A5"/>
    <w:rsid w:val="71BF4EC2"/>
    <w:rsid w:val="71CD6690"/>
    <w:rsid w:val="71EA0570"/>
    <w:rsid w:val="72127AC6"/>
    <w:rsid w:val="72534367"/>
    <w:rsid w:val="72734D90"/>
    <w:rsid w:val="72800ED4"/>
    <w:rsid w:val="72930462"/>
    <w:rsid w:val="73A21947"/>
    <w:rsid w:val="73B01345"/>
    <w:rsid w:val="73E75B71"/>
    <w:rsid w:val="73FC2204"/>
    <w:rsid w:val="7412278C"/>
    <w:rsid w:val="742F670E"/>
    <w:rsid w:val="744321B9"/>
    <w:rsid w:val="74BB4445"/>
    <w:rsid w:val="7544268D"/>
    <w:rsid w:val="755A3C5E"/>
    <w:rsid w:val="75824BD9"/>
    <w:rsid w:val="75DDCDA9"/>
    <w:rsid w:val="75ED6880"/>
    <w:rsid w:val="75FF44B1"/>
    <w:rsid w:val="76832D41"/>
    <w:rsid w:val="76F93003"/>
    <w:rsid w:val="76FE74C3"/>
    <w:rsid w:val="771D3195"/>
    <w:rsid w:val="77526E46"/>
    <w:rsid w:val="77670518"/>
    <w:rsid w:val="77674410"/>
    <w:rsid w:val="777FA627"/>
    <w:rsid w:val="77DC095A"/>
    <w:rsid w:val="77DF1B5F"/>
    <w:rsid w:val="77EB3E43"/>
    <w:rsid w:val="77EF2D9D"/>
    <w:rsid w:val="77F263D0"/>
    <w:rsid w:val="788334CC"/>
    <w:rsid w:val="78890F06"/>
    <w:rsid w:val="788D7C7B"/>
    <w:rsid w:val="790939D1"/>
    <w:rsid w:val="79610CDC"/>
    <w:rsid w:val="79E7B28D"/>
    <w:rsid w:val="7A2F3C4D"/>
    <w:rsid w:val="7A6F3EC1"/>
    <w:rsid w:val="7A8A40C3"/>
    <w:rsid w:val="7A9F42A7"/>
    <w:rsid w:val="7ACFF0C2"/>
    <w:rsid w:val="7AE4249B"/>
    <w:rsid w:val="7AFB9108"/>
    <w:rsid w:val="7BC736D0"/>
    <w:rsid w:val="7BD5340C"/>
    <w:rsid w:val="7BF546E1"/>
    <w:rsid w:val="7BFB19D2"/>
    <w:rsid w:val="7BFD1750"/>
    <w:rsid w:val="7BFDAA1B"/>
    <w:rsid w:val="7C3C7A60"/>
    <w:rsid w:val="7CDF9A82"/>
    <w:rsid w:val="7CFFA1BD"/>
    <w:rsid w:val="7D2E3F7A"/>
    <w:rsid w:val="7D8B70AB"/>
    <w:rsid w:val="7DED9490"/>
    <w:rsid w:val="7DFF4872"/>
    <w:rsid w:val="7E7487E6"/>
    <w:rsid w:val="7E7C2A54"/>
    <w:rsid w:val="7EC42148"/>
    <w:rsid w:val="7EC62364"/>
    <w:rsid w:val="7EEEFD72"/>
    <w:rsid w:val="7F1D517C"/>
    <w:rsid w:val="7F235F1A"/>
    <w:rsid w:val="7F373E7C"/>
    <w:rsid w:val="7F3C1C40"/>
    <w:rsid w:val="7F54038F"/>
    <w:rsid w:val="7F5DA057"/>
    <w:rsid w:val="7F6C2237"/>
    <w:rsid w:val="7F7F319B"/>
    <w:rsid w:val="7F9F20EE"/>
    <w:rsid w:val="7FBBE890"/>
    <w:rsid w:val="7FBC2ABD"/>
    <w:rsid w:val="7FBD72C3"/>
    <w:rsid w:val="7FBF5D48"/>
    <w:rsid w:val="7FCCFC01"/>
    <w:rsid w:val="7FDD1748"/>
    <w:rsid w:val="7FE769C6"/>
    <w:rsid w:val="7FFD083E"/>
    <w:rsid w:val="7FFF9372"/>
    <w:rsid w:val="84BF1F3B"/>
    <w:rsid w:val="8F55B106"/>
    <w:rsid w:val="95DF317D"/>
    <w:rsid w:val="97E77C70"/>
    <w:rsid w:val="9E3A10E2"/>
    <w:rsid w:val="9FB91FBD"/>
    <w:rsid w:val="9FD54998"/>
    <w:rsid w:val="A671883B"/>
    <w:rsid w:val="A7EFD17F"/>
    <w:rsid w:val="A7FFE43F"/>
    <w:rsid w:val="BDFEA317"/>
    <w:rsid w:val="CD9BBABB"/>
    <w:rsid w:val="CF99F292"/>
    <w:rsid w:val="D5DA60B3"/>
    <w:rsid w:val="D7C6F579"/>
    <w:rsid w:val="D8FECA92"/>
    <w:rsid w:val="DAFFBE66"/>
    <w:rsid w:val="DD2C0BFE"/>
    <w:rsid w:val="DE3F332B"/>
    <w:rsid w:val="DE6F4A3D"/>
    <w:rsid w:val="DF69F8B0"/>
    <w:rsid w:val="DFC71555"/>
    <w:rsid w:val="DFFC559C"/>
    <w:rsid w:val="DFFEDFAE"/>
    <w:rsid w:val="DFFFB5EB"/>
    <w:rsid w:val="E4B33E57"/>
    <w:rsid w:val="E5BF946A"/>
    <w:rsid w:val="EB39BD45"/>
    <w:rsid w:val="EBCF1FC2"/>
    <w:rsid w:val="EBD18F66"/>
    <w:rsid w:val="ED17392C"/>
    <w:rsid w:val="ED9FFD9A"/>
    <w:rsid w:val="EDB7968B"/>
    <w:rsid w:val="EEF73F60"/>
    <w:rsid w:val="EFED9E42"/>
    <w:rsid w:val="EFFFB194"/>
    <w:rsid w:val="F2E1F9D4"/>
    <w:rsid w:val="F5FF7449"/>
    <w:rsid w:val="F7880819"/>
    <w:rsid w:val="F7AF180D"/>
    <w:rsid w:val="F7BDBFA7"/>
    <w:rsid w:val="F7FAD68F"/>
    <w:rsid w:val="F7FB14CF"/>
    <w:rsid w:val="FB3FC69C"/>
    <w:rsid w:val="FBDFF225"/>
    <w:rsid w:val="FBF7AB63"/>
    <w:rsid w:val="FC2F3373"/>
    <w:rsid w:val="FCF51535"/>
    <w:rsid w:val="FD77F6B8"/>
    <w:rsid w:val="FDD69328"/>
    <w:rsid w:val="FDDFEC0E"/>
    <w:rsid w:val="FDE58BDD"/>
    <w:rsid w:val="FDEC7001"/>
    <w:rsid w:val="FEDFE87F"/>
    <w:rsid w:val="FEF1D25B"/>
    <w:rsid w:val="FF3EF90F"/>
    <w:rsid w:val="FFAF6081"/>
    <w:rsid w:val="FFECCD8C"/>
    <w:rsid w:val="FFED60BD"/>
    <w:rsid w:val="FFEE08F0"/>
    <w:rsid w:val="FFEE7F9F"/>
    <w:rsid w:val="FFFF3197"/>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nhideWhenUsed="0" w:uiPriority="0"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qFormat="1" w:unhideWhenUsed="0" w:uiPriority="0" w:semiHidden="0"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qFormat="1" w:unhideWhenUsed="0" w:uiPriority="0" w:semiHidden="0"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39"/>
    <w:qFormat/>
    <w:uiPriority w:val="9"/>
    <w:pPr>
      <w:keepNext/>
      <w:keepLines/>
      <w:spacing w:before="340" w:after="330" w:line="578" w:lineRule="auto"/>
      <w:outlineLvl w:val="0"/>
    </w:pPr>
    <w:rPr>
      <w:b/>
      <w:bCs/>
      <w:kern w:val="44"/>
      <w:sz w:val="44"/>
      <w:szCs w:val="44"/>
    </w:rPr>
  </w:style>
  <w:style w:type="paragraph" w:styleId="4">
    <w:name w:val="heading 2"/>
    <w:basedOn w:val="1"/>
    <w:next w:val="1"/>
    <w:link w:val="41"/>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5">
    <w:name w:val="heading 3"/>
    <w:basedOn w:val="1"/>
    <w:next w:val="1"/>
    <w:link w:val="37"/>
    <w:unhideWhenUsed/>
    <w:qFormat/>
    <w:uiPriority w:val="9"/>
    <w:pPr>
      <w:keepNext/>
      <w:keepLines/>
      <w:spacing w:before="260" w:after="260" w:line="416" w:lineRule="auto"/>
      <w:outlineLvl w:val="2"/>
    </w:pPr>
    <w:rPr>
      <w:b/>
      <w:bCs/>
      <w:sz w:val="32"/>
      <w:szCs w:val="32"/>
    </w:rPr>
  </w:style>
  <w:style w:type="paragraph" w:styleId="6">
    <w:name w:val="heading 4"/>
    <w:basedOn w:val="1"/>
    <w:next w:val="1"/>
    <w:qFormat/>
    <w:uiPriority w:val="0"/>
    <w:pPr>
      <w:keepNext/>
      <w:keepLines/>
      <w:spacing w:before="280" w:after="290" w:line="372" w:lineRule="auto"/>
      <w:ind w:firstLine="200" w:firstLineChars="200"/>
      <w:outlineLvl w:val="3"/>
    </w:pPr>
    <w:rPr>
      <w:rFonts w:ascii="Arial" w:hAnsi="Arial" w:eastAsia="黑体" w:cs="Times New Roman"/>
      <w:b/>
      <w:kern w:val="2"/>
      <w:sz w:val="24"/>
      <w:szCs w:val="24"/>
    </w:rPr>
  </w:style>
  <w:style w:type="character" w:default="1" w:styleId="19">
    <w:name w:val="Default Paragraph Font"/>
    <w:semiHidden/>
    <w:unhideWhenUsed/>
    <w:qFormat/>
    <w:uiPriority w:val="1"/>
  </w:style>
  <w:style w:type="table" w:default="1" w:styleId="18">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1"/>
    <w:link w:val="30"/>
    <w:qFormat/>
    <w:uiPriority w:val="99"/>
    <w:pPr>
      <w:spacing w:beforeLines="30"/>
    </w:pPr>
    <w:rPr>
      <w:rFonts w:ascii="仿宋_GB2312" w:eastAsia="仿宋_GB2312"/>
      <w:kern w:val="0"/>
      <w:sz w:val="30"/>
    </w:rPr>
  </w:style>
  <w:style w:type="paragraph" w:styleId="7">
    <w:name w:val="Body Text Indent"/>
    <w:basedOn w:val="1"/>
    <w:next w:val="8"/>
    <w:qFormat/>
    <w:uiPriority w:val="0"/>
    <w:pPr>
      <w:spacing w:after="120"/>
      <w:ind w:left="200" w:leftChars="200"/>
    </w:pPr>
    <w:rPr>
      <w:rFonts w:ascii="仿宋_GB2312"/>
      <w:szCs w:val="32"/>
    </w:rPr>
  </w:style>
  <w:style w:type="paragraph" w:styleId="8">
    <w:name w:val="Body Text First Indent 2"/>
    <w:basedOn w:val="7"/>
    <w:unhideWhenUsed/>
    <w:qFormat/>
    <w:uiPriority w:val="99"/>
    <w:pPr>
      <w:ind w:firstLine="420" w:firstLineChars="200"/>
    </w:pPr>
  </w:style>
  <w:style w:type="paragraph" w:styleId="9">
    <w:name w:val="HTML Address"/>
    <w:basedOn w:val="1"/>
    <w:qFormat/>
    <w:uiPriority w:val="0"/>
    <w:rPr>
      <w:i/>
      <w:iCs/>
    </w:rPr>
  </w:style>
  <w:style w:type="paragraph" w:styleId="10">
    <w:name w:val="toc 3"/>
    <w:basedOn w:val="1"/>
    <w:next w:val="1"/>
    <w:unhideWhenUsed/>
    <w:qFormat/>
    <w:uiPriority w:val="39"/>
    <w:pPr>
      <w:tabs>
        <w:tab w:val="right" w:leader="dot" w:pos="8296"/>
      </w:tabs>
      <w:ind w:left="840" w:leftChars="400"/>
    </w:pPr>
  </w:style>
  <w:style w:type="paragraph" w:styleId="11">
    <w:name w:val="Balloon Text"/>
    <w:basedOn w:val="1"/>
    <w:link w:val="36"/>
    <w:semiHidden/>
    <w:unhideWhenUsed/>
    <w:qFormat/>
    <w:uiPriority w:val="99"/>
    <w:rPr>
      <w:sz w:val="18"/>
      <w:szCs w:val="18"/>
    </w:rPr>
  </w:style>
  <w:style w:type="paragraph" w:styleId="12">
    <w:name w:val="footer"/>
    <w:basedOn w:val="1"/>
    <w:link w:val="28"/>
    <w:qFormat/>
    <w:uiPriority w:val="99"/>
    <w:pPr>
      <w:tabs>
        <w:tab w:val="center" w:pos="4153"/>
        <w:tab w:val="right" w:pos="8306"/>
      </w:tabs>
      <w:snapToGrid w:val="0"/>
      <w:jc w:val="left"/>
    </w:pPr>
    <w:rPr>
      <w:rFonts w:ascii="Calibri" w:hAnsi="Calibri"/>
      <w:kern w:val="0"/>
      <w:sz w:val="18"/>
      <w:szCs w:val="18"/>
    </w:rPr>
  </w:style>
  <w:style w:type="paragraph" w:styleId="13">
    <w:name w:val="header"/>
    <w:basedOn w:val="1"/>
    <w:link w:val="26"/>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4">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5">
    <w:name w:val="footnote text"/>
    <w:basedOn w:val="1"/>
    <w:next w:val="8"/>
    <w:semiHidden/>
    <w:qFormat/>
    <w:uiPriority w:val="0"/>
    <w:pPr>
      <w:snapToGrid w:val="0"/>
      <w:jc w:val="left"/>
    </w:pPr>
    <w:rPr>
      <w:sz w:val="18"/>
      <w:szCs w:val="18"/>
    </w:rPr>
  </w:style>
  <w:style w:type="paragraph" w:styleId="16">
    <w:name w:val="toc 2"/>
    <w:basedOn w:val="1"/>
    <w:next w:val="1"/>
    <w:link w:val="42"/>
    <w:unhideWhenUsed/>
    <w:qFormat/>
    <w:uiPriority w:val="39"/>
    <w:pPr>
      <w:tabs>
        <w:tab w:val="right" w:leader="dot" w:pos="8296"/>
      </w:tabs>
      <w:ind w:left="420" w:leftChars="200"/>
    </w:pPr>
  </w:style>
  <w:style w:type="paragraph" w:styleId="17">
    <w:name w:val="Normal (Web)"/>
    <w:basedOn w:val="1"/>
    <w:qFormat/>
    <w:uiPriority w:val="0"/>
    <w:pPr>
      <w:spacing w:before="100" w:beforeAutospacing="1" w:after="100" w:afterAutospacing="1"/>
      <w:ind w:left="0" w:right="0"/>
      <w:jc w:val="left"/>
    </w:pPr>
    <w:rPr>
      <w:kern w:val="0"/>
      <w:sz w:val="24"/>
      <w:lang w:val="en-US" w:eastAsia="zh-CN" w:bidi="ar"/>
    </w:rPr>
  </w:style>
  <w:style w:type="character" w:styleId="20">
    <w:name w:val="Strong"/>
    <w:basedOn w:val="19"/>
    <w:qFormat/>
    <w:uiPriority w:val="99"/>
    <w:rPr>
      <w:b/>
    </w:rPr>
  </w:style>
  <w:style w:type="character" w:styleId="21">
    <w:name w:val="page number"/>
    <w:basedOn w:val="19"/>
    <w:qFormat/>
    <w:uiPriority w:val="0"/>
  </w:style>
  <w:style w:type="character" w:styleId="22">
    <w:name w:val="HTML Typewriter"/>
    <w:qFormat/>
    <w:uiPriority w:val="0"/>
    <w:rPr>
      <w:rFonts w:ascii="黑体" w:hAnsi="Courier New" w:eastAsia="黑体" w:cs="Courier New"/>
      <w:sz w:val="18"/>
      <w:szCs w:val="18"/>
    </w:rPr>
  </w:style>
  <w:style w:type="character" w:styleId="23">
    <w:name w:val="Hyperlink"/>
    <w:basedOn w:val="19"/>
    <w:unhideWhenUsed/>
    <w:qFormat/>
    <w:uiPriority w:val="99"/>
    <w:rPr>
      <w:color w:val="0000FF" w:themeColor="hyperlink"/>
      <w:u w:val="single"/>
      <w14:textFill>
        <w14:solidFill>
          <w14:schemeClr w14:val="hlink"/>
        </w14:solidFill>
      </w14:textFill>
    </w:rPr>
  </w:style>
  <w:style w:type="paragraph" w:customStyle="1" w:styleId="24">
    <w:name w:val="标题 5（有编号）（绿盟科技）"/>
    <w:next w:val="1"/>
    <w:qFormat/>
    <w:uiPriority w:val="99"/>
    <w:pPr>
      <w:keepNext/>
      <w:keepLines/>
      <w:widowControl w:val="0"/>
      <w:spacing w:before="280" w:after="156" w:line="377" w:lineRule="auto"/>
      <w:outlineLvl w:val="4"/>
    </w:pPr>
    <w:rPr>
      <w:rFonts w:ascii="Arial" w:hAnsi="Arial" w:eastAsia="黑体" w:cs="Times New Roman"/>
      <w:b/>
      <w:kern w:val="2"/>
      <w:sz w:val="24"/>
      <w:szCs w:val="28"/>
      <w:lang w:val="en-US" w:eastAsia="zh-CN" w:bidi="ar-SA"/>
    </w:rPr>
  </w:style>
  <w:style w:type="character" w:customStyle="1" w:styleId="25">
    <w:name w:val="Header Char"/>
    <w:basedOn w:val="19"/>
    <w:semiHidden/>
    <w:qFormat/>
    <w:uiPriority w:val="99"/>
    <w:rPr>
      <w:rFonts w:ascii="Times New Roman" w:hAnsi="Times New Roman"/>
      <w:sz w:val="18"/>
      <w:szCs w:val="18"/>
    </w:rPr>
  </w:style>
  <w:style w:type="character" w:customStyle="1" w:styleId="26">
    <w:name w:val="页眉 字符"/>
    <w:link w:val="13"/>
    <w:semiHidden/>
    <w:qFormat/>
    <w:locked/>
    <w:uiPriority w:val="99"/>
    <w:rPr>
      <w:sz w:val="18"/>
    </w:rPr>
  </w:style>
  <w:style w:type="character" w:customStyle="1" w:styleId="27">
    <w:name w:val="Footer Char"/>
    <w:basedOn w:val="19"/>
    <w:semiHidden/>
    <w:qFormat/>
    <w:uiPriority w:val="99"/>
    <w:rPr>
      <w:rFonts w:ascii="Times New Roman" w:hAnsi="Times New Roman"/>
      <w:sz w:val="18"/>
      <w:szCs w:val="18"/>
    </w:rPr>
  </w:style>
  <w:style w:type="character" w:customStyle="1" w:styleId="28">
    <w:name w:val="页脚 字符"/>
    <w:link w:val="12"/>
    <w:qFormat/>
    <w:locked/>
    <w:uiPriority w:val="99"/>
    <w:rPr>
      <w:sz w:val="18"/>
    </w:rPr>
  </w:style>
  <w:style w:type="character" w:customStyle="1" w:styleId="29">
    <w:name w:val="Body Text Char"/>
    <w:basedOn w:val="19"/>
    <w:semiHidden/>
    <w:qFormat/>
    <w:uiPriority w:val="99"/>
    <w:rPr>
      <w:rFonts w:ascii="Times New Roman" w:hAnsi="Times New Roman"/>
      <w:szCs w:val="24"/>
    </w:rPr>
  </w:style>
  <w:style w:type="character" w:customStyle="1" w:styleId="30">
    <w:name w:val="正文文本 字符"/>
    <w:link w:val="2"/>
    <w:qFormat/>
    <w:locked/>
    <w:uiPriority w:val="99"/>
    <w:rPr>
      <w:rFonts w:ascii="仿宋_GB2312" w:hAnsi="Times New Roman" w:eastAsia="仿宋_GB2312"/>
      <w:sz w:val="24"/>
    </w:rPr>
  </w:style>
  <w:style w:type="paragraph" w:customStyle="1" w:styleId="31">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32">
    <w:name w:val="List Paragraph"/>
    <w:basedOn w:val="1"/>
    <w:qFormat/>
    <w:uiPriority w:val="34"/>
    <w:pPr>
      <w:ind w:firstLine="420" w:firstLineChars="200"/>
    </w:pPr>
  </w:style>
  <w:style w:type="character" w:customStyle="1" w:styleId="33">
    <w:name w:val="标题 1 字符"/>
    <w:basedOn w:val="19"/>
    <w:link w:val="3"/>
    <w:qFormat/>
    <w:uiPriority w:val="9"/>
    <w:rPr>
      <w:rFonts w:ascii="Times New Roman" w:hAnsi="Times New Roman"/>
      <w:b/>
      <w:bCs/>
      <w:kern w:val="44"/>
      <w:sz w:val="44"/>
      <w:szCs w:val="44"/>
    </w:rPr>
  </w:style>
  <w:style w:type="character" w:customStyle="1" w:styleId="34">
    <w:name w:val="标题 2 字符"/>
    <w:basedOn w:val="19"/>
    <w:link w:val="4"/>
    <w:qFormat/>
    <w:uiPriority w:val="9"/>
    <w:rPr>
      <w:rFonts w:asciiTheme="majorHAnsi" w:hAnsiTheme="majorHAnsi" w:eastAsiaTheme="majorEastAsia" w:cstheme="majorBidi"/>
      <w:b/>
      <w:bCs/>
      <w:kern w:val="2"/>
      <w:sz w:val="32"/>
      <w:szCs w:val="32"/>
    </w:rPr>
  </w:style>
  <w:style w:type="paragraph" w:customStyle="1" w:styleId="35">
    <w:name w:val="TOC 标题1"/>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6">
    <w:name w:val="批注框文本 字符"/>
    <w:basedOn w:val="19"/>
    <w:link w:val="11"/>
    <w:semiHidden/>
    <w:qFormat/>
    <w:uiPriority w:val="99"/>
    <w:rPr>
      <w:rFonts w:ascii="Times New Roman" w:hAnsi="Times New Roman"/>
      <w:kern w:val="2"/>
      <w:sz w:val="18"/>
      <w:szCs w:val="18"/>
    </w:rPr>
  </w:style>
  <w:style w:type="character" w:customStyle="1" w:styleId="37">
    <w:name w:val="标题 3 字符"/>
    <w:basedOn w:val="19"/>
    <w:link w:val="5"/>
    <w:qFormat/>
    <w:uiPriority w:val="9"/>
    <w:rPr>
      <w:rFonts w:ascii="Times New Roman" w:hAnsi="Times New Roman"/>
      <w:b/>
      <w:bCs/>
      <w:kern w:val="2"/>
      <w:sz w:val="32"/>
      <w:szCs w:val="32"/>
    </w:rPr>
  </w:style>
  <w:style w:type="paragraph" w:customStyle="1" w:styleId="38">
    <w:name w:val="TOC 标题2"/>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9">
    <w:name w:val="标题 1 Char"/>
    <w:basedOn w:val="19"/>
    <w:link w:val="3"/>
    <w:qFormat/>
    <w:uiPriority w:val="9"/>
    <w:rPr>
      <w:b/>
      <w:bCs/>
      <w:kern w:val="44"/>
      <w:sz w:val="44"/>
      <w:szCs w:val="44"/>
    </w:rPr>
  </w:style>
  <w:style w:type="paragraph" w:customStyle="1" w:styleId="40">
    <w:name w:val="四号正文"/>
    <w:basedOn w:val="1"/>
    <w:qFormat/>
    <w:uiPriority w:val="0"/>
    <w:pPr>
      <w:spacing w:line="360" w:lineRule="auto"/>
    </w:pPr>
    <w:rPr>
      <w:rFonts w:ascii="??" w:hAnsi="??" w:eastAsia="宋体"/>
      <w:color w:val="000000"/>
      <w:kern w:val="0"/>
      <w:sz w:val="28"/>
      <w:szCs w:val="21"/>
      <w:lang w:val="zh-CN" w:eastAsia="zh-CN"/>
    </w:rPr>
  </w:style>
  <w:style w:type="character" w:customStyle="1" w:styleId="41">
    <w:name w:val="标题 2 Char"/>
    <w:basedOn w:val="19"/>
    <w:link w:val="4"/>
    <w:qFormat/>
    <w:uiPriority w:val="9"/>
    <w:rPr>
      <w:rFonts w:ascii="Cambria" w:hAnsi="Cambria" w:eastAsia="宋体" w:cs="Times New Roman"/>
      <w:b/>
      <w:bCs/>
      <w:sz w:val="32"/>
      <w:szCs w:val="32"/>
    </w:rPr>
  </w:style>
  <w:style w:type="character" w:customStyle="1" w:styleId="42">
    <w:name w:val="目录 2 Char"/>
    <w:link w:val="16"/>
    <w:qFormat/>
    <w:uiPriority w:val="39"/>
  </w:style>
</w:styles>
</file>

<file path=word/_rels/document.xml.rels><?xml version="1.0" encoding="UTF-8" standalone="yes"?>
<Relationships xmlns="http://schemas.openxmlformats.org/package/2006/relationships"><Relationship Id="rId9" Type="http://schemas.openxmlformats.org/officeDocument/2006/relationships/footer" Target="footer6.xml"/><Relationship Id="rId8" Type="http://schemas.openxmlformats.org/officeDocument/2006/relationships/footer" Target="footer5.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0" Type="http://schemas.openxmlformats.org/officeDocument/2006/relationships/fontTable" Target="fontTable.xml"/><Relationship Id="rId2" Type="http://schemas.openxmlformats.org/officeDocument/2006/relationships/settings" Target="settings.xml"/><Relationship Id="rId19" Type="http://schemas.openxmlformats.org/officeDocument/2006/relationships/numbering" Target="numbering.xml"/><Relationship Id="rId18" Type="http://schemas.openxmlformats.org/officeDocument/2006/relationships/customXml" Target="../customXml/item1.xml"/><Relationship Id="rId17" Type="http://schemas.openxmlformats.org/officeDocument/2006/relationships/chart" Target="charts/chart7.xml"/><Relationship Id="rId16" Type="http://schemas.openxmlformats.org/officeDocument/2006/relationships/chart" Target="charts/chart6.xml"/><Relationship Id="rId15" Type="http://schemas.openxmlformats.org/officeDocument/2006/relationships/chart" Target="charts/chart5.xml"/><Relationship Id="rId14" Type="http://schemas.openxmlformats.org/officeDocument/2006/relationships/chart" Target="charts/chart4.xml"/><Relationship Id="rId13" Type="http://schemas.openxmlformats.org/officeDocument/2006/relationships/chart" Target="charts/chart3.xml"/><Relationship Id="rId12" Type="http://schemas.openxmlformats.org/officeDocument/2006/relationships/chart" Target="charts/chart2.xml"/><Relationship Id="rId11" Type="http://schemas.openxmlformats.org/officeDocument/2006/relationships/chart" Target="charts/chart1.xml"/><Relationship Id="rId10" Type="http://schemas.openxmlformats.org/officeDocument/2006/relationships/theme" Target="theme/theme1.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charts/_rels/chart1.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package" Target="../embeddings/Workbook4.xlsx"/></Relationships>
</file>

<file path=word/charts/_rels/chart2.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_rels/chart3.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package" Target="../embeddings/Workbook6.xlsx"/></Relationships>
</file>

<file path=word/charts/_rels/chart4.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package" Target="../embeddings/Workbook7.xlsx"/></Relationships>
</file>

<file path=word/charts/_rels/chart5.xml.rels><?xml version="1.0" encoding="UTF-8" standalone="yes"?>
<Relationships xmlns="http://schemas.openxmlformats.org/package/2006/relationships"><Relationship Id="rId1" Type="http://schemas.openxmlformats.org/officeDocument/2006/relationships/package" Target="../embeddings/Workbook2.xlsx"/></Relationships>
</file>

<file path=word/charts/_rels/chart6.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package" Target="../embeddings/Workbook3.xlsx"/></Relationships>
</file>

<file path=word/charts/_rels/chart7.xml.rels><?xml version="1.0" encoding="UTF-8" standalone="yes"?>
<Relationships xmlns="http://schemas.openxmlformats.org/package/2006/relationships"><Relationship Id="rId1" Type="http://schemas.openxmlformats.org/officeDocument/2006/relationships/package" Target="../embeddings/Workbook5.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dk1">
                    <a:lumMod val="75000"/>
                    <a:lumOff val="25000"/>
                  </a:schemeClr>
                </a:solidFill>
                <a:latin typeface="+mn-lt"/>
                <a:ea typeface="+mn-ea"/>
                <a:cs typeface="+mn-cs"/>
              </a:defRPr>
            </a:pPr>
            <a:r>
              <a:t>收、支决算总计变动情况图</a:t>
            </a:r>
          </a:p>
        </c:rich>
      </c:tx>
      <c:layout/>
      <c:overlay val="0"/>
      <c:spPr>
        <a:noFill/>
        <a:ln>
          <a:noFill/>
        </a:ln>
        <a:effectLst/>
      </c:spPr>
    </c:title>
    <c:autoTitleDeleted val="0"/>
    <c:plotArea>
      <c:layout>
        <c:manualLayout>
          <c:layoutTarget val="inner"/>
          <c:xMode val="edge"/>
          <c:yMode val="edge"/>
          <c:x val="0.0741241845856487"/>
          <c:y val="0.207065217391304"/>
          <c:w val="0.89736651365064"/>
          <c:h val="0.538423913043478"/>
        </c:manualLayout>
      </c:layout>
      <c:barChart>
        <c:barDir val="col"/>
        <c:grouping val="clustered"/>
        <c:varyColors val="0"/>
        <c:ser>
          <c:idx val="0"/>
          <c:order val="0"/>
          <c:tx>
            <c:strRef>
              <c:f>Sheet1!$B$1</c:f>
              <c:strCache>
                <c:ptCount val="1"/>
                <c:pt idx="0">
                  <c:v>收入</c:v>
                </c:pt>
              </c:strCache>
            </c:strRef>
          </c:tx>
          <c:spPr>
            <a:solidFill>
              <a:schemeClr val="accent1"/>
            </a:solidFill>
            <a:ln>
              <a:noFill/>
            </a:ln>
            <a:effectLst/>
          </c:spPr>
          <c:invertIfNegative val="0"/>
          <c:dLbls>
            <c:dLbl>
              <c:idx val="0"/>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tx1">
                            <a:lumMod val="75000"/>
                            <a:lumOff val="25000"/>
                          </a:schemeClr>
                        </a:solidFill>
                        <a:latin typeface="+mn-lt"/>
                        <a:ea typeface="+mn-ea"/>
                        <a:cs typeface="+mn-cs"/>
                      </a:defRPr>
                    </a:pPr>
                    <a:r>
                      <a:rPr lang="en-US" altLang="zh-CN"/>
                      <a:t>1703.69</a:t>
                    </a:r>
                    <a:endParaRPr lang="en-US" altLang="zh-CN"/>
                  </a:p>
                </c:rich>
              </c:tx>
              <c:dLblPos val="outEnd"/>
              <c:showLegendKey val="0"/>
              <c:showVal val="1"/>
              <c:showCatName val="0"/>
              <c:showSerName val="0"/>
              <c:showPercent val="0"/>
              <c:showBubbleSize val="0"/>
              <c:extLst>
                <c:ext xmlns:c15="http://schemas.microsoft.com/office/drawing/2012/chart" uri="{CE6537A1-D6FC-4f65-9D91-7224C49458BB}"/>
              </c:extLst>
            </c:dLbl>
            <c:dLbl>
              <c:idx val="1"/>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tx1">
                            <a:lumMod val="75000"/>
                            <a:lumOff val="25000"/>
                          </a:schemeClr>
                        </a:solidFill>
                        <a:latin typeface="+mn-lt"/>
                        <a:ea typeface="+mn-ea"/>
                        <a:cs typeface="+mn-cs"/>
                      </a:defRPr>
                    </a:pPr>
                    <a:r>
                      <a:rPr lang="en-US" altLang="zh-CN"/>
                      <a:t>1634.96</a:t>
                    </a:r>
                    <a:endParaRPr lang="en-US" altLang="zh-CN"/>
                  </a:p>
                </c:rich>
              </c:tx>
              <c:dLblPos val="outEnd"/>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2024年</c:v>
                </c:pt>
                <c:pt idx="1">
                  <c:v>2025年</c:v>
                </c:pt>
              </c:strCache>
            </c:strRef>
          </c:cat>
          <c:val>
            <c:numRef>
              <c:f>Sheet1!$B$2:$B$3</c:f>
              <c:numCache>
                <c:formatCode>General</c:formatCode>
                <c:ptCount val="2"/>
                <c:pt idx="0">
                  <c:v>1703.69</c:v>
                </c:pt>
                <c:pt idx="1">
                  <c:v>1634.96</c:v>
                </c:pt>
              </c:numCache>
            </c:numRef>
          </c:val>
        </c:ser>
        <c:ser>
          <c:idx val="1"/>
          <c:order val="1"/>
          <c:tx>
            <c:strRef>
              <c:f>Sheet1!$C$1</c:f>
              <c:strCache>
                <c:ptCount val="1"/>
                <c:pt idx="0">
                  <c:v>支出</c:v>
                </c:pt>
              </c:strCache>
            </c:strRef>
          </c:tx>
          <c:spPr>
            <a:solidFill>
              <a:schemeClr val="accent2"/>
            </a:solidFill>
            <a:ln>
              <a:noFill/>
            </a:ln>
            <a:effectLst/>
          </c:spPr>
          <c:invertIfNegative val="0"/>
          <c:dLbls>
            <c:dLbl>
              <c:idx val="0"/>
              <c:layout>
                <c:manualLayout>
                  <c:x val="0"/>
                  <c:y val="-0.00380434782608696"/>
                </c:manualLayout>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tx1">
                            <a:lumMod val="75000"/>
                            <a:lumOff val="25000"/>
                          </a:schemeClr>
                        </a:solidFill>
                        <a:latin typeface="+mn-lt"/>
                        <a:ea typeface="+mn-ea"/>
                        <a:cs typeface="+mn-cs"/>
                      </a:defRPr>
                    </a:pPr>
                    <a:r>
                      <a:rPr lang="en-US" altLang="zh-CN"/>
                      <a:t>1703.69</a:t>
                    </a:r>
                    <a:endParaRPr lang="en-US" altLang="zh-CN"/>
                  </a:p>
                </c:rich>
              </c:tx>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2024年</c:v>
                </c:pt>
                <c:pt idx="1">
                  <c:v>2025年</c:v>
                </c:pt>
              </c:strCache>
            </c:strRef>
          </c:cat>
          <c:val>
            <c:numRef>
              <c:f>Sheet1!$C$2:$C$3</c:f>
              <c:numCache>
                <c:formatCode>General</c:formatCode>
                <c:ptCount val="2"/>
                <c:pt idx="0">
                  <c:v>1703.69</c:v>
                </c:pt>
                <c:pt idx="1">
                  <c:v>1634.96</c:v>
                </c:pt>
              </c:numCache>
            </c:numRef>
          </c:val>
        </c:ser>
        <c:ser>
          <c:idx val="2"/>
          <c:order val="2"/>
          <c:tx>
            <c:strRef>
              <c:f>Sheet1!#REF!</c:f>
              <c:strCache>
                <c:ptCount val="1"/>
                <c:pt idx="0">
                  <c:v/>
                </c:pt>
              </c:strCache>
            </c:strRef>
          </c:tx>
          <c:spPr>
            <a:no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2024年</c:v>
                </c:pt>
                <c:pt idx="1">
                  <c:v>2025年</c:v>
                </c:pt>
              </c:strCache>
            </c:strRef>
          </c:cat>
          <c:val>
            <c:numRef>
              <c:f>Sheet1!#REF!</c:f>
              <c:numCache>
                <c:formatCode>General</c:formatCode>
                <c:ptCount val="1"/>
                <c:pt idx="0">
                  <c:v>1</c:v>
                </c:pt>
              </c:numCache>
            </c:numRef>
          </c:val>
        </c:ser>
        <c:dLbls>
          <c:showLegendKey val="0"/>
          <c:showVal val="1"/>
          <c:showCatName val="0"/>
          <c:showSerName val="0"/>
          <c:showPercent val="0"/>
          <c:showBubbleSize val="0"/>
        </c:dLbls>
        <c:gapWidth val="246"/>
        <c:overlap val="-28"/>
        <c:axId val="980748849"/>
        <c:axId val="657658513"/>
      </c:barChart>
      <c:catAx>
        <c:axId val="980748849"/>
        <c:scaling>
          <c:orientation val="minMax"/>
        </c:scaling>
        <c:delete val="1"/>
        <c:axPos val="b"/>
        <c:majorTickMark val="none"/>
        <c:minorTickMark val="none"/>
        <c:tickLblPos val="nextTo"/>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57658513"/>
        <c:crosses val="autoZero"/>
        <c:auto val="1"/>
        <c:lblAlgn val="ctr"/>
        <c:lblOffset val="100"/>
        <c:noMultiLvlLbl val="0"/>
      </c:catAx>
      <c:valAx>
        <c:axId val="657658513"/>
        <c:scaling>
          <c:orientation val="minMax"/>
          <c:max val="1800"/>
          <c:min val="1200"/>
        </c:scaling>
        <c:delete val="0"/>
        <c:axPos val="l"/>
        <c:majorGridlines>
          <c:spPr>
            <a:ln w="9525" cap="flat" cmpd="sng" algn="ctr">
              <a:solidFill>
                <a:schemeClr val="bg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80748849"/>
        <c:crosses val="autoZero"/>
        <c:crossBetween val="between"/>
      </c:valAx>
      <c:spPr>
        <a:noFill/>
        <a:ln>
          <a:noFill/>
        </a:ln>
        <a:effectLst/>
      </c:spPr>
    </c:plotArea>
    <c:legend>
      <c:legendPos val="b"/>
      <c:legendEntry>
        <c:idx val="2"/>
        <c:delete val="1"/>
      </c:legendEntry>
      <c:layout>
        <c:manualLayout>
          <c:xMode val="edge"/>
          <c:yMode val="edge"/>
          <c:x val="0.42461947330273"/>
          <c:y val="0.876902173913043"/>
          <c:w val="0.150881855520657"/>
          <c:h val="0.113315217391304"/>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0a70ab74-e1b2-44b9-8509-15890f3b4e10}"/>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p>
      </c:txPr>
    </c:title>
    <c:autoTitleDeleted val="0"/>
    <c:plotArea>
      <c:layout/>
      <c:pieChart>
        <c:varyColors val="1"/>
        <c:ser>
          <c:idx val="0"/>
          <c:order val="0"/>
          <c:tx>
            <c:strRef>
              <c:f>Sheet1!$B$1</c:f>
              <c:strCache>
                <c:ptCount val="1"/>
                <c:pt idx="0">
                  <c:v>收入决算结构图</c:v>
                </c:pt>
              </c:strCache>
            </c:strRef>
          </c:tx>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dPt>
            <c:idx val="4"/>
            <c:bubble3D val="0"/>
            <c:spPr>
              <a:solidFill>
                <a:schemeClr val="accent5"/>
              </a:solidFill>
              <a:ln w="19050">
                <a:solidFill>
                  <a:schemeClr val="lt1"/>
                </a:solidFill>
              </a:ln>
              <a:effectLst/>
            </c:spPr>
          </c:dPt>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一般公共预算财政拨款收入</c:v>
                </c:pt>
                <c:pt idx="1">
                  <c:v>政府性基金预算财政拨款收入</c:v>
                </c:pt>
                <c:pt idx="2">
                  <c:v>上级补助收入</c:v>
                </c:pt>
                <c:pt idx="3">
                  <c:v>事业收入</c:v>
                </c:pt>
                <c:pt idx="4">
                  <c:v>其他收入</c:v>
                </c:pt>
              </c:strCache>
            </c:strRef>
          </c:cat>
          <c:val>
            <c:numRef>
              <c:f>Sheet1!$B$2:$B$6</c:f>
              <c:numCache>
                <c:formatCode>General</c:formatCode>
                <c:ptCount val="5"/>
                <c:pt idx="0">
                  <c:v>100</c:v>
                </c:pt>
                <c:pt idx="1">
                  <c:v>0</c:v>
                </c:pt>
                <c:pt idx="2">
                  <c:v>0</c:v>
                </c:pt>
                <c:pt idx="3">
                  <c:v>0</c:v>
                </c:pt>
                <c:pt idx="4">
                  <c:v>0</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49e6e370-512d-46a8-a0dd-1f8f010bf008}"/>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p>
      </c:txPr>
    </c:title>
    <c:autoTitleDeleted val="0"/>
    <c:plotArea>
      <c:layout/>
      <c:pieChart>
        <c:varyColors val="1"/>
        <c:ser>
          <c:idx val="0"/>
          <c:order val="0"/>
          <c:tx>
            <c:strRef>
              <c:f>Sheet1!$B$1</c:f>
              <c:strCache>
                <c:ptCount val="1"/>
                <c:pt idx="0">
                  <c:v>支出决算结构图</c:v>
                </c:pt>
              </c:strCache>
            </c:strRef>
          </c:tx>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dPt>
            <c:idx val="4"/>
            <c:bubble3D val="0"/>
            <c:spPr>
              <a:solidFill>
                <a:schemeClr val="accent5"/>
              </a:solidFill>
              <a:ln w="19050">
                <a:solidFill>
                  <a:schemeClr val="lt1"/>
                </a:solidFill>
              </a:ln>
              <a:effectLst/>
            </c:spPr>
          </c:dPt>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基本支出</c:v>
                </c:pt>
                <c:pt idx="1">
                  <c:v>项目支出</c:v>
                </c:pt>
                <c:pt idx="2">
                  <c:v>上缴上级支出</c:v>
                </c:pt>
                <c:pt idx="3">
                  <c:v>经营支出</c:v>
                </c:pt>
                <c:pt idx="4">
                  <c:v>对附属单位补助支出</c:v>
                </c:pt>
              </c:strCache>
            </c:strRef>
          </c:cat>
          <c:val>
            <c:numRef>
              <c:f>Sheet1!$B$2:$B$6</c:f>
              <c:numCache>
                <c:formatCode>General</c:formatCode>
                <c:ptCount val="5"/>
                <c:pt idx="0">
                  <c:v>69</c:v>
                </c:pt>
                <c:pt idx="1">
                  <c:v>31</c:v>
                </c:pt>
                <c:pt idx="2">
                  <c:v>0</c:v>
                </c:pt>
                <c:pt idx="3">
                  <c:v>0</c:v>
                </c:pt>
                <c:pt idx="4">
                  <c:v>0</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5892b184-551f-4ae5-85e9-f3962c6c58a4}"/>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dk1">
                    <a:lumMod val="75000"/>
                    <a:lumOff val="25000"/>
                  </a:schemeClr>
                </a:solidFill>
                <a:latin typeface="+mn-lt"/>
                <a:ea typeface="+mn-ea"/>
                <a:cs typeface="+mn-cs"/>
              </a:defRPr>
            </a:pPr>
            <a:r>
              <a:t>收、支决算总计变动情况图</a:t>
            </a:r>
          </a:p>
        </c:rich>
      </c:tx>
      <c:layout/>
      <c:overlay val="0"/>
      <c:spPr>
        <a:noFill/>
        <a:ln>
          <a:noFill/>
        </a:ln>
        <a:effectLst/>
      </c:spPr>
    </c:title>
    <c:autoTitleDeleted val="0"/>
    <c:plotArea>
      <c:layout>
        <c:manualLayout>
          <c:layoutTarget val="inner"/>
          <c:xMode val="edge"/>
          <c:yMode val="edge"/>
          <c:x val="0.0742677317840717"/>
          <c:y val="0.152492668621701"/>
          <c:w val="0.897167755991285"/>
          <c:h val="0.644197737746125"/>
        </c:manualLayout>
      </c:layout>
      <c:barChart>
        <c:barDir val="col"/>
        <c:grouping val="clustered"/>
        <c:varyColors val="0"/>
        <c:ser>
          <c:idx val="0"/>
          <c:order val="0"/>
          <c:tx>
            <c:strRef>
              <c:f>Sheet1!$B$1</c:f>
              <c:strCache>
                <c:ptCount val="1"/>
                <c:pt idx="0">
                  <c:v>财政拨款收入</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2024年</c:v>
                </c:pt>
                <c:pt idx="1">
                  <c:v>2025年</c:v>
                </c:pt>
              </c:strCache>
            </c:strRef>
          </c:cat>
          <c:val>
            <c:numRef>
              <c:f>Sheet1!$B$2:$B$3</c:f>
              <c:numCache>
                <c:formatCode>General</c:formatCode>
                <c:ptCount val="2"/>
                <c:pt idx="0">
                  <c:v>1703.69</c:v>
                </c:pt>
                <c:pt idx="1">
                  <c:v>1634.96</c:v>
                </c:pt>
              </c:numCache>
            </c:numRef>
          </c:val>
        </c:ser>
        <c:ser>
          <c:idx val="1"/>
          <c:order val="1"/>
          <c:tx>
            <c:strRef>
              <c:f>Sheet1!$C$1</c:f>
              <c:strCache>
                <c:ptCount val="1"/>
                <c:pt idx="0">
                  <c:v>财政拨款支出</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2024年</c:v>
                </c:pt>
                <c:pt idx="1">
                  <c:v>2025年</c:v>
                </c:pt>
              </c:strCache>
            </c:strRef>
          </c:cat>
          <c:val>
            <c:numRef>
              <c:f>Sheet1!$C$2:$C$3</c:f>
              <c:numCache>
                <c:formatCode>General</c:formatCode>
                <c:ptCount val="2"/>
                <c:pt idx="0">
                  <c:v>1703.69</c:v>
                </c:pt>
                <c:pt idx="1">
                  <c:v>1634.96</c:v>
                </c:pt>
              </c:numCache>
            </c:numRef>
          </c:val>
        </c:ser>
        <c:ser>
          <c:idx val="2"/>
          <c:order val="2"/>
          <c:tx>
            <c:strRef>
              <c:f>Sheet1!#REF!</c:f>
              <c:strCache>
                <c:ptCount val="1"/>
                <c:pt idx="0">
                  <c:v/>
                </c:pt>
              </c:strCache>
            </c:strRef>
          </c:tx>
          <c:spPr>
            <a:no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2024年</c:v>
                </c:pt>
                <c:pt idx="1">
                  <c:v>2025年</c:v>
                </c:pt>
              </c:strCache>
            </c:strRef>
          </c:cat>
          <c:val>
            <c:numRef>
              <c:f>Sheet1!#REF!</c:f>
              <c:numCache>
                <c:formatCode>General</c:formatCode>
                <c:ptCount val="1"/>
                <c:pt idx="0">
                  <c:v>1</c:v>
                </c:pt>
              </c:numCache>
            </c:numRef>
          </c:val>
        </c:ser>
        <c:dLbls>
          <c:showLegendKey val="0"/>
          <c:showVal val="1"/>
          <c:showCatName val="0"/>
          <c:showSerName val="0"/>
          <c:showPercent val="0"/>
          <c:showBubbleSize val="0"/>
        </c:dLbls>
        <c:gapWidth val="246"/>
        <c:overlap val="-28"/>
        <c:axId val="980748849"/>
        <c:axId val="657658513"/>
      </c:barChart>
      <c:catAx>
        <c:axId val="980748849"/>
        <c:scaling>
          <c:orientation val="minMax"/>
        </c:scaling>
        <c:delete val="1"/>
        <c:axPos val="b"/>
        <c:majorTickMark val="out"/>
        <c:minorTickMark val="none"/>
        <c:tickLblPos val="low"/>
        <c:txPr>
          <a:bodyPr rot="0" spcFirstLastPara="0" vertOverflow="ellipsis" vert="horz" wrap="square" anchor="t" anchorCtr="0"/>
          <a:lstStyle/>
          <a:p>
            <a:pPr>
              <a:defRPr lang="zh-CN" sz="900" b="0" i="0" u="none" strike="noStrike" kern="1200" baseline="0">
                <a:solidFill>
                  <a:schemeClr val="tx1">
                    <a:lumMod val="65000"/>
                    <a:lumOff val="35000"/>
                  </a:schemeClr>
                </a:solidFill>
                <a:latin typeface="+mn-lt"/>
                <a:ea typeface="+mn-ea"/>
                <a:cs typeface="+mn-cs"/>
              </a:defRPr>
            </a:pPr>
          </a:p>
        </c:txPr>
        <c:crossAx val="657658513"/>
        <c:crosses val="autoZero"/>
        <c:auto val="0"/>
        <c:lblAlgn val="ctr"/>
        <c:lblOffset val="100"/>
        <c:tickLblSkip val="1"/>
        <c:noMultiLvlLbl val="0"/>
      </c:catAx>
      <c:valAx>
        <c:axId val="657658513"/>
        <c:scaling>
          <c:orientation val="minMax"/>
          <c:max val="1800"/>
          <c:min val="1200"/>
        </c:scaling>
        <c:delete val="0"/>
        <c:axPos val="l"/>
        <c:majorGridlines>
          <c:spPr>
            <a:ln w="9525" cap="flat" cmpd="sng" algn="ctr">
              <a:solidFill>
                <a:schemeClr val="bg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80748849"/>
        <c:crossesAt val="1"/>
        <c:crossBetween val="between"/>
      </c:valAx>
      <c:spPr>
        <a:noFill/>
        <a:ln>
          <a:noFill/>
        </a:ln>
        <a:effectLst/>
      </c:spPr>
    </c:plotArea>
    <c:legend>
      <c:legendPos val="b"/>
      <c:legendEntry>
        <c:idx val="2"/>
        <c:delete val="1"/>
      </c:legendEntry>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8fa4887d-80c7-42d8-9408-cdb5ea3de176}"/>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
        <c:rich>
          <a:bodyPr/>
          <a:lstStyle/>
          <a:p>
            <a:pPr>
              <a:defRPr/>
            </a:pPr>
          </a:p>
        </c:rich>
      </c:tx>
    </c:title>
    <c:autoTitleDeleted val="0"/>
    <c:plotArea>
      <c:layout/>
      <c:barChart>
        <c:barDir val="col"/>
        <c:grouping val="clustered"/>
        <c:varyColors val="0"/>
        <c:ser>
          <c:idx val="0"/>
          <c:order val="0"/>
          <c:tx>
            <c:strRef>
              <c:f>Sheet1!$B$1</c:f>
              <c:strCache>
                <c:ptCount val="1"/>
                <c:pt idx="0">
                  <c:v>支出决算数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ext>
            </c:extLst>
          </c:dLbls>
          <c:cat>
            <c:strRef>
              <c:f>Sheet1!$A$2:$A$3</c:f>
              <c:strCache>
                <c:ptCount val="2"/>
                <c:pt idx="0">
                  <c:v>2024年</c:v>
                </c:pt>
                <c:pt idx="1">
                  <c:v>2025年</c:v>
                </c:pt>
              </c:strCache>
            </c:strRef>
          </c:cat>
          <c:val>
            <c:numRef>
              <c:f>Sheet1!$B$2:$B$3</c:f>
              <c:numCache>
                <c:formatCode>General</c:formatCode>
                <c:ptCount val="2"/>
                <c:pt idx="0">
                  <c:v>1703.69</c:v>
                </c:pt>
                <c:pt idx="1">
                  <c:v>1634.96</c:v>
                </c:pt>
              </c:numCache>
            </c:numRef>
          </c:val>
        </c:ser>
        <c:dLbls>
          <c:showLegendKey val="0"/>
          <c:showVal val="0"/>
          <c:showCatName val="0"/>
          <c:showSerName val="0"/>
          <c:showPercent val="0"/>
          <c:showBubbleSize val="0"/>
        </c:dLbls>
        <c:gapWidth val="219"/>
        <c:overlap val="-27"/>
        <c:axId val="941596099"/>
        <c:axId val="285931672"/>
      </c:barChart>
      <c:catAx>
        <c:axId val="941596099"/>
        <c:scaling>
          <c:orientation val="minMax"/>
        </c:scaling>
        <c:delete val="0"/>
        <c:axPos val="b"/>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85931672"/>
        <c:crosses val="autoZero"/>
        <c:auto val="1"/>
        <c:lblAlgn val="ctr"/>
        <c:lblOffset val="100"/>
        <c:noMultiLvlLbl val="0"/>
      </c:catAx>
      <c:valAx>
        <c:axId val="285931672"/>
        <c:scaling>
          <c:orientation val="minMax"/>
          <c:max val="1800"/>
          <c:min val="1200"/>
        </c:scaling>
        <c:delete val="0"/>
        <c:axPos val="l"/>
        <c:majorGridlines>
          <c:spPr>
            <a:ln w="9525" cap="flat" cmpd="sng" algn="ctr">
              <a:solidFill>
                <a:schemeClr val="tx1">
                  <a:lumMod val="15000"/>
                  <a:lumOff val="85000"/>
                </a:schemeClr>
              </a:solidFill>
              <a:prstDash val="solid"/>
              <a:round/>
            </a:ln>
            <a:effectLst/>
          </c:spPr>
        </c:majorGridlines>
        <c:numFmt formatCode="General" sourceLinked="1"/>
        <c:majorTickMark val="none"/>
        <c:minorTickMark val="none"/>
        <c:tickLblPos val="nextTo"/>
        <c:spPr>
          <a:noFill/>
          <a:ln w="9525"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41596099"/>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8d208896-f683-493f-bd9e-61011b8b3da5}"/>
      </c:ext>
    </c:extLst>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p>
      </c:txPr>
    </c:title>
    <c:autoTitleDeleted val="0"/>
    <c:plotArea>
      <c:layout/>
      <c:pieChart>
        <c:varyColors val="1"/>
        <c:ser>
          <c:idx val="0"/>
          <c:order val="0"/>
          <c:tx>
            <c:strRef>
              <c:f>Sheet1!$B$1</c:f>
              <c:strCache>
                <c:ptCount val="1"/>
                <c:pt idx="0">
                  <c:v>财政拨款支出占比</c:v>
                </c:pt>
              </c:strCache>
            </c:strRef>
          </c:tx>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社会保障和就业支出</c:v>
                </c:pt>
                <c:pt idx="1">
                  <c:v>卫生健康支出</c:v>
                </c:pt>
                <c:pt idx="2">
                  <c:v>住房保障支出</c:v>
                </c:pt>
                <c:pt idx="3">
                  <c:v>公共安全支出</c:v>
                </c:pt>
              </c:strCache>
            </c:strRef>
          </c:cat>
          <c:val>
            <c:numRef>
              <c:f>Sheet1!$B$2:$B$5</c:f>
              <c:numCache>
                <c:formatCode>General</c:formatCode>
                <c:ptCount val="4"/>
                <c:pt idx="0">
                  <c:v>5.7</c:v>
                </c:pt>
                <c:pt idx="1">
                  <c:v>3.2</c:v>
                </c:pt>
                <c:pt idx="2">
                  <c:v>3.5</c:v>
                </c:pt>
                <c:pt idx="3">
                  <c:v>87.6</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aa781399-13cd-400f-9f3d-ca496eea2283}"/>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
        <c:rich>
          <a:bodyPr/>
          <a:lstStyle/>
          <a:p>
            <a:pPr>
              <a:defRPr/>
            </a:pPr>
          </a:p>
        </c:rich>
      </c:tx>
    </c:title>
    <c:autoTitleDeleted val="0"/>
    <c:plotArea>
      <c:layout/>
      <c:pieChart>
        <c:varyColors val="1"/>
        <c:ser>
          <c:idx val="0"/>
          <c:order val="0"/>
          <c:tx>
            <c:strRef>
              <c:f>Sheet1!$B$1</c:f>
              <c:strCache>
                <c:ptCount val="1"/>
                <c:pt idx="0">
                  <c:v>销售额</c:v>
                </c:pt>
              </c:strCache>
            </c:strRef>
          </c:tx>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Sheet1!$A$2:$A$4</c:f>
              <c:strCache>
                <c:ptCount val="3"/>
                <c:pt idx="0">
                  <c:v>因公出国（境）费支出</c:v>
                </c:pt>
                <c:pt idx="1">
                  <c:v>公务用车购置及运行维护费支出</c:v>
                </c:pt>
                <c:pt idx="2">
                  <c:v>公务接待费支出</c:v>
                </c:pt>
              </c:strCache>
            </c:strRef>
          </c:cat>
          <c:val>
            <c:numRef>
              <c:f>Sheet1!$B$2:$B$4</c:f>
              <c:numCache>
                <c:formatCode>General</c:formatCode>
                <c:ptCount val="3"/>
                <c:pt idx="0">
                  <c:v>0</c:v>
                </c:pt>
                <c:pt idx="1">
                  <c:v>16.5</c:v>
                </c:pt>
                <c:pt idx="2">
                  <c:v>1.41</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8881a093-30e1-4370-ad1d-080313c50be5}"/>
      </c:ext>
    </c:extLst>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bg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dk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bg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dk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35</Pages>
  <Words>10581</Words>
  <Characters>11628</Characters>
  <Lines>54</Lines>
  <Paragraphs>15</Paragraphs>
  <TotalTime>19</TotalTime>
  <ScaleCrop>false</ScaleCrop>
  <LinksUpToDate>false</LinksUpToDate>
  <CharactersWithSpaces>11720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2020-08-08T01:49:00Z</dcterms:created>
  <dc:creator>曹颖</dc:creator>
  <cp:lastModifiedBy>Kangdanni</cp:lastModifiedBy>
  <cp:lastPrinted>2025-09-25T06:26:00Z</cp:lastPrinted>
  <dcterms:modified xsi:type="dcterms:W3CDTF">2026-09-16T09:07:04Z</dcterms:modified>
  <dc:title>四川省***</dc:title>
  <cp:revision>39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4BC04C9ED2A24C7CA1F1D8C3DA0177C0_13</vt:lpwstr>
  </property>
  <property fmtid="{D5CDD505-2E9C-101B-9397-08002B2CF9AE}" pid="4" name="KSOTemplateDocerSaveRecord">
    <vt:lpwstr>eyJoZGlkIjoiNTQ2YjcwMDdiZGNhNDllNGVkNDMxMzVjODExNjIwMjciLCJ1c2VySWQiOiI2NjcwMjUyMTAifQ==</vt:lpwstr>
  </property>
</Properties>
</file>