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style1.xml" ContentType="application/vnd.ms-office.chartstyle+xml"/>
  <Override PartName="/word/charts/style2.xml" ContentType="application/vnd.ms-office.chartstyl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CCB365">
      <w:pPr>
        <w:rPr>
          <w:rFonts w:ascii="Times New Roman" w:hAnsi="Times New Roman"/>
          <w:b w:val="0"/>
          <w:bCs w:val="0"/>
        </w:rPr>
      </w:pPr>
      <w:bookmarkStart w:id="0" w:name="_Toc15396597"/>
      <w:bookmarkStart w:id="1" w:name="_Toc15377193"/>
      <w:bookmarkStart w:id="2" w:name="_Toc15378441"/>
      <w:bookmarkStart w:id="3" w:name="_Toc15377425"/>
      <w:bookmarkStart w:id="4" w:name="_Toc15396475"/>
      <w:bookmarkStart w:id="5" w:name="_Toc15306267"/>
    </w:p>
    <w:p w14:paraId="0A2483B7">
      <w:pPr>
        <w:pStyle w:val="6"/>
        <w:jc w:val="center"/>
        <w:rPr>
          <w:rFonts w:hint="eastAsia" w:ascii="Times New Roman" w:hAnsi="Times New Roman" w:eastAsia="方正小标宋简体" w:cs="Times New Roman"/>
          <w:b w:val="0"/>
          <w:bCs w:val="0"/>
          <w:color w:val="auto"/>
          <w:kern w:val="2"/>
          <w:sz w:val="44"/>
          <w:szCs w:val="44"/>
          <w:highlight w:val="none"/>
          <w:lang w:val="en-US" w:eastAsia="zh-CN" w:bidi="ar-SA"/>
        </w:rPr>
      </w:pPr>
    </w:p>
    <w:p w14:paraId="31DBE764">
      <w:pPr>
        <w:pStyle w:val="6"/>
        <w:jc w:val="center"/>
        <w:rPr>
          <w:rFonts w:hint="eastAsia" w:ascii="Times New Roman" w:hAnsi="Times New Roman" w:eastAsia="方正小标宋简体" w:cs="Times New Roman"/>
          <w:b w:val="0"/>
          <w:bCs w:val="0"/>
          <w:color w:val="auto"/>
          <w:kern w:val="2"/>
          <w:sz w:val="44"/>
          <w:szCs w:val="44"/>
          <w:highlight w:val="none"/>
          <w:lang w:val="en-US" w:eastAsia="zh-CN" w:bidi="ar-SA"/>
        </w:rPr>
      </w:pPr>
    </w:p>
    <w:p w14:paraId="3C6B6576">
      <w:pPr>
        <w:pStyle w:val="6"/>
        <w:jc w:val="center"/>
        <w:rPr>
          <w:rFonts w:hint="eastAsia" w:ascii="Times New Roman" w:hAnsi="Times New Roman" w:eastAsia="方正小标宋简体" w:cs="Times New Roman"/>
          <w:b w:val="0"/>
          <w:bCs w:val="0"/>
          <w:color w:val="auto"/>
          <w:kern w:val="2"/>
          <w:sz w:val="44"/>
          <w:szCs w:val="44"/>
          <w:highlight w:val="none"/>
          <w:lang w:val="en-US" w:eastAsia="zh-CN" w:bidi="ar-SA"/>
        </w:rPr>
      </w:pPr>
    </w:p>
    <w:p w14:paraId="25F4B616">
      <w:pPr>
        <w:pStyle w:val="6"/>
        <w:jc w:val="center"/>
        <w:rPr>
          <w:rFonts w:hint="eastAsia" w:ascii="Times New Roman" w:hAnsi="Times New Roman" w:eastAsia="方正小标宋简体" w:cs="Times New Roman"/>
          <w:b w:val="0"/>
          <w:bCs w:val="0"/>
          <w:color w:val="auto"/>
          <w:kern w:val="2"/>
          <w:sz w:val="44"/>
          <w:szCs w:val="44"/>
          <w:highlight w:val="none"/>
          <w:lang w:val="en-US" w:eastAsia="zh-CN" w:bidi="ar-SA"/>
        </w:rPr>
      </w:pPr>
    </w:p>
    <w:p w14:paraId="52E48F37">
      <w:pPr>
        <w:rPr>
          <w:rFonts w:hint="eastAsia" w:ascii="Times New Roman" w:hAnsi="Times New Roman" w:eastAsia="方正小标宋简体" w:cs="Times New Roman"/>
          <w:b w:val="0"/>
          <w:bCs w:val="0"/>
          <w:color w:val="auto"/>
          <w:kern w:val="2"/>
          <w:sz w:val="44"/>
          <w:szCs w:val="44"/>
          <w:highlight w:val="none"/>
          <w:lang w:val="en-US" w:eastAsia="zh-CN" w:bidi="ar-SA"/>
        </w:rPr>
      </w:pPr>
    </w:p>
    <w:p w14:paraId="760C8F34">
      <w:pPr>
        <w:pStyle w:val="2"/>
        <w:rPr>
          <w:rFonts w:hint="eastAsia" w:ascii="Times New Roman" w:hAnsi="Times New Roman" w:eastAsia="方正小标宋简体" w:cs="Times New Roman"/>
          <w:b w:val="0"/>
          <w:bCs w:val="0"/>
          <w:color w:val="auto"/>
          <w:kern w:val="2"/>
          <w:sz w:val="44"/>
          <w:szCs w:val="44"/>
          <w:highlight w:val="none"/>
          <w:lang w:val="en-US" w:eastAsia="zh-CN" w:bidi="ar-SA"/>
        </w:rPr>
      </w:pPr>
    </w:p>
    <w:p w14:paraId="79B2D251">
      <w:pPr>
        <w:pStyle w:val="2"/>
        <w:rPr>
          <w:rFonts w:hint="eastAsia" w:ascii="Times New Roman" w:hAnsi="Times New Roman" w:eastAsia="方正小标宋简体" w:cs="Times New Roman"/>
          <w:b w:val="0"/>
          <w:bCs w:val="0"/>
          <w:color w:val="auto"/>
          <w:kern w:val="2"/>
          <w:sz w:val="44"/>
          <w:szCs w:val="44"/>
          <w:highlight w:val="none"/>
          <w:lang w:val="en-US" w:eastAsia="zh-CN" w:bidi="ar-SA"/>
        </w:rPr>
      </w:pPr>
    </w:p>
    <w:p w14:paraId="6BD40540">
      <w:pPr>
        <w:pStyle w:val="2"/>
        <w:rPr>
          <w:rFonts w:hint="eastAsia" w:ascii="Times New Roman" w:hAnsi="Times New Roman" w:eastAsia="方正小标宋简体" w:cs="Times New Roman"/>
          <w:b w:val="0"/>
          <w:bCs w:val="0"/>
          <w:color w:val="auto"/>
          <w:kern w:val="2"/>
          <w:sz w:val="44"/>
          <w:szCs w:val="44"/>
          <w:highlight w:val="none"/>
          <w:lang w:val="en-US" w:eastAsia="zh-CN" w:bidi="ar-SA"/>
        </w:rPr>
      </w:pPr>
    </w:p>
    <w:bookmarkEnd w:id="0"/>
    <w:bookmarkEnd w:id="1"/>
    <w:bookmarkEnd w:id="2"/>
    <w:bookmarkEnd w:id="3"/>
    <w:bookmarkEnd w:id="4"/>
    <w:p w14:paraId="2676BDB8">
      <w:pPr>
        <w:pStyle w:val="6"/>
        <w:jc w:val="center"/>
        <w:rPr>
          <w:rFonts w:hint="eastAsia" w:ascii="Times New Roman" w:hAnsi="Times New Roman" w:eastAsia="方正小标宋简体" w:cs="Times New Roman"/>
          <w:b w:val="0"/>
          <w:bCs w:val="0"/>
          <w:color w:val="auto"/>
          <w:kern w:val="2"/>
          <w:sz w:val="44"/>
          <w:szCs w:val="44"/>
          <w:highlight w:val="none"/>
          <w:lang w:val="en-US" w:eastAsia="zh-CN" w:bidi="ar-SA"/>
        </w:rPr>
      </w:pPr>
      <w:bookmarkStart w:id="6" w:name="_Toc15377194"/>
      <w:bookmarkStart w:id="7" w:name="_Toc15377426"/>
      <w:bookmarkStart w:id="8" w:name="_Toc15396476"/>
      <w:bookmarkStart w:id="9" w:name="_Toc15378442"/>
      <w:bookmarkStart w:id="10" w:name="_Toc15396598"/>
      <w:r>
        <w:rPr>
          <w:rFonts w:hint="eastAsia" w:ascii="Times New Roman" w:hAnsi="Times New Roman" w:eastAsia="方正小标宋简体" w:cs="Times New Roman"/>
          <w:b w:val="0"/>
          <w:bCs w:val="0"/>
          <w:color w:val="auto"/>
          <w:kern w:val="2"/>
          <w:sz w:val="44"/>
          <w:szCs w:val="44"/>
          <w:highlight w:val="none"/>
          <w:lang w:val="en-US" w:eastAsia="zh-CN" w:bidi="ar-SA"/>
        </w:rPr>
        <w:t>2025年度</w:t>
      </w:r>
      <w:bookmarkEnd w:id="5"/>
      <w:bookmarkStart w:id="11" w:name="_Toc15306268"/>
      <w:r>
        <w:rPr>
          <w:rFonts w:hint="eastAsia" w:ascii="Times New Roman" w:hAnsi="Times New Roman" w:eastAsia="方正公文小标宋" w:cs="Times New Roman"/>
          <w:b w:val="0"/>
          <w:bCs w:val="0"/>
          <w:color w:val="auto"/>
          <w:kern w:val="2"/>
          <w:sz w:val="44"/>
          <w:szCs w:val="44"/>
          <w:highlight w:val="none"/>
          <w:lang w:val="en-US" w:eastAsia="zh-CN" w:bidi="ar-SA"/>
        </w:rPr>
        <w:t>巴中市人民检察院</w:t>
      </w:r>
      <w:r>
        <w:rPr>
          <w:rFonts w:hint="eastAsia" w:ascii="Times New Roman" w:hAnsi="Times New Roman" w:eastAsia="方正小标宋简体" w:cs="Times New Roman"/>
          <w:b w:val="0"/>
          <w:bCs w:val="0"/>
          <w:color w:val="auto"/>
          <w:kern w:val="2"/>
          <w:sz w:val="44"/>
          <w:szCs w:val="44"/>
          <w:highlight w:val="none"/>
          <w:lang w:val="en-US" w:eastAsia="zh-CN" w:bidi="ar-SA"/>
        </w:rPr>
        <w:t>部门决算</w:t>
      </w:r>
      <w:bookmarkEnd w:id="6"/>
      <w:bookmarkEnd w:id="7"/>
      <w:bookmarkEnd w:id="8"/>
      <w:bookmarkEnd w:id="9"/>
      <w:bookmarkEnd w:id="10"/>
      <w:bookmarkEnd w:id="11"/>
    </w:p>
    <w:p w14:paraId="40660FC6">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b w:val="0"/>
          <w:bCs w:val="0"/>
          <w:color w:val="auto"/>
          <w:sz w:val="32"/>
          <w:szCs w:val="32"/>
          <w:highlight w:val="none"/>
          <w:lang w:val="en-US" w:eastAsia="zh-CN"/>
        </w:rPr>
      </w:pPr>
    </w:p>
    <w:p w14:paraId="149FE35B">
      <w:pPr>
        <w:widowControl/>
        <w:jc w:val="center"/>
        <w:rPr>
          <w:rFonts w:hint="eastAsia" w:ascii="Times New Roman" w:hAnsi="Times New Roman" w:eastAsia="黑体"/>
          <w:b w:val="0"/>
          <w:bCs w:val="0"/>
          <w:color w:val="auto"/>
          <w:sz w:val="48"/>
          <w:szCs w:val="48"/>
          <w:highlight w:val="none"/>
        </w:rPr>
        <w:sectPr>
          <w:headerReference r:id="rId5" w:type="default"/>
          <w:footerReference r:id="rId6" w:type="default"/>
          <w:pgSz w:w="11906" w:h="16838"/>
          <w:pgMar w:top="2098" w:right="1531" w:bottom="1984" w:left="1531" w:header="851" w:footer="992" w:gutter="0"/>
          <w:pgNumType w:fmt="decimal" w:start="1"/>
          <w:cols w:space="0" w:num="1"/>
          <w:titlePg/>
          <w:rtlGutter w:val="0"/>
          <w:docGrid w:type="lines" w:linePitch="439" w:charSpace="0"/>
        </w:sectPr>
      </w:pPr>
    </w:p>
    <w:p w14:paraId="6EC1AA1A">
      <w:pPr>
        <w:widowControl/>
        <w:jc w:val="center"/>
        <w:rPr>
          <w:rFonts w:hint="eastAsia" w:ascii="Times New Roman" w:hAnsi="Times New Roman" w:eastAsia="黑体"/>
          <w:b w:val="0"/>
          <w:bCs w:val="0"/>
          <w:color w:val="auto"/>
          <w:sz w:val="48"/>
          <w:szCs w:val="48"/>
          <w:highlight w:val="none"/>
        </w:rPr>
        <w:sectPr>
          <w:footerReference r:id="rId7" w:type="default"/>
          <w:pgSz w:w="11900" w:h="16840"/>
          <w:pgMar w:top="2098" w:right="1531" w:bottom="1984" w:left="1531" w:header="0" w:footer="839" w:gutter="0"/>
          <w:cols w:space="0" w:num="1"/>
          <w:rtlGutter w:val="0"/>
          <w:docGrid w:linePitch="0" w:charSpace="0"/>
        </w:sectPr>
      </w:pPr>
    </w:p>
    <w:p w14:paraId="600941CF">
      <w:pPr>
        <w:widowControl/>
        <w:jc w:val="center"/>
        <w:rPr>
          <w:rFonts w:ascii="Times New Roman" w:hAnsi="Times New Roman" w:eastAsia="黑体"/>
          <w:b w:val="0"/>
          <w:bCs w:val="0"/>
          <w:color w:val="auto"/>
          <w:sz w:val="48"/>
          <w:szCs w:val="48"/>
          <w:highlight w:val="none"/>
        </w:rPr>
      </w:pPr>
      <w:r>
        <w:rPr>
          <w:rFonts w:hint="eastAsia" w:ascii="Times New Roman" w:hAnsi="Times New Roman" w:eastAsia="黑体"/>
          <w:b w:val="0"/>
          <w:bCs w:val="0"/>
          <w:color w:val="auto"/>
          <w:sz w:val="48"/>
          <w:szCs w:val="48"/>
          <w:highlight w:val="none"/>
        </w:rPr>
        <w:t>目录</w:t>
      </w:r>
    </w:p>
    <w:p w14:paraId="64A7A4E8">
      <w:pPr>
        <w:widowControl/>
        <w:jc w:val="center"/>
        <w:rPr>
          <w:rFonts w:ascii="Times New Roman" w:hAnsi="Times New Roman" w:eastAsia="黑体" w:cstheme="minorBidi"/>
          <w:b w:val="0"/>
          <w:bCs w:val="0"/>
          <w:color w:val="auto"/>
          <w:sz w:val="28"/>
          <w:szCs w:val="28"/>
          <w:highlight w:val="none"/>
        </w:rPr>
      </w:pPr>
    </w:p>
    <w:p w14:paraId="5790F88B">
      <w:pPr>
        <w:pStyle w:val="13"/>
        <w:rPr>
          <w:rFonts w:hint="eastAsia" w:ascii="Times New Roman" w:hAnsi="Times New Roman" w:eastAsia="方正仿宋_GBK" w:cs="方正仿宋_GBK"/>
          <w:b w:val="0"/>
          <w:bCs w:val="0"/>
          <w:color w:val="auto"/>
          <w:sz w:val="32"/>
          <w:szCs w:val="32"/>
          <w:highlight w:val="none"/>
        </w:rPr>
      </w:pPr>
      <w:r>
        <w:rPr>
          <w:rFonts w:hint="eastAsia" w:ascii="Times New Roman" w:hAnsi="Times New Roman" w:eastAsia="方正仿宋_GBK" w:cs="方正仿宋_GBK"/>
          <w:b w:val="0"/>
          <w:bCs w:val="0"/>
          <w:color w:val="auto"/>
          <w:sz w:val="32"/>
          <w:szCs w:val="32"/>
          <w:highlight w:val="none"/>
        </w:rPr>
        <w:t>公开时间：20</w:t>
      </w:r>
      <w:r>
        <w:rPr>
          <w:rFonts w:hint="eastAsia" w:ascii="Times New Roman" w:hAnsi="Times New Roman" w:eastAsia="方正仿宋_GBK" w:cs="方正仿宋_GBK"/>
          <w:b w:val="0"/>
          <w:bCs w:val="0"/>
          <w:color w:val="auto"/>
          <w:sz w:val="32"/>
          <w:szCs w:val="32"/>
          <w:highlight w:val="none"/>
          <w:lang w:val="en-US" w:eastAsia="zh-CN"/>
        </w:rPr>
        <w:t>26</w:t>
      </w:r>
      <w:r>
        <w:rPr>
          <w:rFonts w:hint="eastAsia" w:ascii="Times New Roman" w:hAnsi="Times New Roman" w:eastAsia="方正仿宋_GBK" w:cs="方正仿宋_GBK"/>
          <w:b w:val="0"/>
          <w:bCs w:val="0"/>
          <w:color w:val="auto"/>
          <w:sz w:val="32"/>
          <w:szCs w:val="32"/>
          <w:highlight w:val="none"/>
        </w:rPr>
        <w:t>年</w:t>
      </w:r>
      <w:r>
        <w:rPr>
          <w:rFonts w:hint="eastAsia" w:ascii="Times New Roman" w:hAnsi="Times New Roman" w:eastAsia="方正仿宋_GBK" w:cs="方正仿宋_GBK"/>
          <w:b w:val="0"/>
          <w:bCs w:val="0"/>
          <w:color w:val="auto"/>
          <w:sz w:val="32"/>
          <w:szCs w:val="32"/>
          <w:highlight w:val="none"/>
          <w:lang w:val="en-US" w:eastAsia="zh-CN"/>
        </w:rPr>
        <w:t>9</w:t>
      </w:r>
      <w:r>
        <w:rPr>
          <w:rFonts w:hint="eastAsia" w:ascii="Times New Roman" w:hAnsi="Times New Roman" w:eastAsia="方正仿宋_GBK" w:cs="方正仿宋_GBK"/>
          <w:b w:val="0"/>
          <w:bCs w:val="0"/>
          <w:color w:val="auto"/>
          <w:sz w:val="32"/>
          <w:szCs w:val="32"/>
          <w:highlight w:val="none"/>
        </w:rPr>
        <w:t>月</w:t>
      </w:r>
      <w:r>
        <w:rPr>
          <w:rFonts w:hint="eastAsia" w:ascii="Times New Roman" w:hAnsi="Times New Roman" w:eastAsia="方正仿宋_GBK" w:cs="方正仿宋_GBK"/>
          <w:b w:val="0"/>
          <w:bCs w:val="0"/>
          <w:color w:val="auto"/>
          <w:sz w:val="32"/>
          <w:szCs w:val="32"/>
          <w:highlight w:val="none"/>
          <w:lang w:val="en-US" w:eastAsia="zh-CN"/>
        </w:rPr>
        <w:t>17</w:t>
      </w:r>
      <w:r>
        <w:rPr>
          <w:rFonts w:hint="eastAsia" w:ascii="Times New Roman" w:hAnsi="Times New Roman" w:eastAsia="方正仿宋_GBK" w:cs="方正仿宋_GBK"/>
          <w:b w:val="0"/>
          <w:bCs w:val="0"/>
          <w:color w:val="auto"/>
          <w:sz w:val="32"/>
          <w:szCs w:val="32"/>
          <w:highlight w:val="none"/>
        </w:rPr>
        <w:t>日</w:t>
      </w:r>
    </w:p>
    <w:p w14:paraId="7E88073C">
      <w:pPr>
        <w:rPr>
          <w:rFonts w:ascii="Times New Roman" w:hAnsi="Times New Roman"/>
          <w:b w:val="0"/>
          <w:bCs w:val="0"/>
          <w:color w:val="auto"/>
          <w:highlight w:val="none"/>
        </w:rPr>
      </w:pPr>
    </w:p>
    <w:p w14:paraId="1444E969">
      <w:pPr>
        <w:pStyle w:val="13"/>
        <w:tabs>
          <w:tab w:val="right" w:leader="dot" w:pos="8838"/>
          <w:tab w:val="clear" w:pos="8296"/>
        </w:tabs>
        <w:rPr>
          <w:rFonts w:hint="eastAsia" w:ascii="Times New Roman" w:hAnsi="Times New Roman" w:eastAsia="方正仿宋_GBK" w:cs="方正仿宋_GBK"/>
          <w:sz w:val="32"/>
          <w:szCs w:val="32"/>
        </w:rPr>
      </w:pPr>
      <w:r>
        <w:rPr>
          <w:rFonts w:ascii="Times New Roman" w:hAnsi="Times New Roman"/>
          <w:b w:val="0"/>
          <w:bCs w:val="0"/>
        </w:rPr>
        <w:fldChar w:fldCharType="begin"/>
      </w:r>
      <w:r>
        <w:rPr>
          <w:rFonts w:ascii="Times New Roman" w:hAnsi="Times New Roman"/>
          <w:b w:val="0"/>
          <w:bCs w:val="0"/>
        </w:rPr>
        <w:instrText xml:space="preserve">TOC \o "1-3" \h \u </w:instrText>
      </w:r>
      <w:r>
        <w:rPr>
          <w:rFonts w:ascii="Times New Roman" w:hAnsi="Times New Roman"/>
          <w:b w:val="0"/>
          <w:bCs w:val="0"/>
        </w:rPr>
        <w:fldChar w:fldCharType="separate"/>
      </w:r>
      <w:r>
        <w:rPr>
          <w:rFonts w:hint="eastAsia" w:ascii="Times New Roman" w:hAnsi="Times New Roman" w:eastAsia="方正仿宋_GBK" w:cs="方正仿宋_GBK"/>
          <w:bCs w:val="0"/>
          <w:sz w:val="32"/>
          <w:szCs w:val="32"/>
        </w:rPr>
        <w:fldChar w:fldCharType="begin"/>
      </w:r>
      <w:r>
        <w:rPr>
          <w:rFonts w:hint="eastAsia" w:ascii="Times New Roman" w:hAnsi="Times New Roman" w:eastAsia="方正仿宋_GBK" w:cs="方正仿宋_GBK"/>
          <w:bCs w:val="0"/>
          <w:sz w:val="32"/>
          <w:szCs w:val="32"/>
        </w:rPr>
        <w:instrText xml:space="preserve"> HYPERLINK \l _Toc15463025 </w:instrText>
      </w:r>
      <w:r>
        <w:rPr>
          <w:rFonts w:hint="eastAsia" w:ascii="Times New Roman" w:hAnsi="Times New Roman" w:eastAsia="方正仿宋_GBK" w:cs="方正仿宋_GBK"/>
          <w:bCs w:val="0"/>
          <w:sz w:val="32"/>
          <w:szCs w:val="32"/>
        </w:rPr>
        <w:fldChar w:fldCharType="separate"/>
      </w:r>
      <w:r>
        <w:rPr>
          <w:rFonts w:hint="eastAsia" w:ascii="Times New Roman" w:hAnsi="Times New Roman" w:eastAsia="方正仿宋_GBK" w:cs="方正仿宋_GBK"/>
          <w:sz w:val="32"/>
          <w:szCs w:val="32"/>
        </w:rPr>
        <w:t>第一部分</w:t>
      </w:r>
      <w:r>
        <w:rPr>
          <w:rFonts w:hint="eastAsia" w:ascii="Times New Roman" w:hAnsi="Times New Roman" w:eastAsia="方正仿宋_GBK" w:cs="方正仿宋_GBK"/>
          <w:sz w:val="32"/>
          <w:szCs w:val="32"/>
          <w:lang w:val="en-US" w:eastAsia="zh-CN"/>
        </w:rPr>
        <w:t xml:space="preserve"> </w:t>
      </w:r>
      <w:r>
        <w:rPr>
          <w:rFonts w:hint="eastAsia" w:ascii="Times New Roman" w:hAnsi="Times New Roman" w:eastAsia="方正仿宋_GBK" w:cs="方正仿宋_GBK"/>
          <w:sz w:val="32"/>
          <w:szCs w:val="32"/>
        </w:rPr>
        <w:t xml:space="preserve"> 部门概况</w:t>
      </w:r>
      <w:r>
        <w:rPr>
          <w:rFonts w:hint="eastAsia" w:ascii="Times New Roman" w:hAnsi="Times New Roman" w:eastAsia="方正仿宋_GBK" w:cs="方正仿宋_GBK"/>
          <w:sz w:val="32"/>
          <w:szCs w:val="32"/>
        </w:rPr>
        <w:tab/>
      </w:r>
      <w:r>
        <w:rPr>
          <w:rFonts w:hint="eastAsia" w:ascii="Times New Roman" w:hAnsi="Times New Roman" w:eastAsia="方正仿宋_GBK" w:cs="方正仿宋_GBK"/>
          <w:sz w:val="32"/>
          <w:szCs w:val="32"/>
        </w:rPr>
        <w:fldChar w:fldCharType="begin"/>
      </w:r>
      <w:r>
        <w:rPr>
          <w:rFonts w:hint="eastAsia" w:ascii="Times New Roman" w:hAnsi="Times New Roman" w:eastAsia="方正仿宋_GBK" w:cs="方正仿宋_GBK"/>
          <w:sz w:val="32"/>
          <w:szCs w:val="32"/>
        </w:rPr>
        <w:instrText xml:space="preserve"> PAGEREF _Toc15463025 \h </w:instrText>
      </w:r>
      <w:r>
        <w:rPr>
          <w:rFonts w:hint="eastAsia" w:ascii="Times New Roman" w:hAnsi="Times New Roman" w:eastAsia="方正仿宋_GBK" w:cs="方正仿宋_GBK"/>
          <w:sz w:val="32"/>
          <w:szCs w:val="32"/>
        </w:rPr>
        <w:fldChar w:fldCharType="separate"/>
      </w:r>
      <w:r>
        <w:rPr>
          <w:rFonts w:hint="eastAsia" w:ascii="Times New Roman" w:hAnsi="Times New Roman" w:eastAsia="方正仿宋_GBK" w:cs="方正仿宋_GBK"/>
          <w:sz w:val="32"/>
          <w:szCs w:val="32"/>
        </w:rPr>
        <w:t>1</w:t>
      </w:r>
      <w:r>
        <w:rPr>
          <w:rFonts w:hint="eastAsia" w:ascii="Times New Roman" w:hAnsi="Times New Roman" w:eastAsia="方正仿宋_GBK" w:cs="方正仿宋_GBK"/>
          <w:sz w:val="32"/>
          <w:szCs w:val="32"/>
        </w:rPr>
        <w:fldChar w:fldCharType="end"/>
      </w:r>
      <w:r>
        <w:rPr>
          <w:rFonts w:hint="eastAsia" w:ascii="Times New Roman" w:hAnsi="Times New Roman" w:eastAsia="方正仿宋_GBK" w:cs="方正仿宋_GBK"/>
          <w:bCs w:val="0"/>
          <w:sz w:val="32"/>
          <w:szCs w:val="32"/>
        </w:rPr>
        <w:fldChar w:fldCharType="end"/>
      </w:r>
    </w:p>
    <w:p w14:paraId="34B2AF48">
      <w:pPr>
        <w:pStyle w:val="15"/>
        <w:tabs>
          <w:tab w:val="right" w:leader="dot" w:pos="8838"/>
          <w:tab w:val="clear" w:pos="8296"/>
        </w:tabs>
        <w:rPr>
          <w:rFonts w:hint="eastAsia" w:ascii="Times New Roman" w:hAnsi="Times New Roman" w:eastAsia="方正仿宋_GBK" w:cs="方正仿宋_GBK"/>
          <w:sz w:val="28"/>
          <w:szCs w:val="28"/>
        </w:rPr>
      </w:pPr>
      <w:r>
        <w:rPr>
          <w:rFonts w:hint="eastAsia" w:ascii="Times New Roman" w:hAnsi="Times New Roman" w:eastAsia="方正仿宋_GBK" w:cs="方正仿宋_GBK"/>
          <w:bCs w:val="0"/>
          <w:sz w:val="28"/>
          <w:szCs w:val="28"/>
        </w:rPr>
        <w:fldChar w:fldCharType="begin"/>
      </w:r>
      <w:r>
        <w:rPr>
          <w:rFonts w:hint="eastAsia" w:ascii="Times New Roman" w:hAnsi="Times New Roman" w:eastAsia="方正仿宋_GBK" w:cs="方正仿宋_GBK"/>
          <w:bCs w:val="0"/>
          <w:sz w:val="28"/>
          <w:szCs w:val="28"/>
        </w:rPr>
        <w:instrText xml:space="preserve"> HYPERLINK \l _Toc82624232 </w:instrText>
      </w:r>
      <w:r>
        <w:rPr>
          <w:rFonts w:hint="eastAsia" w:ascii="Times New Roman" w:hAnsi="Times New Roman" w:eastAsia="方正仿宋_GBK" w:cs="方正仿宋_GBK"/>
          <w:bCs w:val="0"/>
          <w:sz w:val="28"/>
          <w:szCs w:val="28"/>
        </w:rPr>
        <w:fldChar w:fldCharType="separate"/>
      </w:r>
      <w:r>
        <w:rPr>
          <w:rFonts w:hint="eastAsia" w:ascii="Times New Roman" w:hAnsi="Times New Roman" w:eastAsia="方正仿宋_GBK" w:cs="方正仿宋_GBK"/>
          <w:bCs w:val="0"/>
          <w:sz w:val="28"/>
          <w:szCs w:val="28"/>
        </w:rPr>
        <w:t>一、</w:t>
      </w:r>
      <w:r>
        <w:rPr>
          <w:rFonts w:hint="eastAsia" w:ascii="Times New Roman" w:hAnsi="Times New Roman" w:eastAsia="方正仿宋_GBK" w:cs="方正仿宋_GBK"/>
          <w:bCs w:val="0"/>
          <w:sz w:val="28"/>
          <w:szCs w:val="28"/>
          <w:lang w:eastAsia="zh-CN"/>
        </w:rPr>
        <w:t>部门职责</w:t>
      </w:r>
      <w:r>
        <w:rPr>
          <w:rFonts w:hint="eastAsia" w:ascii="Times New Roman" w:hAnsi="Times New Roman" w:eastAsia="方正仿宋_GBK" w:cs="方正仿宋_GBK"/>
          <w:sz w:val="28"/>
          <w:szCs w:val="28"/>
        </w:rPr>
        <w:tab/>
      </w:r>
      <w:r>
        <w:rPr>
          <w:rFonts w:hint="eastAsia" w:ascii="Times New Roman" w:hAnsi="Times New Roman" w:eastAsia="方正仿宋_GBK" w:cs="方正仿宋_GBK"/>
          <w:sz w:val="28"/>
          <w:szCs w:val="28"/>
        </w:rPr>
        <w:fldChar w:fldCharType="begin"/>
      </w:r>
      <w:r>
        <w:rPr>
          <w:rFonts w:hint="eastAsia" w:ascii="Times New Roman" w:hAnsi="Times New Roman" w:eastAsia="方正仿宋_GBK" w:cs="方正仿宋_GBK"/>
          <w:sz w:val="28"/>
          <w:szCs w:val="28"/>
        </w:rPr>
        <w:instrText xml:space="preserve"> PAGEREF _Toc82624232 \h </w:instrText>
      </w:r>
      <w:r>
        <w:rPr>
          <w:rFonts w:hint="eastAsia" w:ascii="Times New Roman" w:hAnsi="Times New Roman" w:eastAsia="方正仿宋_GBK" w:cs="方正仿宋_GBK"/>
          <w:sz w:val="28"/>
          <w:szCs w:val="28"/>
        </w:rPr>
        <w:fldChar w:fldCharType="separate"/>
      </w:r>
      <w:r>
        <w:rPr>
          <w:rFonts w:hint="eastAsia" w:ascii="Times New Roman" w:hAnsi="Times New Roman" w:eastAsia="方正仿宋_GBK" w:cs="方正仿宋_GBK"/>
          <w:sz w:val="28"/>
          <w:szCs w:val="28"/>
        </w:rPr>
        <w:t>1</w:t>
      </w:r>
      <w:r>
        <w:rPr>
          <w:rFonts w:hint="eastAsia" w:ascii="Times New Roman" w:hAnsi="Times New Roman" w:eastAsia="方正仿宋_GBK" w:cs="方正仿宋_GBK"/>
          <w:sz w:val="28"/>
          <w:szCs w:val="28"/>
        </w:rPr>
        <w:fldChar w:fldCharType="end"/>
      </w:r>
      <w:r>
        <w:rPr>
          <w:rFonts w:hint="eastAsia" w:ascii="Times New Roman" w:hAnsi="Times New Roman" w:eastAsia="方正仿宋_GBK" w:cs="方正仿宋_GBK"/>
          <w:bCs w:val="0"/>
          <w:sz w:val="28"/>
          <w:szCs w:val="28"/>
        </w:rPr>
        <w:fldChar w:fldCharType="end"/>
      </w:r>
    </w:p>
    <w:p w14:paraId="515B5AED">
      <w:pPr>
        <w:pStyle w:val="15"/>
        <w:tabs>
          <w:tab w:val="right" w:leader="dot" w:pos="8838"/>
          <w:tab w:val="clear" w:pos="8296"/>
        </w:tabs>
        <w:rPr>
          <w:rFonts w:hint="eastAsia" w:ascii="Times New Roman" w:hAnsi="Times New Roman" w:eastAsia="方正仿宋_GBK" w:cs="方正仿宋_GBK"/>
          <w:b w:val="0"/>
          <w:bCs w:val="0"/>
          <w:sz w:val="28"/>
          <w:szCs w:val="28"/>
        </w:rPr>
      </w:pPr>
      <w:r>
        <w:rPr>
          <w:rFonts w:hint="eastAsia" w:ascii="Times New Roman" w:hAnsi="Times New Roman" w:eastAsia="方正仿宋_GBK" w:cs="方正仿宋_GBK"/>
          <w:b w:val="0"/>
          <w:bCs w:val="0"/>
          <w:sz w:val="28"/>
          <w:szCs w:val="28"/>
        </w:rPr>
        <w:fldChar w:fldCharType="begin"/>
      </w:r>
      <w:r>
        <w:rPr>
          <w:rFonts w:hint="eastAsia" w:ascii="Times New Roman" w:hAnsi="Times New Roman" w:eastAsia="方正仿宋_GBK" w:cs="方正仿宋_GBK"/>
          <w:b w:val="0"/>
          <w:bCs w:val="0"/>
          <w:sz w:val="28"/>
          <w:szCs w:val="28"/>
        </w:rPr>
        <w:instrText xml:space="preserve"> HYPERLINK \l _Toc990466593 </w:instrText>
      </w:r>
      <w:r>
        <w:rPr>
          <w:rFonts w:hint="eastAsia" w:ascii="Times New Roman" w:hAnsi="Times New Roman" w:eastAsia="方正仿宋_GBK" w:cs="方正仿宋_GBK"/>
          <w:b w:val="0"/>
          <w:bCs w:val="0"/>
          <w:sz w:val="28"/>
          <w:szCs w:val="28"/>
        </w:rPr>
        <w:fldChar w:fldCharType="separate"/>
      </w:r>
      <w:r>
        <w:rPr>
          <w:rFonts w:hint="eastAsia" w:ascii="Times New Roman" w:hAnsi="Times New Roman" w:eastAsia="方正仿宋_GBK" w:cs="方正仿宋_GBK"/>
          <w:kern w:val="2"/>
          <w:sz w:val="28"/>
          <w:szCs w:val="28"/>
          <w:lang w:val="en-US" w:eastAsia="zh-CN" w:bidi="ar-SA"/>
        </w:rPr>
        <w:t>二、机构设置</w:t>
      </w:r>
      <w:r>
        <w:rPr>
          <w:rFonts w:hint="eastAsia" w:ascii="Times New Roman" w:hAnsi="Times New Roman" w:eastAsia="方正仿宋_GBK" w:cs="方正仿宋_GBK"/>
          <w:b w:val="0"/>
          <w:bCs w:val="0"/>
          <w:sz w:val="28"/>
          <w:szCs w:val="28"/>
        </w:rPr>
        <w:tab/>
      </w:r>
      <w:r>
        <w:rPr>
          <w:rFonts w:hint="eastAsia" w:ascii="Times New Roman" w:hAnsi="Times New Roman" w:eastAsia="方正仿宋_GBK" w:cs="方正仿宋_GBK"/>
          <w:b w:val="0"/>
          <w:bCs w:val="0"/>
          <w:sz w:val="28"/>
          <w:szCs w:val="28"/>
        </w:rPr>
        <w:fldChar w:fldCharType="begin"/>
      </w:r>
      <w:r>
        <w:rPr>
          <w:rFonts w:hint="eastAsia" w:ascii="Times New Roman" w:hAnsi="Times New Roman" w:eastAsia="方正仿宋_GBK" w:cs="方正仿宋_GBK"/>
          <w:b w:val="0"/>
          <w:bCs w:val="0"/>
          <w:sz w:val="28"/>
          <w:szCs w:val="28"/>
        </w:rPr>
        <w:instrText xml:space="preserve"> PAGEREF _Toc990466593 \h </w:instrText>
      </w:r>
      <w:r>
        <w:rPr>
          <w:rFonts w:hint="eastAsia" w:ascii="Times New Roman" w:hAnsi="Times New Roman" w:eastAsia="方正仿宋_GBK" w:cs="方正仿宋_GBK"/>
          <w:b w:val="0"/>
          <w:bCs w:val="0"/>
          <w:sz w:val="28"/>
          <w:szCs w:val="28"/>
        </w:rPr>
        <w:fldChar w:fldCharType="separate"/>
      </w:r>
      <w:r>
        <w:rPr>
          <w:rFonts w:hint="eastAsia" w:ascii="Times New Roman" w:hAnsi="Times New Roman" w:eastAsia="方正仿宋_GBK" w:cs="方正仿宋_GBK"/>
          <w:b w:val="0"/>
          <w:bCs w:val="0"/>
          <w:sz w:val="28"/>
          <w:szCs w:val="28"/>
        </w:rPr>
        <w:t>4</w:t>
      </w:r>
      <w:r>
        <w:rPr>
          <w:rFonts w:hint="eastAsia" w:ascii="Times New Roman" w:hAnsi="Times New Roman" w:eastAsia="方正仿宋_GBK" w:cs="方正仿宋_GBK"/>
          <w:b w:val="0"/>
          <w:bCs w:val="0"/>
          <w:sz w:val="28"/>
          <w:szCs w:val="28"/>
        </w:rPr>
        <w:fldChar w:fldCharType="end"/>
      </w:r>
      <w:r>
        <w:rPr>
          <w:rFonts w:hint="eastAsia" w:ascii="Times New Roman" w:hAnsi="Times New Roman" w:eastAsia="方正仿宋_GBK" w:cs="方正仿宋_GBK"/>
          <w:b w:val="0"/>
          <w:bCs w:val="0"/>
          <w:sz w:val="28"/>
          <w:szCs w:val="28"/>
        </w:rPr>
        <w:fldChar w:fldCharType="end"/>
      </w:r>
    </w:p>
    <w:p w14:paraId="6CB1D07C">
      <w:pPr>
        <w:pStyle w:val="13"/>
        <w:tabs>
          <w:tab w:val="right" w:leader="dot" w:pos="8838"/>
          <w:tab w:val="clear" w:pos="8296"/>
        </w:tabs>
        <w:rPr>
          <w:rFonts w:hint="eastAsia" w:ascii="Times New Roman" w:hAnsi="Times New Roman" w:eastAsia="方正仿宋_GBK" w:cs="方正仿宋_GBK"/>
          <w:bCs w:val="0"/>
          <w:sz w:val="32"/>
          <w:szCs w:val="32"/>
        </w:rPr>
      </w:pPr>
      <w:r>
        <w:rPr>
          <w:rFonts w:hint="eastAsia" w:ascii="Times New Roman" w:hAnsi="Times New Roman" w:eastAsia="方正仿宋_GBK" w:cs="方正仿宋_GBK"/>
          <w:bCs w:val="0"/>
          <w:sz w:val="32"/>
          <w:szCs w:val="32"/>
        </w:rPr>
        <w:fldChar w:fldCharType="begin"/>
      </w:r>
      <w:r>
        <w:rPr>
          <w:rFonts w:hint="eastAsia" w:ascii="Times New Roman" w:hAnsi="Times New Roman" w:eastAsia="方正仿宋_GBK" w:cs="方正仿宋_GBK"/>
          <w:bCs w:val="0"/>
          <w:sz w:val="32"/>
          <w:szCs w:val="32"/>
        </w:rPr>
        <w:instrText xml:space="preserve"> HYPERLINK \l _Toc887615528 </w:instrText>
      </w:r>
      <w:r>
        <w:rPr>
          <w:rFonts w:hint="eastAsia" w:ascii="Times New Roman" w:hAnsi="Times New Roman" w:eastAsia="方正仿宋_GBK" w:cs="方正仿宋_GBK"/>
          <w:bCs w:val="0"/>
          <w:sz w:val="32"/>
          <w:szCs w:val="32"/>
        </w:rPr>
        <w:fldChar w:fldCharType="separate"/>
      </w:r>
      <w:r>
        <w:rPr>
          <w:rFonts w:hint="eastAsia" w:ascii="Times New Roman" w:hAnsi="Times New Roman" w:eastAsia="方正仿宋_GBK" w:cs="方正仿宋_GBK"/>
          <w:bCs w:val="0"/>
          <w:sz w:val="32"/>
          <w:szCs w:val="32"/>
        </w:rPr>
        <w:t>第二部分</w:t>
      </w:r>
      <w:r>
        <w:rPr>
          <w:rFonts w:hint="eastAsia" w:ascii="Times New Roman" w:hAnsi="Times New Roman" w:eastAsia="方正仿宋_GBK" w:cs="方正仿宋_GBK"/>
          <w:bCs w:val="0"/>
          <w:sz w:val="32"/>
          <w:szCs w:val="32"/>
          <w:lang w:val="en-US" w:eastAsia="zh-CN"/>
        </w:rPr>
        <w:t xml:space="preserve"> </w:t>
      </w:r>
      <w:r>
        <w:rPr>
          <w:rFonts w:hint="eastAsia" w:ascii="Times New Roman" w:hAnsi="Times New Roman" w:eastAsia="方正仿宋_GBK" w:cs="方正仿宋_GBK"/>
          <w:bCs w:val="0"/>
          <w:sz w:val="32"/>
          <w:szCs w:val="32"/>
        </w:rPr>
        <w:t xml:space="preserve"> </w:t>
      </w:r>
      <w:r>
        <w:rPr>
          <w:rFonts w:hint="eastAsia" w:ascii="Times New Roman" w:hAnsi="Times New Roman" w:eastAsia="方正仿宋_GBK" w:cs="方正仿宋_GBK"/>
          <w:bCs w:val="0"/>
          <w:sz w:val="32"/>
          <w:szCs w:val="32"/>
          <w:lang w:val="en-US" w:eastAsia="zh-CN"/>
        </w:rPr>
        <w:t>2025年度</w:t>
      </w:r>
      <w:r>
        <w:rPr>
          <w:rFonts w:hint="eastAsia" w:ascii="Times New Roman" w:hAnsi="Times New Roman" w:eastAsia="方正仿宋_GBK" w:cs="方正仿宋_GBK"/>
          <w:bCs w:val="0"/>
          <w:sz w:val="32"/>
          <w:szCs w:val="32"/>
        </w:rPr>
        <w:t>部门决算情况说明</w:t>
      </w:r>
      <w:r>
        <w:rPr>
          <w:rFonts w:hint="eastAsia" w:ascii="Times New Roman" w:hAnsi="Times New Roman" w:eastAsia="方正仿宋_GBK" w:cs="方正仿宋_GBK"/>
          <w:bCs w:val="0"/>
          <w:sz w:val="32"/>
          <w:szCs w:val="32"/>
        </w:rPr>
        <w:tab/>
      </w:r>
      <w:r>
        <w:rPr>
          <w:rFonts w:hint="eastAsia" w:ascii="Times New Roman" w:hAnsi="Times New Roman" w:eastAsia="方正仿宋_GBK" w:cs="方正仿宋_GBK"/>
          <w:bCs w:val="0"/>
          <w:sz w:val="32"/>
          <w:szCs w:val="32"/>
        </w:rPr>
        <w:fldChar w:fldCharType="begin"/>
      </w:r>
      <w:r>
        <w:rPr>
          <w:rFonts w:hint="eastAsia" w:ascii="Times New Roman" w:hAnsi="Times New Roman" w:eastAsia="方正仿宋_GBK" w:cs="方正仿宋_GBK"/>
          <w:bCs w:val="0"/>
          <w:sz w:val="32"/>
          <w:szCs w:val="32"/>
        </w:rPr>
        <w:instrText xml:space="preserve"> PAGEREF _Toc887615528 \h </w:instrText>
      </w:r>
      <w:r>
        <w:rPr>
          <w:rFonts w:hint="eastAsia" w:ascii="Times New Roman" w:hAnsi="Times New Roman" w:eastAsia="方正仿宋_GBK" w:cs="方正仿宋_GBK"/>
          <w:bCs w:val="0"/>
          <w:sz w:val="32"/>
          <w:szCs w:val="32"/>
        </w:rPr>
        <w:fldChar w:fldCharType="separate"/>
      </w:r>
      <w:r>
        <w:rPr>
          <w:rFonts w:hint="eastAsia" w:ascii="Times New Roman" w:hAnsi="Times New Roman" w:eastAsia="方正仿宋_GBK" w:cs="方正仿宋_GBK"/>
          <w:bCs w:val="0"/>
          <w:sz w:val="32"/>
          <w:szCs w:val="32"/>
        </w:rPr>
        <w:t>5</w:t>
      </w:r>
      <w:r>
        <w:rPr>
          <w:rFonts w:hint="eastAsia" w:ascii="Times New Roman" w:hAnsi="Times New Roman" w:eastAsia="方正仿宋_GBK" w:cs="方正仿宋_GBK"/>
          <w:bCs w:val="0"/>
          <w:sz w:val="32"/>
          <w:szCs w:val="32"/>
        </w:rPr>
        <w:fldChar w:fldCharType="end"/>
      </w:r>
      <w:r>
        <w:rPr>
          <w:rFonts w:hint="eastAsia" w:ascii="Times New Roman" w:hAnsi="Times New Roman" w:eastAsia="方正仿宋_GBK" w:cs="方正仿宋_GBK"/>
          <w:bCs w:val="0"/>
          <w:sz w:val="32"/>
          <w:szCs w:val="32"/>
        </w:rPr>
        <w:fldChar w:fldCharType="end"/>
      </w:r>
    </w:p>
    <w:p w14:paraId="7E33D7E1">
      <w:pPr>
        <w:pStyle w:val="15"/>
        <w:tabs>
          <w:tab w:val="right" w:leader="dot" w:pos="8838"/>
          <w:tab w:val="clear" w:pos="8296"/>
        </w:tabs>
        <w:rPr>
          <w:rFonts w:hint="eastAsia" w:ascii="Times New Roman" w:hAnsi="Times New Roman" w:eastAsia="方正仿宋_GBK" w:cs="方正仿宋_GBK"/>
          <w:bCs w:val="0"/>
          <w:sz w:val="28"/>
          <w:szCs w:val="28"/>
          <w:lang w:eastAsia="zh-CN"/>
        </w:rPr>
      </w:pPr>
      <w:r>
        <w:rPr>
          <w:rFonts w:hint="eastAsia" w:ascii="Times New Roman" w:hAnsi="Times New Roman" w:eastAsia="方正仿宋_GBK" w:cs="方正仿宋_GBK"/>
          <w:bCs w:val="0"/>
          <w:sz w:val="28"/>
          <w:szCs w:val="28"/>
          <w:lang w:eastAsia="zh-CN"/>
        </w:rPr>
        <w:fldChar w:fldCharType="begin"/>
      </w:r>
      <w:r>
        <w:rPr>
          <w:rFonts w:hint="eastAsia" w:ascii="Times New Roman" w:hAnsi="Times New Roman" w:eastAsia="方正仿宋_GBK" w:cs="方正仿宋_GBK"/>
          <w:bCs w:val="0"/>
          <w:sz w:val="28"/>
          <w:szCs w:val="28"/>
          <w:lang w:eastAsia="zh-CN"/>
        </w:rPr>
        <w:instrText xml:space="preserve"> HYPERLINK \l _Toc1525643831 </w:instrText>
      </w:r>
      <w:r>
        <w:rPr>
          <w:rFonts w:hint="eastAsia" w:ascii="Times New Roman" w:hAnsi="Times New Roman" w:eastAsia="方正仿宋_GBK" w:cs="方正仿宋_GBK"/>
          <w:bCs w:val="0"/>
          <w:sz w:val="28"/>
          <w:szCs w:val="28"/>
          <w:lang w:eastAsia="zh-CN"/>
        </w:rPr>
        <w:fldChar w:fldCharType="separate"/>
      </w:r>
      <w:r>
        <w:rPr>
          <w:rFonts w:hint="eastAsia" w:ascii="Times New Roman" w:hAnsi="Times New Roman" w:eastAsia="方正仿宋_GBK" w:cs="方正仿宋_GBK"/>
          <w:bCs w:val="0"/>
          <w:sz w:val="28"/>
          <w:szCs w:val="28"/>
          <w:lang w:eastAsia="zh-CN"/>
        </w:rPr>
        <w:t>一、收入支出决算总体情况说明</w:t>
      </w:r>
      <w:r>
        <w:rPr>
          <w:rFonts w:hint="eastAsia" w:ascii="Times New Roman" w:hAnsi="Times New Roman" w:eastAsia="方正仿宋_GBK" w:cs="方正仿宋_GBK"/>
          <w:bCs w:val="0"/>
          <w:sz w:val="28"/>
          <w:szCs w:val="28"/>
          <w:lang w:eastAsia="zh-CN"/>
        </w:rPr>
        <w:tab/>
      </w:r>
      <w:r>
        <w:rPr>
          <w:rFonts w:hint="eastAsia" w:ascii="Times New Roman" w:hAnsi="Times New Roman" w:eastAsia="方正仿宋_GBK" w:cs="方正仿宋_GBK"/>
          <w:bCs w:val="0"/>
          <w:sz w:val="28"/>
          <w:szCs w:val="28"/>
          <w:lang w:eastAsia="zh-CN"/>
        </w:rPr>
        <w:fldChar w:fldCharType="begin"/>
      </w:r>
      <w:r>
        <w:rPr>
          <w:rFonts w:hint="eastAsia" w:ascii="Times New Roman" w:hAnsi="Times New Roman" w:eastAsia="方正仿宋_GBK" w:cs="方正仿宋_GBK"/>
          <w:bCs w:val="0"/>
          <w:sz w:val="28"/>
          <w:szCs w:val="28"/>
          <w:lang w:eastAsia="zh-CN"/>
        </w:rPr>
        <w:instrText xml:space="preserve"> PAGEREF _Toc1525643831 \h </w:instrText>
      </w:r>
      <w:r>
        <w:rPr>
          <w:rFonts w:hint="eastAsia" w:ascii="Times New Roman" w:hAnsi="Times New Roman" w:eastAsia="方正仿宋_GBK" w:cs="方正仿宋_GBK"/>
          <w:bCs w:val="0"/>
          <w:sz w:val="28"/>
          <w:szCs w:val="28"/>
          <w:lang w:eastAsia="zh-CN"/>
        </w:rPr>
        <w:fldChar w:fldCharType="separate"/>
      </w:r>
      <w:r>
        <w:rPr>
          <w:rFonts w:hint="eastAsia" w:ascii="Times New Roman" w:hAnsi="Times New Roman" w:eastAsia="方正仿宋_GBK" w:cs="方正仿宋_GBK"/>
          <w:bCs w:val="0"/>
          <w:sz w:val="28"/>
          <w:szCs w:val="28"/>
          <w:lang w:eastAsia="zh-CN"/>
        </w:rPr>
        <w:t>5</w:t>
      </w:r>
      <w:r>
        <w:rPr>
          <w:rFonts w:hint="eastAsia" w:ascii="Times New Roman" w:hAnsi="Times New Roman" w:eastAsia="方正仿宋_GBK" w:cs="方正仿宋_GBK"/>
          <w:bCs w:val="0"/>
          <w:sz w:val="28"/>
          <w:szCs w:val="28"/>
          <w:lang w:eastAsia="zh-CN"/>
        </w:rPr>
        <w:fldChar w:fldCharType="end"/>
      </w:r>
      <w:r>
        <w:rPr>
          <w:rFonts w:hint="eastAsia" w:ascii="Times New Roman" w:hAnsi="Times New Roman" w:eastAsia="方正仿宋_GBK" w:cs="方正仿宋_GBK"/>
          <w:bCs w:val="0"/>
          <w:sz w:val="28"/>
          <w:szCs w:val="28"/>
          <w:lang w:eastAsia="zh-CN"/>
        </w:rPr>
        <w:fldChar w:fldCharType="end"/>
      </w:r>
    </w:p>
    <w:p w14:paraId="717F42AE">
      <w:pPr>
        <w:pStyle w:val="15"/>
        <w:tabs>
          <w:tab w:val="right" w:leader="dot" w:pos="8838"/>
          <w:tab w:val="clear" w:pos="8296"/>
        </w:tabs>
        <w:rPr>
          <w:rFonts w:ascii="Times New Roman" w:hAnsi="Times New Roman"/>
        </w:rPr>
      </w:pPr>
      <w:r>
        <w:rPr>
          <w:rFonts w:hint="eastAsia" w:ascii="Times New Roman" w:hAnsi="Times New Roman" w:eastAsia="方正仿宋_GBK" w:cs="方正仿宋_GBK"/>
          <w:bCs w:val="0"/>
          <w:sz w:val="28"/>
          <w:szCs w:val="28"/>
          <w:lang w:eastAsia="zh-CN"/>
        </w:rPr>
        <w:fldChar w:fldCharType="begin"/>
      </w:r>
      <w:r>
        <w:rPr>
          <w:rFonts w:hint="eastAsia" w:ascii="Times New Roman" w:hAnsi="Times New Roman" w:eastAsia="方正仿宋_GBK" w:cs="方正仿宋_GBK"/>
          <w:bCs w:val="0"/>
          <w:sz w:val="28"/>
          <w:szCs w:val="28"/>
          <w:lang w:eastAsia="zh-CN"/>
        </w:rPr>
        <w:instrText xml:space="preserve"> HYPERLINK \l _Toc1691692911 </w:instrText>
      </w:r>
      <w:r>
        <w:rPr>
          <w:rFonts w:hint="eastAsia" w:ascii="Times New Roman" w:hAnsi="Times New Roman" w:eastAsia="方正仿宋_GBK" w:cs="方正仿宋_GBK"/>
          <w:bCs w:val="0"/>
          <w:sz w:val="28"/>
          <w:szCs w:val="28"/>
          <w:lang w:eastAsia="zh-CN"/>
        </w:rPr>
        <w:fldChar w:fldCharType="separate"/>
      </w:r>
      <w:r>
        <w:rPr>
          <w:rFonts w:hint="eastAsia" w:ascii="Times New Roman" w:hAnsi="Times New Roman" w:eastAsia="方正仿宋_GBK" w:cs="方正仿宋_GBK"/>
          <w:bCs w:val="0"/>
          <w:sz w:val="28"/>
          <w:szCs w:val="28"/>
          <w:lang w:eastAsia="zh-CN"/>
        </w:rPr>
        <w:t>二、收入决算情况说明</w:t>
      </w:r>
      <w:r>
        <w:rPr>
          <w:rFonts w:hint="eastAsia" w:ascii="Times New Roman" w:hAnsi="Times New Roman" w:eastAsia="方正仿宋_GBK" w:cs="方正仿宋_GBK"/>
          <w:bCs w:val="0"/>
          <w:sz w:val="28"/>
          <w:szCs w:val="28"/>
          <w:lang w:eastAsia="zh-CN"/>
        </w:rPr>
        <w:tab/>
      </w:r>
      <w:r>
        <w:rPr>
          <w:rFonts w:hint="eastAsia" w:ascii="Times New Roman" w:hAnsi="Times New Roman" w:eastAsia="方正仿宋_GBK" w:cs="方正仿宋_GBK"/>
          <w:bCs w:val="0"/>
          <w:sz w:val="28"/>
          <w:szCs w:val="28"/>
          <w:lang w:eastAsia="zh-CN"/>
        </w:rPr>
        <w:fldChar w:fldCharType="begin"/>
      </w:r>
      <w:r>
        <w:rPr>
          <w:rFonts w:hint="eastAsia" w:ascii="Times New Roman" w:hAnsi="Times New Roman" w:eastAsia="方正仿宋_GBK" w:cs="方正仿宋_GBK"/>
          <w:bCs w:val="0"/>
          <w:sz w:val="28"/>
          <w:szCs w:val="28"/>
          <w:lang w:eastAsia="zh-CN"/>
        </w:rPr>
        <w:instrText xml:space="preserve"> PAGEREF _Toc1691692911 \h </w:instrText>
      </w:r>
      <w:r>
        <w:rPr>
          <w:rFonts w:hint="eastAsia" w:ascii="Times New Roman" w:hAnsi="Times New Roman" w:eastAsia="方正仿宋_GBK" w:cs="方正仿宋_GBK"/>
          <w:bCs w:val="0"/>
          <w:sz w:val="28"/>
          <w:szCs w:val="28"/>
          <w:lang w:eastAsia="zh-CN"/>
        </w:rPr>
        <w:fldChar w:fldCharType="separate"/>
      </w:r>
      <w:r>
        <w:rPr>
          <w:rFonts w:hint="eastAsia" w:ascii="Times New Roman" w:hAnsi="Times New Roman" w:eastAsia="方正仿宋_GBK" w:cs="方正仿宋_GBK"/>
          <w:bCs w:val="0"/>
          <w:sz w:val="28"/>
          <w:szCs w:val="28"/>
          <w:lang w:eastAsia="zh-CN"/>
        </w:rPr>
        <w:t>5</w:t>
      </w:r>
      <w:r>
        <w:rPr>
          <w:rFonts w:hint="eastAsia" w:ascii="Times New Roman" w:hAnsi="Times New Roman" w:eastAsia="方正仿宋_GBK" w:cs="方正仿宋_GBK"/>
          <w:bCs w:val="0"/>
          <w:sz w:val="28"/>
          <w:szCs w:val="28"/>
          <w:lang w:eastAsia="zh-CN"/>
        </w:rPr>
        <w:fldChar w:fldCharType="end"/>
      </w:r>
      <w:r>
        <w:rPr>
          <w:rFonts w:hint="eastAsia" w:ascii="Times New Roman" w:hAnsi="Times New Roman" w:eastAsia="方正仿宋_GBK" w:cs="方正仿宋_GBK"/>
          <w:bCs w:val="0"/>
          <w:sz w:val="28"/>
          <w:szCs w:val="28"/>
          <w:lang w:eastAsia="zh-CN"/>
        </w:rPr>
        <w:fldChar w:fldCharType="end"/>
      </w:r>
    </w:p>
    <w:p w14:paraId="32BB8B43">
      <w:pPr>
        <w:pStyle w:val="15"/>
        <w:tabs>
          <w:tab w:val="right" w:leader="dot" w:pos="8838"/>
          <w:tab w:val="clear" w:pos="8296"/>
        </w:tabs>
        <w:rPr>
          <w:rFonts w:hint="eastAsia" w:ascii="Times New Roman" w:hAnsi="Times New Roman" w:eastAsia="方正仿宋_GBK" w:cs="方正仿宋_GBK"/>
          <w:bCs w:val="0"/>
          <w:sz w:val="28"/>
          <w:szCs w:val="28"/>
          <w:lang w:eastAsia="zh-CN"/>
        </w:rPr>
      </w:pPr>
      <w:r>
        <w:rPr>
          <w:rFonts w:hint="eastAsia" w:ascii="Times New Roman" w:hAnsi="Times New Roman" w:eastAsia="方正仿宋_GBK" w:cs="方正仿宋_GBK"/>
          <w:bCs w:val="0"/>
          <w:sz w:val="28"/>
          <w:szCs w:val="28"/>
          <w:lang w:eastAsia="zh-CN"/>
        </w:rPr>
        <w:fldChar w:fldCharType="begin"/>
      </w:r>
      <w:r>
        <w:rPr>
          <w:rFonts w:hint="eastAsia" w:ascii="Times New Roman" w:hAnsi="Times New Roman" w:eastAsia="方正仿宋_GBK" w:cs="方正仿宋_GBK"/>
          <w:bCs w:val="0"/>
          <w:sz w:val="28"/>
          <w:szCs w:val="28"/>
          <w:lang w:eastAsia="zh-CN"/>
        </w:rPr>
        <w:instrText xml:space="preserve"> HYPERLINK \l _Toc641032110 </w:instrText>
      </w:r>
      <w:r>
        <w:rPr>
          <w:rFonts w:hint="eastAsia" w:ascii="Times New Roman" w:hAnsi="Times New Roman" w:eastAsia="方正仿宋_GBK" w:cs="方正仿宋_GBK"/>
          <w:bCs w:val="0"/>
          <w:sz w:val="28"/>
          <w:szCs w:val="28"/>
          <w:lang w:eastAsia="zh-CN"/>
        </w:rPr>
        <w:fldChar w:fldCharType="separate"/>
      </w:r>
      <w:r>
        <w:rPr>
          <w:rFonts w:hint="eastAsia" w:ascii="Times New Roman" w:hAnsi="Times New Roman" w:eastAsia="方正仿宋_GBK" w:cs="方正仿宋_GBK"/>
          <w:bCs w:val="0"/>
          <w:sz w:val="28"/>
          <w:szCs w:val="28"/>
          <w:lang w:eastAsia="zh-CN"/>
        </w:rPr>
        <w:t>三、支出决算情况说明</w:t>
      </w:r>
      <w:r>
        <w:rPr>
          <w:rFonts w:hint="eastAsia" w:ascii="Times New Roman" w:hAnsi="Times New Roman" w:eastAsia="方正仿宋_GBK" w:cs="方正仿宋_GBK"/>
          <w:bCs w:val="0"/>
          <w:sz w:val="28"/>
          <w:szCs w:val="28"/>
          <w:lang w:eastAsia="zh-CN"/>
        </w:rPr>
        <w:tab/>
      </w:r>
      <w:r>
        <w:rPr>
          <w:rFonts w:hint="eastAsia" w:ascii="Times New Roman" w:hAnsi="Times New Roman" w:eastAsia="方正仿宋_GBK" w:cs="方正仿宋_GBK"/>
          <w:bCs w:val="0"/>
          <w:sz w:val="28"/>
          <w:szCs w:val="28"/>
          <w:lang w:eastAsia="zh-CN"/>
        </w:rPr>
        <w:fldChar w:fldCharType="begin"/>
      </w:r>
      <w:r>
        <w:rPr>
          <w:rFonts w:hint="eastAsia" w:ascii="Times New Roman" w:hAnsi="Times New Roman" w:eastAsia="方正仿宋_GBK" w:cs="方正仿宋_GBK"/>
          <w:bCs w:val="0"/>
          <w:sz w:val="28"/>
          <w:szCs w:val="28"/>
          <w:lang w:eastAsia="zh-CN"/>
        </w:rPr>
        <w:instrText xml:space="preserve"> PAGEREF _Toc641032110 \h </w:instrText>
      </w:r>
      <w:r>
        <w:rPr>
          <w:rFonts w:hint="eastAsia" w:ascii="Times New Roman" w:hAnsi="Times New Roman" w:eastAsia="方正仿宋_GBK" w:cs="方正仿宋_GBK"/>
          <w:bCs w:val="0"/>
          <w:sz w:val="28"/>
          <w:szCs w:val="28"/>
          <w:lang w:eastAsia="zh-CN"/>
        </w:rPr>
        <w:fldChar w:fldCharType="separate"/>
      </w:r>
      <w:r>
        <w:rPr>
          <w:rFonts w:hint="eastAsia" w:ascii="Times New Roman" w:hAnsi="Times New Roman" w:eastAsia="方正仿宋_GBK" w:cs="方正仿宋_GBK"/>
          <w:bCs w:val="0"/>
          <w:sz w:val="28"/>
          <w:szCs w:val="28"/>
          <w:lang w:eastAsia="zh-CN"/>
        </w:rPr>
        <w:t>6</w:t>
      </w:r>
      <w:r>
        <w:rPr>
          <w:rFonts w:hint="eastAsia" w:ascii="Times New Roman" w:hAnsi="Times New Roman" w:eastAsia="方正仿宋_GBK" w:cs="方正仿宋_GBK"/>
          <w:bCs w:val="0"/>
          <w:sz w:val="28"/>
          <w:szCs w:val="28"/>
          <w:lang w:eastAsia="zh-CN"/>
        </w:rPr>
        <w:fldChar w:fldCharType="end"/>
      </w:r>
      <w:r>
        <w:rPr>
          <w:rFonts w:hint="eastAsia" w:ascii="Times New Roman" w:hAnsi="Times New Roman" w:eastAsia="方正仿宋_GBK" w:cs="方正仿宋_GBK"/>
          <w:bCs w:val="0"/>
          <w:sz w:val="28"/>
          <w:szCs w:val="28"/>
          <w:lang w:eastAsia="zh-CN"/>
        </w:rPr>
        <w:fldChar w:fldCharType="end"/>
      </w:r>
    </w:p>
    <w:p w14:paraId="195B12FE">
      <w:pPr>
        <w:pStyle w:val="15"/>
        <w:tabs>
          <w:tab w:val="right" w:leader="dot" w:pos="8838"/>
          <w:tab w:val="clear" w:pos="8296"/>
        </w:tabs>
        <w:rPr>
          <w:rFonts w:hint="eastAsia" w:ascii="Times New Roman" w:hAnsi="Times New Roman" w:eastAsia="方正仿宋_GBK" w:cs="方正仿宋_GBK"/>
          <w:bCs w:val="0"/>
          <w:sz w:val="28"/>
          <w:szCs w:val="28"/>
          <w:lang w:eastAsia="zh-CN"/>
        </w:rPr>
      </w:pPr>
      <w:r>
        <w:rPr>
          <w:rFonts w:hint="eastAsia" w:ascii="Times New Roman" w:hAnsi="Times New Roman" w:eastAsia="方正仿宋_GBK" w:cs="方正仿宋_GBK"/>
          <w:bCs w:val="0"/>
          <w:sz w:val="28"/>
          <w:szCs w:val="28"/>
          <w:lang w:eastAsia="zh-CN"/>
        </w:rPr>
        <w:fldChar w:fldCharType="begin"/>
      </w:r>
      <w:r>
        <w:rPr>
          <w:rFonts w:hint="eastAsia" w:ascii="Times New Roman" w:hAnsi="Times New Roman" w:eastAsia="方正仿宋_GBK" w:cs="方正仿宋_GBK"/>
          <w:bCs w:val="0"/>
          <w:sz w:val="28"/>
          <w:szCs w:val="28"/>
          <w:lang w:eastAsia="zh-CN"/>
        </w:rPr>
        <w:instrText xml:space="preserve"> HYPERLINK \l _Toc1630139297 </w:instrText>
      </w:r>
      <w:r>
        <w:rPr>
          <w:rFonts w:hint="eastAsia" w:ascii="Times New Roman" w:hAnsi="Times New Roman" w:eastAsia="方正仿宋_GBK" w:cs="方正仿宋_GBK"/>
          <w:bCs w:val="0"/>
          <w:sz w:val="28"/>
          <w:szCs w:val="28"/>
          <w:lang w:eastAsia="zh-CN"/>
        </w:rPr>
        <w:fldChar w:fldCharType="separate"/>
      </w:r>
      <w:r>
        <w:rPr>
          <w:rFonts w:hint="eastAsia" w:ascii="Times New Roman" w:hAnsi="Times New Roman" w:eastAsia="方正仿宋_GBK" w:cs="方正仿宋_GBK"/>
          <w:bCs w:val="0"/>
          <w:sz w:val="28"/>
          <w:szCs w:val="28"/>
          <w:lang w:eastAsia="zh-CN"/>
        </w:rPr>
        <w:t>四、财政拨款收入支出决算总体情况说明</w:t>
      </w:r>
      <w:r>
        <w:rPr>
          <w:rFonts w:hint="eastAsia" w:ascii="Times New Roman" w:hAnsi="Times New Roman" w:eastAsia="方正仿宋_GBK" w:cs="方正仿宋_GBK"/>
          <w:bCs w:val="0"/>
          <w:sz w:val="28"/>
          <w:szCs w:val="28"/>
          <w:lang w:eastAsia="zh-CN"/>
        </w:rPr>
        <w:tab/>
      </w:r>
      <w:r>
        <w:rPr>
          <w:rFonts w:hint="eastAsia" w:ascii="Times New Roman" w:hAnsi="Times New Roman" w:eastAsia="方正仿宋_GBK" w:cs="方正仿宋_GBK"/>
          <w:bCs w:val="0"/>
          <w:sz w:val="28"/>
          <w:szCs w:val="28"/>
          <w:lang w:eastAsia="zh-CN"/>
        </w:rPr>
        <w:fldChar w:fldCharType="begin"/>
      </w:r>
      <w:r>
        <w:rPr>
          <w:rFonts w:hint="eastAsia" w:ascii="Times New Roman" w:hAnsi="Times New Roman" w:eastAsia="方正仿宋_GBK" w:cs="方正仿宋_GBK"/>
          <w:bCs w:val="0"/>
          <w:sz w:val="28"/>
          <w:szCs w:val="28"/>
          <w:lang w:eastAsia="zh-CN"/>
        </w:rPr>
        <w:instrText xml:space="preserve"> PAGEREF _Toc1630139297 \h </w:instrText>
      </w:r>
      <w:r>
        <w:rPr>
          <w:rFonts w:hint="eastAsia" w:ascii="Times New Roman" w:hAnsi="Times New Roman" w:eastAsia="方正仿宋_GBK" w:cs="方正仿宋_GBK"/>
          <w:bCs w:val="0"/>
          <w:sz w:val="28"/>
          <w:szCs w:val="28"/>
          <w:lang w:eastAsia="zh-CN"/>
        </w:rPr>
        <w:fldChar w:fldCharType="separate"/>
      </w:r>
      <w:r>
        <w:rPr>
          <w:rFonts w:hint="eastAsia" w:ascii="Times New Roman" w:hAnsi="Times New Roman" w:eastAsia="方正仿宋_GBK" w:cs="方正仿宋_GBK"/>
          <w:bCs w:val="0"/>
          <w:sz w:val="28"/>
          <w:szCs w:val="28"/>
          <w:lang w:eastAsia="zh-CN"/>
        </w:rPr>
        <w:t>7</w:t>
      </w:r>
      <w:r>
        <w:rPr>
          <w:rFonts w:hint="eastAsia" w:ascii="Times New Roman" w:hAnsi="Times New Roman" w:eastAsia="方正仿宋_GBK" w:cs="方正仿宋_GBK"/>
          <w:bCs w:val="0"/>
          <w:sz w:val="28"/>
          <w:szCs w:val="28"/>
          <w:lang w:eastAsia="zh-CN"/>
        </w:rPr>
        <w:fldChar w:fldCharType="end"/>
      </w:r>
      <w:r>
        <w:rPr>
          <w:rFonts w:hint="eastAsia" w:ascii="Times New Roman" w:hAnsi="Times New Roman" w:eastAsia="方正仿宋_GBK" w:cs="方正仿宋_GBK"/>
          <w:bCs w:val="0"/>
          <w:sz w:val="28"/>
          <w:szCs w:val="28"/>
          <w:lang w:eastAsia="zh-CN"/>
        </w:rPr>
        <w:fldChar w:fldCharType="end"/>
      </w:r>
    </w:p>
    <w:p w14:paraId="083F09EE">
      <w:pPr>
        <w:pStyle w:val="15"/>
        <w:tabs>
          <w:tab w:val="right" w:leader="dot" w:pos="8838"/>
          <w:tab w:val="clear" w:pos="8296"/>
        </w:tabs>
        <w:rPr>
          <w:rFonts w:hint="eastAsia" w:ascii="Times New Roman" w:hAnsi="Times New Roman" w:eastAsia="方正仿宋_GBK" w:cs="方正仿宋_GBK"/>
          <w:bCs w:val="0"/>
          <w:sz w:val="28"/>
          <w:szCs w:val="28"/>
          <w:lang w:eastAsia="zh-CN"/>
        </w:rPr>
      </w:pPr>
      <w:r>
        <w:rPr>
          <w:rFonts w:hint="eastAsia" w:ascii="Times New Roman" w:hAnsi="Times New Roman" w:eastAsia="方正仿宋_GBK" w:cs="方正仿宋_GBK"/>
          <w:bCs w:val="0"/>
          <w:sz w:val="28"/>
          <w:szCs w:val="28"/>
          <w:lang w:eastAsia="zh-CN"/>
        </w:rPr>
        <w:fldChar w:fldCharType="begin"/>
      </w:r>
      <w:r>
        <w:rPr>
          <w:rFonts w:hint="eastAsia" w:ascii="Times New Roman" w:hAnsi="Times New Roman" w:eastAsia="方正仿宋_GBK" w:cs="方正仿宋_GBK"/>
          <w:bCs w:val="0"/>
          <w:sz w:val="28"/>
          <w:szCs w:val="28"/>
          <w:lang w:eastAsia="zh-CN"/>
        </w:rPr>
        <w:instrText xml:space="preserve"> HYPERLINK \l _Toc1745623425 </w:instrText>
      </w:r>
      <w:r>
        <w:rPr>
          <w:rFonts w:hint="eastAsia" w:ascii="Times New Roman" w:hAnsi="Times New Roman" w:eastAsia="方正仿宋_GBK" w:cs="方正仿宋_GBK"/>
          <w:bCs w:val="0"/>
          <w:sz w:val="28"/>
          <w:szCs w:val="28"/>
          <w:lang w:eastAsia="zh-CN"/>
        </w:rPr>
        <w:fldChar w:fldCharType="separate"/>
      </w:r>
      <w:r>
        <w:rPr>
          <w:rFonts w:hint="eastAsia" w:ascii="Times New Roman" w:hAnsi="Times New Roman" w:eastAsia="方正仿宋_GBK" w:cs="方正仿宋_GBK"/>
          <w:bCs w:val="0"/>
          <w:sz w:val="28"/>
          <w:szCs w:val="28"/>
          <w:lang w:eastAsia="zh-CN"/>
        </w:rPr>
        <w:t>五、一般公共预算财政拨款支出决算情况说明</w:t>
      </w:r>
      <w:r>
        <w:rPr>
          <w:rFonts w:hint="eastAsia" w:ascii="Times New Roman" w:hAnsi="Times New Roman" w:eastAsia="方正仿宋_GBK" w:cs="方正仿宋_GBK"/>
          <w:bCs w:val="0"/>
          <w:sz w:val="28"/>
          <w:szCs w:val="28"/>
          <w:lang w:eastAsia="zh-CN"/>
        </w:rPr>
        <w:tab/>
      </w:r>
      <w:r>
        <w:rPr>
          <w:rFonts w:hint="eastAsia" w:ascii="Times New Roman" w:hAnsi="Times New Roman" w:eastAsia="方正仿宋_GBK" w:cs="方正仿宋_GBK"/>
          <w:bCs w:val="0"/>
          <w:sz w:val="28"/>
          <w:szCs w:val="28"/>
          <w:lang w:eastAsia="zh-CN"/>
        </w:rPr>
        <w:fldChar w:fldCharType="begin"/>
      </w:r>
      <w:r>
        <w:rPr>
          <w:rFonts w:hint="eastAsia" w:ascii="Times New Roman" w:hAnsi="Times New Roman" w:eastAsia="方正仿宋_GBK" w:cs="方正仿宋_GBK"/>
          <w:bCs w:val="0"/>
          <w:sz w:val="28"/>
          <w:szCs w:val="28"/>
          <w:lang w:eastAsia="zh-CN"/>
        </w:rPr>
        <w:instrText xml:space="preserve"> PAGEREF _Toc1745623425 \h </w:instrText>
      </w:r>
      <w:r>
        <w:rPr>
          <w:rFonts w:hint="eastAsia" w:ascii="Times New Roman" w:hAnsi="Times New Roman" w:eastAsia="方正仿宋_GBK" w:cs="方正仿宋_GBK"/>
          <w:bCs w:val="0"/>
          <w:sz w:val="28"/>
          <w:szCs w:val="28"/>
          <w:lang w:eastAsia="zh-CN"/>
        </w:rPr>
        <w:fldChar w:fldCharType="separate"/>
      </w:r>
      <w:r>
        <w:rPr>
          <w:rFonts w:hint="eastAsia" w:ascii="Times New Roman" w:hAnsi="Times New Roman" w:eastAsia="方正仿宋_GBK" w:cs="方正仿宋_GBK"/>
          <w:bCs w:val="0"/>
          <w:sz w:val="28"/>
          <w:szCs w:val="28"/>
          <w:lang w:eastAsia="zh-CN"/>
        </w:rPr>
        <w:t>7</w:t>
      </w:r>
      <w:r>
        <w:rPr>
          <w:rFonts w:hint="eastAsia" w:ascii="Times New Roman" w:hAnsi="Times New Roman" w:eastAsia="方正仿宋_GBK" w:cs="方正仿宋_GBK"/>
          <w:bCs w:val="0"/>
          <w:sz w:val="28"/>
          <w:szCs w:val="28"/>
          <w:lang w:eastAsia="zh-CN"/>
        </w:rPr>
        <w:fldChar w:fldCharType="end"/>
      </w:r>
      <w:r>
        <w:rPr>
          <w:rFonts w:hint="eastAsia" w:ascii="Times New Roman" w:hAnsi="Times New Roman" w:eastAsia="方正仿宋_GBK" w:cs="方正仿宋_GBK"/>
          <w:bCs w:val="0"/>
          <w:sz w:val="28"/>
          <w:szCs w:val="28"/>
          <w:lang w:eastAsia="zh-CN"/>
        </w:rPr>
        <w:fldChar w:fldCharType="end"/>
      </w:r>
    </w:p>
    <w:p w14:paraId="3A066110">
      <w:pPr>
        <w:pStyle w:val="9"/>
        <w:tabs>
          <w:tab w:val="right" w:leader="dot" w:pos="8838"/>
          <w:tab w:val="clear" w:pos="8296"/>
        </w:tabs>
        <w:rPr>
          <w:rFonts w:hint="eastAsia" w:ascii="Times New Roman" w:hAnsi="Times New Roman" w:eastAsia="方正仿宋_GBK" w:cs="方正仿宋_GBK"/>
          <w:sz w:val="28"/>
          <w:szCs w:val="28"/>
        </w:rPr>
      </w:pPr>
      <w:r>
        <w:rPr>
          <w:rFonts w:hint="eastAsia" w:ascii="Times New Roman" w:hAnsi="Times New Roman" w:eastAsia="方正仿宋_GBK" w:cs="方正仿宋_GBK"/>
          <w:bCs w:val="0"/>
          <w:sz w:val="28"/>
          <w:szCs w:val="28"/>
        </w:rPr>
        <w:fldChar w:fldCharType="begin"/>
      </w:r>
      <w:r>
        <w:rPr>
          <w:rFonts w:hint="eastAsia" w:ascii="Times New Roman" w:hAnsi="Times New Roman" w:eastAsia="方正仿宋_GBK" w:cs="方正仿宋_GBK"/>
          <w:bCs w:val="0"/>
          <w:sz w:val="28"/>
          <w:szCs w:val="28"/>
        </w:rPr>
        <w:instrText xml:space="preserve"> HYPERLINK \l _Toc17598382 </w:instrText>
      </w:r>
      <w:r>
        <w:rPr>
          <w:rFonts w:hint="eastAsia" w:ascii="Times New Roman" w:hAnsi="Times New Roman" w:eastAsia="方正仿宋_GBK" w:cs="方正仿宋_GBK"/>
          <w:bCs w:val="0"/>
          <w:sz w:val="28"/>
          <w:szCs w:val="28"/>
        </w:rPr>
        <w:fldChar w:fldCharType="separate"/>
      </w:r>
      <w:r>
        <w:rPr>
          <w:rFonts w:hint="eastAsia" w:ascii="Times New Roman" w:hAnsi="Times New Roman" w:eastAsia="方正仿宋_GBK" w:cs="方正仿宋_GBK"/>
          <w:bCs w:val="0"/>
          <w:sz w:val="28"/>
          <w:szCs w:val="28"/>
          <w:highlight w:val="none"/>
        </w:rPr>
        <w:t>（一）一般公共预算财政拨款支出决算总体情况</w:t>
      </w:r>
      <w:r>
        <w:rPr>
          <w:rFonts w:hint="eastAsia" w:ascii="Times New Roman" w:hAnsi="Times New Roman" w:eastAsia="方正仿宋_GBK" w:cs="方正仿宋_GBK"/>
          <w:sz w:val="28"/>
          <w:szCs w:val="28"/>
        </w:rPr>
        <w:tab/>
      </w:r>
      <w:r>
        <w:rPr>
          <w:rFonts w:hint="eastAsia" w:ascii="Times New Roman" w:hAnsi="Times New Roman" w:eastAsia="方正仿宋_GBK" w:cs="方正仿宋_GBK"/>
          <w:sz w:val="28"/>
          <w:szCs w:val="28"/>
        </w:rPr>
        <w:fldChar w:fldCharType="begin"/>
      </w:r>
      <w:r>
        <w:rPr>
          <w:rFonts w:hint="eastAsia" w:ascii="Times New Roman" w:hAnsi="Times New Roman" w:eastAsia="方正仿宋_GBK" w:cs="方正仿宋_GBK"/>
          <w:sz w:val="28"/>
          <w:szCs w:val="28"/>
        </w:rPr>
        <w:instrText xml:space="preserve"> PAGEREF _Toc17598382 \h </w:instrText>
      </w:r>
      <w:r>
        <w:rPr>
          <w:rFonts w:hint="eastAsia" w:ascii="Times New Roman" w:hAnsi="Times New Roman" w:eastAsia="方正仿宋_GBK" w:cs="方正仿宋_GBK"/>
          <w:sz w:val="28"/>
          <w:szCs w:val="28"/>
        </w:rPr>
        <w:fldChar w:fldCharType="separate"/>
      </w:r>
      <w:r>
        <w:rPr>
          <w:rFonts w:hint="eastAsia" w:ascii="Times New Roman" w:hAnsi="Times New Roman" w:eastAsia="方正仿宋_GBK" w:cs="方正仿宋_GBK"/>
          <w:sz w:val="28"/>
          <w:szCs w:val="28"/>
        </w:rPr>
        <w:t>7</w:t>
      </w:r>
      <w:r>
        <w:rPr>
          <w:rFonts w:hint="eastAsia" w:ascii="Times New Roman" w:hAnsi="Times New Roman" w:eastAsia="方正仿宋_GBK" w:cs="方正仿宋_GBK"/>
          <w:sz w:val="28"/>
          <w:szCs w:val="28"/>
        </w:rPr>
        <w:fldChar w:fldCharType="end"/>
      </w:r>
      <w:r>
        <w:rPr>
          <w:rFonts w:hint="eastAsia" w:ascii="Times New Roman" w:hAnsi="Times New Roman" w:eastAsia="方正仿宋_GBK" w:cs="方正仿宋_GBK"/>
          <w:bCs w:val="0"/>
          <w:sz w:val="28"/>
          <w:szCs w:val="28"/>
        </w:rPr>
        <w:fldChar w:fldCharType="end"/>
      </w:r>
    </w:p>
    <w:p w14:paraId="39AD3ACF">
      <w:pPr>
        <w:pStyle w:val="9"/>
        <w:tabs>
          <w:tab w:val="right" w:leader="dot" w:pos="8838"/>
          <w:tab w:val="clear" w:pos="8296"/>
        </w:tabs>
        <w:rPr>
          <w:rFonts w:hint="eastAsia" w:ascii="Times New Roman" w:hAnsi="Times New Roman" w:eastAsia="方正仿宋_GBK" w:cs="方正仿宋_GBK"/>
          <w:sz w:val="28"/>
          <w:szCs w:val="28"/>
        </w:rPr>
      </w:pPr>
      <w:r>
        <w:rPr>
          <w:rFonts w:hint="eastAsia" w:ascii="Times New Roman" w:hAnsi="Times New Roman" w:eastAsia="方正仿宋_GBK" w:cs="方正仿宋_GBK"/>
          <w:bCs w:val="0"/>
          <w:sz w:val="28"/>
          <w:szCs w:val="28"/>
        </w:rPr>
        <w:fldChar w:fldCharType="begin"/>
      </w:r>
      <w:r>
        <w:rPr>
          <w:rFonts w:hint="eastAsia" w:ascii="Times New Roman" w:hAnsi="Times New Roman" w:eastAsia="方正仿宋_GBK" w:cs="方正仿宋_GBK"/>
          <w:bCs w:val="0"/>
          <w:sz w:val="28"/>
          <w:szCs w:val="28"/>
        </w:rPr>
        <w:instrText xml:space="preserve"> HYPERLINK \l _Toc2010545128 </w:instrText>
      </w:r>
      <w:r>
        <w:rPr>
          <w:rFonts w:hint="eastAsia" w:ascii="Times New Roman" w:hAnsi="Times New Roman" w:eastAsia="方正仿宋_GBK" w:cs="方正仿宋_GBK"/>
          <w:bCs w:val="0"/>
          <w:sz w:val="28"/>
          <w:szCs w:val="28"/>
        </w:rPr>
        <w:fldChar w:fldCharType="separate"/>
      </w:r>
      <w:r>
        <w:rPr>
          <w:rFonts w:hint="eastAsia" w:ascii="Times New Roman" w:hAnsi="Times New Roman" w:eastAsia="方正仿宋_GBK" w:cs="方正仿宋_GBK"/>
          <w:bCs w:val="0"/>
          <w:sz w:val="28"/>
          <w:szCs w:val="28"/>
          <w:highlight w:val="none"/>
        </w:rPr>
        <w:t>（二）一般公共预算财政拨款支出决算结构情况</w:t>
      </w:r>
      <w:r>
        <w:rPr>
          <w:rFonts w:hint="eastAsia" w:ascii="Times New Roman" w:hAnsi="Times New Roman" w:eastAsia="方正仿宋_GBK" w:cs="方正仿宋_GBK"/>
          <w:sz w:val="28"/>
          <w:szCs w:val="28"/>
        </w:rPr>
        <w:tab/>
      </w:r>
      <w:r>
        <w:rPr>
          <w:rFonts w:hint="eastAsia" w:ascii="Times New Roman" w:hAnsi="Times New Roman" w:eastAsia="方正仿宋_GBK" w:cs="方正仿宋_GBK"/>
          <w:sz w:val="28"/>
          <w:szCs w:val="28"/>
        </w:rPr>
        <w:fldChar w:fldCharType="begin"/>
      </w:r>
      <w:r>
        <w:rPr>
          <w:rFonts w:hint="eastAsia" w:ascii="Times New Roman" w:hAnsi="Times New Roman" w:eastAsia="方正仿宋_GBK" w:cs="方正仿宋_GBK"/>
          <w:sz w:val="28"/>
          <w:szCs w:val="28"/>
        </w:rPr>
        <w:instrText xml:space="preserve"> PAGEREF _Toc2010545128 \h </w:instrText>
      </w:r>
      <w:r>
        <w:rPr>
          <w:rFonts w:hint="eastAsia" w:ascii="Times New Roman" w:hAnsi="Times New Roman" w:eastAsia="方正仿宋_GBK" w:cs="方正仿宋_GBK"/>
          <w:sz w:val="28"/>
          <w:szCs w:val="28"/>
        </w:rPr>
        <w:fldChar w:fldCharType="separate"/>
      </w:r>
      <w:r>
        <w:rPr>
          <w:rFonts w:hint="eastAsia" w:ascii="Times New Roman" w:hAnsi="Times New Roman" w:eastAsia="方正仿宋_GBK" w:cs="方正仿宋_GBK"/>
          <w:sz w:val="28"/>
          <w:szCs w:val="28"/>
        </w:rPr>
        <w:t>8</w:t>
      </w:r>
      <w:r>
        <w:rPr>
          <w:rFonts w:hint="eastAsia" w:ascii="Times New Roman" w:hAnsi="Times New Roman" w:eastAsia="方正仿宋_GBK" w:cs="方正仿宋_GBK"/>
          <w:sz w:val="28"/>
          <w:szCs w:val="28"/>
        </w:rPr>
        <w:fldChar w:fldCharType="end"/>
      </w:r>
      <w:r>
        <w:rPr>
          <w:rFonts w:hint="eastAsia" w:ascii="Times New Roman" w:hAnsi="Times New Roman" w:eastAsia="方正仿宋_GBK" w:cs="方正仿宋_GBK"/>
          <w:bCs w:val="0"/>
          <w:sz w:val="28"/>
          <w:szCs w:val="28"/>
        </w:rPr>
        <w:fldChar w:fldCharType="end"/>
      </w:r>
    </w:p>
    <w:p w14:paraId="347E0E7A">
      <w:pPr>
        <w:pStyle w:val="9"/>
        <w:tabs>
          <w:tab w:val="right" w:leader="dot" w:pos="8838"/>
          <w:tab w:val="clear" w:pos="8296"/>
        </w:tabs>
        <w:rPr>
          <w:rFonts w:hint="eastAsia" w:ascii="Times New Roman" w:hAnsi="Times New Roman" w:eastAsia="方正仿宋_GBK" w:cs="方正仿宋_GBK"/>
          <w:sz w:val="28"/>
          <w:szCs w:val="28"/>
        </w:rPr>
      </w:pPr>
      <w:r>
        <w:rPr>
          <w:rFonts w:hint="eastAsia" w:ascii="Times New Roman" w:hAnsi="Times New Roman" w:eastAsia="方正仿宋_GBK" w:cs="方正仿宋_GBK"/>
          <w:bCs w:val="0"/>
          <w:sz w:val="28"/>
          <w:szCs w:val="28"/>
        </w:rPr>
        <w:fldChar w:fldCharType="begin"/>
      </w:r>
      <w:r>
        <w:rPr>
          <w:rFonts w:hint="eastAsia" w:ascii="Times New Roman" w:hAnsi="Times New Roman" w:eastAsia="方正仿宋_GBK" w:cs="方正仿宋_GBK"/>
          <w:bCs w:val="0"/>
          <w:sz w:val="28"/>
          <w:szCs w:val="28"/>
        </w:rPr>
        <w:instrText xml:space="preserve"> HYPERLINK \l _Toc2016024512 </w:instrText>
      </w:r>
      <w:r>
        <w:rPr>
          <w:rFonts w:hint="eastAsia" w:ascii="Times New Roman" w:hAnsi="Times New Roman" w:eastAsia="方正仿宋_GBK" w:cs="方正仿宋_GBK"/>
          <w:bCs w:val="0"/>
          <w:sz w:val="28"/>
          <w:szCs w:val="28"/>
        </w:rPr>
        <w:fldChar w:fldCharType="separate"/>
      </w:r>
      <w:r>
        <w:rPr>
          <w:rFonts w:hint="eastAsia" w:ascii="Times New Roman" w:hAnsi="Times New Roman" w:eastAsia="方正仿宋_GBK" w:cs="方正仿宋_GBK"/>
          <w:bCs w:val="0"/>
          <w:sz w:val="28"/>
          <w:szCs w:val="28"/>
          <w:highlight w:val="none"/>
        </w:rPr>
        <w:t>（三）一般公共预算财政拨款支出决算具体情况</w:t>
      </w:r>
      <w:r>
        <w:rPr>
          <w:rFonts w:hint="eastAsia" w:ascii="Times New Roman" w:hAnsi="Times New Roman" w:eastAsia="方正仿宋_GBK" w:cs="方正仿宋_GBK"/>
          <w:sz w:val="28"/>
          <w:szCs w:val="28"/>
        </w:rPr>
        <w:tab/>
      </w:r>
      <w:r>
        <w:rPr>
          <w:rFonts w:hint="eastAsia" w:ascii="Times New Roman" w:hAnsi="Times New Roman" w:eastAsia="方正仿宋_GBK" w:cs="方正仿宋_GBK"/>
          <w:sz w:val="28"/>
          <w:szCs w:val="28"/>
        </w:rPr>
        <w:fldChar w:fldCharType="begin"/>
      </w:r>
      <w:r>
        <w:rPr>
          <w:rFonts w:hint="eastAsia" w:ascii="Times New Roman" w:hAnsi="Times New Roman" w:eastAsia="方正仿宋_GBK" w:cs="方正仿宋_GBK"/>
          <w:sz w:val="28"/>
          <w:szCs w:val="28"/>
        </w:rPr>
        <w:instrText xml:space="preserve"> PAGEREF _Toc2016024512 \h </w:instrText>
      </w:r>
      <w:r>
        <w:rPr>
          <w:rFonts w:hint="eastAsia" w:ascii="Times New Roman" w:hAnsi="Times New Roman" w:eastAsia="方正仿宋_GBK" w:cs="方正仿宋_GBK"/>
          <w:sz w:val="28"/>
          <w:szCs w:val="28"/>
        </w:rPr>
        <w:fldChar w:fldCharType="separate"/>
      </w:r>
      <w:r>
        <w:rPr>
          <w:rFonts w:hint="eastAsia" w:ascii="Times New Roman" w:hAnsi="Times New Roman" w:eastAsia="方正仿宋_GBK" w:cs="方正仿宋_GBK"/>
          <w:sz w:val="28"/>
          <w:szCs w:val="28"/>
        </w:rPr>
        <w:t>9</w:t>
      </w:r>
      <w:r>
        <w:rPr>
          <w:rFonts w:hint="eastAsia" w:ascii="Times New Roman" w:hAnsi="Times New Roman" w:eastAsia="方正仿宋_GBK" w:cs="方正仿宋_GBK"/>
          <w:sz w:val="28"/>
          <w:szCs w:val="28"/>
        </w:rPr>
        <w:fldChar w:fldCharType="end"/>
      </w:r>
      <w:r>
        <w:rPr>
          <w:rFonts w:hint="eastAsia" w:ascii="Times New Roman" w:hAnsi="Times New Roman" w:eastAsia="方正仿宋_GBK" w:cs="方正仿宋_GBK"/>
          <w:bCs w:val="0"/>
          <w:sz w:val="28"/>
          <w:szCs w:val="28"/>
        </w:rPr>
        <w:fldChar w:fldCharType="end"/>
      </w:r>
    </w:p>
    <w:p w14:paraId="562F3165">
      <w:pPr>
        <w:pStyle w:val="15"/>
        <w:tabs>
          <w:tab w:val="right" w:leader="dot" w:pos="8838"/>
          <w:tab w:val="clear" w:pos="8296"/>
        </w:tabs>
        <w:rPr>
          <w:rFonts w:hint="eastAsia" w:ascii="Times New Roman" w:hAnsi="Times New Roman" w:eastAsia="方正仿宋_GBK" w:cs="方正仿宋_GBK"/>
          <w:bCs w:val="0"/>
          <w:sz w:val="28"/>
          <w:szCs w:val="28"/>
          <w:lang w:eastAsia="zh-CN"/>
        </w:rPr>
      </w:pPr>
      <w:r>
        <w:rPr>
          <w:rFonts w:hint="eastAsia" w:ascii="Times New Roman" w:hAnsi="Times New Roman" w:eastAsia="方正仿宋_GBK" w:cs="方正仿宋_GBK"/>
          <w:bCs w:val="0"/>
          <w:sz w:val="28"/>
          <w:szCs w:val="28"/>
          <w:lang w:eastAsia="zh-CN"/>
        </w:rPr>
        <w:fldChar w:fldCharType="begin"/>
      </w:r>
      <w:r>
        <w:rPr>
          <w:rFonts w:hint="eastAsia" w:ascii="Times New Roman" w:hAnsi="Times New Roman" w:eastAsia="方正仿宋_GBK" w:cs="方正仿宋_GBK"/>
          <w:bCs w:val="0"/>
          <w:sz w:val="28"/>
          <w:szCs w:val="28"/>
          <w:lang w:eastAsia="zh-CN"/>
        </w:rPr>
        <w:instrText xml:space="preserve"> HYPERLINK \l _Toc292469080 </w:instrText>
      </w:r>
      <w:r>
        <w:rPr>
          <w:rFonts w:hint="eastAsia" w:ascii="Times New Roman" w:hAnsi="Times New Roman" w:eastAsia="方正仿宋_GBK" w:cs="方正仿宋_GBK"/>
          <w:bCs w:val="0"/>
          <w:sz w:val="28"/>
          <w:szCs w:val="28"/>
          <w:lang w:eastAsia="zh-CN"/>
        </w:rPr>
        <w:fldChar w:fldCharType="separate"/>
      </w:r>
      <w:r>
        <w:rPr>
          <w:rFonts w:hint="eastAsia" w:ascii="Times New Roman" w:hAnsi="Times New Roman" w:eastAsia="方正仿宋_GBK" w:cs="方正仿宋_GBK"/>
          <w:bCs w:val="0"/>
          <w:sz w:val="28"/>
          <w:szCs w:val="28"/>
          <w:lang w:eastAsia="zh-CN"/>
        </w:rPr>
        <w:t>六、一般公共预算财政拨款基本支出决算情况说明</w:t>
      </w:r>
      <w:r>
        <w:rPr>
          <w:rFonts w:hint="eastAsia" w:ascii="Times New Roman" w:hAnsi="Times New Roman" w:eastAsia="方正仿宋_GBK" w:cs="方正仿宋_GBK"/>
          <w:bCs w:val="0"/>
          <w:sz w:val="28"/>
          <w:szCs w:val="28"/>
          <w:lang w:eastAsia="zh-CN"/>
        </w:rPr>
        <w:tab/>
      </w:r>
      <w:r>
        <w:rPr>
          <w:rFonts w:hint="eastAsia" w:ascii="Times New Roman" w:hAnsi="Times New Roman" w:eastAsia="方正仿宋_GBK" w:cs="方正仿宋_GBK"/>
          <w:bCs w:val="0"/>
          <w:sz w:val="28"/>
          <w:szCs w:val="28"/>
          <w:lang w:eastAsia="zh-CN"/>
        </w:rPr>
        <w:fldChar w:fldCharType="begin"/>
      </w:r>
      <w:r>
        <w:rPr>
          <w:rFonts w:hint="eastAsia" w:ascii="Times New Roman" w:hAnsi="Times New Roman" w:eastAsia="方正仿宋_GBK" w:cs="方正仿宋_GBK"/>
          <w:bCs w:val="0"/>
          <w:sz w:val="28"/>
          <w:szCs w:val="28"/>
          <w:lang w:eastAsia="zh-CN"/>
        </w:rPr>
        <w:instrText xml:space="preserve"> PAGEREF _Toc292469080 \h </w:instrText>
      </w:r>
      <w:r>
        <w:rPr>
          <w:rFonts w:hint="eastAsia" w:ascii="Times New Roman" w:hAnsi="Times New Roman" w:eastAsia="方正仿宋_GBK" w:cs="方正仿宋_GBK"/>
          <w:bCs w:val="0"/>
          <w:sz w:val="28"/>
          <w:szCs w:val="28"/>
          <w:lang w:eastAsia="zh-CN"/>
        </w:rPr>
        <w:fldChar w:fldCharType="separate"/>
      </w:r>
      <w:r>
        <w:rPr>
          <w:rFonts w:hint="eastAsia" w:ascii="Times New Roman" w:hAnsi="Times New Roman" w:eastAsia="方正仿宋_GBK" w:cs="方正仿宋_GBK"/>
          <w:bCs w:val="0"/>
          <w:sz w:val="28"/>
          <w:szCs w:val="28"/>
          <w:lang w:eastAsia="zh-CN"/>
        </w:rPr>
        <w:t>11</w:t>
      </w:r>
      <w:r>
        <w:rPr>
          <w:rFonts w:hint="eastAsia" w:ascii="Times New Roman" w:hAnsi="Times New Roman" w:eastAsia="方正仿宋_GBK" w:cs="方正仿宋_GBK"/>
          <w:bCs w:val="0"/>
          <w:sz w:val="28"/>
          <w:szCs w:val="28"/>
          <w:lang w:eastAsia="zh-CN"/>
        </w:rPr>
        <w:fldChar w:fldCharType="end"/>
      </w:r>
      <w:r>
        <w:rPr>
          <w:rFonts w:hint="eastAsia" w:ascii="Times New Roman" w:hAnsi="Times New Roman" w:eastAsia="方正仿宋_GBK" w:cs="方正仿宋_GBK"/>
          <w:bCs w:val="0"/>
          <w:sz w:val="28"/>
          <w:szCs w:val="28"/>
          <w:lang w:eastAsia="zh-CN"/>
        </w:rPr>
        <w:fldChar w:fldCharType="end"/>
      </w:r>
    </w:p>
    <w:p w14:paraId="7723DDF9">
      <w:pPr>
        <w:pStyle w:val="15"/>
        <w:tabs>
          <w:tab w:val="right" w:leader="dot" w:pos="8838"/>
          <w:tab w:val="clear" w:pos="8296"/>
        </w:tabs>
        <w:rPr>
          <w:rFonts w:hint="eastAsia" w:ascii="Times New Roman" w:hAnsi="Times New Roman" w:eastAsia="方正仿宋_GBK" w:cs="方正仿宋_GBK"/>
          <w:bCs w:val="0"/>
          <w:sz w:val="28"/>
          <w:szCs w:val="28"/>
          <w:lang w:eastAsia="zh-CN"/>
        </w:rPr>
      </w:pPr>
      <w:r>
        <w:rPr>
          <w:rFonts w:hint="eastAsia" w:ascii="Times New Roman" w:hAnsi="Times New Roman" w:eastAsia="方正仿宋_GBK" w:cs="方正仿宋_GBK"/>
          <w:bCs w:val="0"/>
          <w:sz w:val="28"/>
          <w:szCs w:val="28"/>
          <w:lang w:eastAsia="zh-CN"/>
        </w:rPr>
        <w:fldChar w:fldCharType="begin"/>
      </w:r>
      <w:r>
        <w:rPr>
          <w:rFonts w:hint="eastAsia" w:ascii="Times New Roman" w:hAnsi="Times New Roman" w:eastAsia="方正仿宋_GBK" w:cs="方正仿宋_GBK"/>
          <w:bCs w:val="0"/>
          <w:sz w:val="28"/>
          <w:szCs w:val="28"/>
          <w:lang w:eastAsia="zh-CN"/>
        </w:rPr>
        <w:instrText xml:space="preserve"> HYPERLINK \l _Toc1884252096 </w:instrText>
      </w:r>
      <w:r>
        <w:rPr>
          <w:rFonts w:hint="eastAsia" w:ascii="Times New Roman" w:hAnsi="Times New Roman" w:eastAsia="方正仿宋_GBK" w:cs="方正仿宋_GBK"/>
          <w:bCs w:val="0"/>
          <w:sz w:val="28"/>
          <w:szCs w:val="28"/>
          <w:lang w:eastAsia="zh-CN"/>
        </w:rPr>
        <w:fldChar w:fldCharType="separate"/>
      </w:r>
      <w:r>
        <w:rPr>
          <w:rFonts w:hint="eastAsia" w:ascii="Times New Roman" w:hAnsi="Times New Roman" w:eastAsia="方正仿宋_GBK" w:cs="方正仿宋_GBK"/>
          <w:bCs w:val="0"/>
          <w:sz w:val="28"/>
          <w:szCs w:val="28"/>
          <w:lang w:eastAsia="zh-CN"/>
        </w:rPr>
        <w:t>七、财政拨款“三公”经费支出决算情况说明</w:t>
      </w:r>
      <w:r>
        <w:rPr>
          <w:rFonts w:hint="eastAsia" w:ascii="Times New Roman" w:hAnsi="Times New Roman" w:eastAsia="方正仿宋_GBK" w:cs="方正仿宋_GBK"/>
          <w:bCs w:val="0"/>
          <w:sz w:val="28"/>
          <w:szCs w:val="28"/>
          <w:lang w:eastAsia="zh-CN"/>
        </w:rPr>
        <w:tab/>
      </w:r>
      <w:r>
        <w:rPr>
          <w:rFonts w:hint="eastAsia" w:ascii="Times New Roman" w:hAnsi="Times New Roman" w:eastAsia="方正仿宋_GBK" w:cs="方正仿宋_GBK"/>
          <w:bCs w:val="0"/>
          <w:sz w:val="28"/>
          <w:szCs w:val="28"/>
          <w:lang w:eastAsia="zh-CN"/>
        </w:rPr>
        <w:fldChar w:fldCharType="begin"/>
      </w:r>
      <w:r>
        <w:rPr>
          <w:rFonts w:hint="eastAsia" w:ascii="Times New Roman" w:hAnsi="Times New Roman" w:eastAsia="方正仿宋_GBK" w:cs="方正仿宋_GBK"/>
          <w:bCs w:val="0"/>
          <w:sz w:val="28"/>
          <w:szCs w:val="28"/>
          <w:lang w:eastAsia="zh-CN"/>
        </w:rPr>
        <w:instrText xml:space="preserve"> PAGEREF _Toc1884252096 \h </w:instrText>
      </w:r>
      <w:r>
        <w:rPr>
          <w:rFonts w:hint="eastAsia" w:ascii="Times New Roman" w:hAnsi="Times New Roman" w:eastAsia="方正仿宋_GBK" w:cs="方正仿宋_GBK"/>
          <w:bCs w:val="0"/>
          <w:sz w:val="28"/>
          <w:szCs w:val="28"/>
          <w:lang w:eastAsia="zh-CN"/>
        </w:rPr>
        <w:fldChar w:fldCharType="separate"/>
      </w:r>
      <w:r>
        <w:rPr>
          <w:rFonts w:hint="eastAsia" w:ascii="Times New Roman" w:hAnsi="Times New Roman" w:eastAsia="方正仿宋_GBK" w:cs="方正仿宋_GBK"/>
          <w:bCs w:val="0"/>
          <w:sz w:val="28"/>
          <w:szCs w:val="28"/>
          <w:lang w:eastAsia="zh-CN"/>
        </w:rPr>
        <w:t>11</w:t>
      </w:r>
      <w:r>
        <w:rPr>
          <w:rFonts w:hint="eastAsia" w:ascii="Times New Roman" w:hAnsi="Times New Roman" w:eastAsia="方正仿宋_GBK" w:cs="方正仿宋_GBK"/>
          <w:bCs w:val="0"/>
          <w:sz w:val="28"/>
          <w:szCs w:val="28"/>
          <w:lang w:eastAsia="zh-CN"/>
        </w:rPr>
        <w:fldChar w:fldCharType="end"/>
      </w:r>
      <w:r>
        <w:rPr>
          <w:rFonts w:hint="eastAsia" w:ascii="Times New Roman" w:hAnsi="Times New Roman" w:eastAsia="方正仿宋_GBK" w:cs="方正仿宋_GBK"/>
          <w:bCs w:val="0"/>
          <w:sz w:val="28"/>
          <w:szCs w:val="28"/>
          <w:lang w:eastAsia="zh-CN"/>
        </w:rPr>
        <w:fldChar w:fldCharType="end"/>
      </w:r>
    </w:p>
    <w:p w14:paraId="11193218">
      <w:pPr>
        <w:pStyle w:val="9"/>
        <w:tabs>
          <w:tab w:val="right" w:leader="dot" w:pos="8838"/>
          <w:tab w:val="clear" w:pos="8296"/>
        </w:tabs>
        <w:rPr>
          <w:rFonts w:hint="eastAsia" w:ascii="Times New Roman" w:hAnsi="Times New Roman" w:eastAsia="方正仿宋_GBK" w:cs="方正仿宋_GBK"/>
          <w:bCs w:val="0"/>
          <w:sz w:val="28"/>
          <w:szCs w:val="28"/>
        </w:rPr>
      </w:pPr>
      <w:r>
        <w:rPr>
          <w:rFonts w:hint="eastAsia" w:ascii="Times New Roman" w:hAnsi="Times New Roman" w:eastAsia="方正仿宋_GBK" w:cs="方正仿宋_GBK"/>
          <w:bCs w:val="0"/>
          <w:sz w:val="28"/>
          <w:szCs w:val="28"/>
        </w:rPr>
        <w:fldChar w:fldCharType="begin"/>
      </w:r>
      <w:r>
        <w:rPr>
          <w:rFonts w:hint="eastAsia" w:ascii="Times New Roman" w:hAnsi="Times New Roman" w:eastAsia="方正仿宋_GBK" w:cs="方正仿宋_GBK"/>
          <w:bCs w:val="0"/>
          <w:sz w:val="28"/>
          <w:szCs w:val="28"/>
        </w:rPr>
        <w:instrText xml:space="preserve"> HYPERLINK \l _Toc979232081 </w:instrText>
      </w:r>
      <w:r>
        <w:rPr>
          <w:rFonts w:hint="eastAsia" w:ascii="Times New Roman" w:hAnsi="Times New Roman" w:eastAsia="方正仿宋_GBK" w:cs="方正仿宋_GBK"/>
          <w:bCs w:val="0"/>
          <w:sz w:val="28"/>
          <w:szCs w:val="28"/>
        </w:rPr>
        <w:fldChar w:fldCharType="separate"/>
      </w:r>
      <w:r>
        <w:rPr>
          <w:rFonts w:hint="eastAsia" w:ascii="Times New Roman" w:hAnsi="Times New Roman" w:eastAsia="方正仿宋_GBK" w:cs="方正仿宋_GBK"/>
          <w:bCs w:val="0"/>
          <w:sz w:val="28"/>
          <w:szCs w:val="28"/>
        </w:rPr>
        <w:t>（一）财政拨款“三公”经费支出决算总体情况说明</w:t>
      </w:r>
      <w:r>
        <w:rPr>
          <w:rFonts w:hint="eastAsia" w:ascii="Times New Roman" w:hAnsi="Times New Roman" w:eastAsia="方正仿宋_GBK" w:cs="方正仿宋_GBK"/>
          <w:bCs w:val="0"/>
          <w:sz w:val="28"/>
          <w:szCs w:val="28"/>
        </w:rPr>
        <w:tab/>
      </w:r>
      <w:r>
        <w:rPr>
          <w:rFonts w:hint="eastAsia" w:ascii="Times New Roman" w:hAnsi="Times New Roman" w:eastAsia="方正仿宋_GBK" w:cs="方正仿宋_GBK"/>
          <w:bCs w:val="0"/>
          <w:sz w:val="28"/>
          <w:szCs w:val="28"/>
        </w:rPr>
        <w:fldChar w:fldCharType="begin"/>
      </w:r>
      <w:r>
        <w:rPr>
          <w:rFonts w:hint="eastAsia" w:ascii="Times New Roman" w:hAnsi="Times New Roman" w:eastAsia="方正仿宋_GBK" w:cs="方正仿宋_GBK"/>
          <w:bCs w:val="0"/>
          <w:sz w:val="28"/>
          <w:szCs w:val="28"/>
        </w:rPr>
        <w:instrText xml:space="preserve"> PAGEREF _Toc979232081 \h </w:instrText>
      </w:r>
      <w:r>
        <w:rPr>
          <w:rFonts w:hint="eastAsia" w:ascii="Times New Roman" w:hAnsi="Times New Roman" w:eastAsia="方正仿宋_GBK" w:cs="方正仿宋_GBK"/>
          <w:bCs w:val="0"/>
          <w:sz w:val="28"/>
          <w:szCs w:val="28"/>
        </w:rPr>
        <w:fldChar w:fldCharType="separate"/>
      </w:r>
      <w:r>
        <w:rPr>
          <w:rFonts w:hint="eastAsia" w:ascii="Times New Roman" w:hAnsi="Times New Roman" w:eastAsia="方正仿宋_GBK" w:cs="方正仿宋_GBK"/>
          <w:bCs w:val="0"/>
          <w:sz w:val="28"/>
          <w:szCs w:val="28"/>
        </w:rPr>
        <w:t>11</w:t>
      </w:r>
      <w:r>
        <w:rPr>
          <w:rFonts w:hint="eastAsia" w:ascii="Times New Roman" w:hAnsi="Times New Roman" w:eastAsia="方正仿宋_GBK" w:cs="方正仿宋_GBK"/>
          <w:bCs w:val="0"/>
          <w:sz w:val="28"/>
          <w:szCs w:val="28"/>
        </w:rPr>
        <w:fldChar w:fldCharType="end"/>
      </w:r>
      <w:r>
        <w:rPr>
          <w:rFonts w:hint="eastAsia" w:ascii="Times New Roman" w:hAnsi="Times New Roman" w:eastAsia="方正仿宋_GBK" w:cs="方正仿宋_GBK"/>
          <w:bCs w:val="0"/>
          <w:sz w:val="28"/>
          <w:szCs w:val="28"/>
        </w:rPr>
        <w:fldChar w:fldCharType="end"/>
      </w:r>
    </w:p>
    <w:p w14:paraId="52E89553">
      <w:pPr>
        <w:pStyle w:val="9"/>
        <w:tabs>
          <w:tab w:val="right" w:leader="dot" w:pos="8838"/>
          <w:tab w:val="clear" w:pos="8296"/>
        </w:tabs>
        <w:rPr>
          <w:rFonts w:hint="eastAsia" w:ascii="Times New Roman" w:hAnsi="Times New Roman" w:eastAsia="方正仿宋_GBK" w:cs="方正仿宋_GBK"/>
          <w:bCs w:val="0"/>
          <w:sz w:val="28"/>
          <w:szCs w:val="28"/>
        </w:rPr>
      </w:pPr>
      <w:r>
        <w:rPr>
          <w:rFonts w:hint="eastAsia" w:ascii="Times New Roman" w:hAnsi="Times New Roman" w:eastAsia="方正仿宋_GBK" w:cs="方正仿宋_GBK"/>
          <w:bCs w:val="0"/>
          <w:sz w:val="28"/>
          <w:szCs w:val="28"/>
        </w:rPr>
        <w:fldChar w:fldCharType="begin"/>
      </w:r>
      <w:r>
        <w:rPr>
          <w:rFonts w:hint="eastAsia" w:ascii="Times New Roman" w:hAnsi="Times New Roman" w:eastAsia="方正仿宋_GBK" w:cs="方正仿宋_GBK"/>
          <w:bCs w:val="0"/>
          <w:sz w:val="28"/>
          <w:szCs w:val="28"/>
        </w:rPr>
        <w:instrText xml:space="preserve"> HYPERLINK \l _Toc1075524194 </w:instrText>
      </w:r>
      <w:r>
        <w:rPr>
          <w:rFonts w:hint="eastAsia" w:ascii="Times New Roman" w:hAnsi="Times New Roman" w:eastAsia="方正仿宋_GBK" w:cs="方正仿宋_GBK"/>
          <w:bCs w:val="0"/>
          <w:sz w:val="28"/>
          <w:szCs w:val="28"/>
        </w:rPr>
        <w:fldChar w:fldCharType="separate"/>
      </w:r>
      <w:r>
        <w:rPr>
          <w:rFonts w:hint="eastAsia" w:ascii="Times New Roman" w:hAnsi="Times New Roman" w:eastAsia="方正仿宋_GBK" w:cs="方正仿宋_GBK"/>
          <w:bCs w:val="0"/>
          <w:sz w:val="28"/>
          <w:szCs w:val="28"/>
        </w:rPr>
        <w:t>（二）财政拨款“三公”经费支出决算具体情况说明</w:t>
      </w:r>
      <w:r>
        <w:rPr>
          <w:rFonts w:hint="eastAsia" w:ascii="Times New Roman" w:hAnsi="Times New Roman" w:eastAsia="方正仿宋_GBK" w:cs="方正仿宋_GBK"/>
          <w:bCs w:val="0"/>
          <w:sz w:val="28"/>
          <w:szCs w:val="28"/>
        </w:rPr>
        <w:tab/>
      </w:r>
      <w:r>
        <w:rPr>
          <w:rFonts w:hint="eastAsia" w:ascii="Times New Roman" w:hAnsi="Times New Roman" w:eastAsia="方正仿宋_GBK" w:cs="方正仿宋_GBK"/>
          <w:bCs w:val="0"/>
          <w:sz w:val="28"/>
          <w:szCs w:val="28"/>
        </w:rPr>
        <w:fldChar w:fldCharType="begin"/>
      </w:r>
      <w:r>
        <w:rPr>
          <w:rFonts w:hint="eastAsia" w:ascii="Times New Roman" w:hAnsi="Times New Roman" w:eastAsia="方正仿宋_GBK" w:cs="方正仿宋_GBK"/>
          <w:bCs w:val="0"/>
          <w:sz w:val="28"/>
          <w:szCs w:val="28"/>
        </w:rPr>
        <w:instrText xml:space="preserve"> PAGEREF _Toc1075524194 \h </w:instrText>
      </w:r>
      <w:r>
        <w:rPr>
          <w:rFonts w:hint="eastAsia" w:ascii="Times New Roman" w:hAnsi="Times New Roman" w:eastAsia="方正仿宋_GBK" w:cs="方正仿宋_GBK"/>
          <w:bCs w:val="0"/>
          <w:sz w:val="28"/>
          <w:szCs w:val="28"/>
        </w:rPr>
        <w:fldChar w:fldCharType="separate"/>
      </w:r>
      <w:r>
        <w:rPr>
          <w:rFonts w:hint="eastAsia" w:ascii="Times New Roman" w:hAnsi="Times New Roman" w:eastAsia="方正仿宋_GBK" w:cs="方正仿宋_GBK"/>
          <w:bCs w:val="0"/>
          <w:sz w:val="28"/>
          <w:szCs w:val="28"/>
        </w:rPr>
        <w:t>12</w:t>
      </w:r>
      <w:r>
        <w:rPr>
          <w:rFonts w:hint="eastAsia" w:ascii="Times New Roman" w:hAnsi="Times New Roman" w:eastAsia="方正仿宋_GBK" w:cs="方正仿宋_GBK"/>
          <w:bCs w:val="0"/>
          <w:sz w:val="28"/>
          <w:szCs w:val="28"/>
        </w:rPr>
        <w:fldChar w:fldCharType="end"/>
      </w:r>
      <w:r>
        <w:rPr>
          <w:rFonts w:hint="eastAsia" w:ascii="Times New Roman" w:hAnsi="Times New Roman" w:eastAsia="方正仿宋_GBK" w:cs="方正仿宋_GBK"/>
          <w:bCs w:val="0"/>
          <w:sz w:val="28"/>
          <w:szCs w:val="28"/>
        </w:rPr>
        <w:fldChar w:fldCharType="end"/>
      </w:r>
    </w:p>
    <w:p w14:paraId="5465CF84">
      <w:pPr>
        <w:pStyle w:val="15"/>
        <w:tabs>
          <w:tab w:val="right" w:leader="dot" w:pos="8838"/>
          <w:tab w:val="clear" w:pos="8296"/>
        </w:tabs>
        <w:rPr>
          <w:rFonts w:hint="eastAsia" w:ascii="Times New Roman" w:hAnsi="Times New Roman" w:eastAsia="方正仿宋_GBK" w:cs="方正仿宋_GBK"/>
          <w:bCs w:val="0"/>
          <w:sz w:val="28"/>
          <w:szCs w:val="28"/>
          <w:lang w:eastAsia="zh-CN"/>
        </w:rPr>
      </w:pPr>
      <w:r>
        <w:rPr>
          <w:rFonts w:hint="eastAsia" w:ascii="Times New Roman" w:hAnsi="Times New Roman" w:eastAsia="方正仿宋_GBK" w:cs="方正仿宋_GBK"/>
          <w:bCs w:val="0"/>
          <w:sz w:val="28"/>
          <w:szCs w:val="28"/>
          <w:lang w:eastAsia="zh-CN"/>
        </w:rPr>
        <w:fldChar w:fldCharType="begin"/>
      </w:r>
      <w:r>
        <w:rPr>
          <w:rFonts w:hint="eastAsia" w:ascii="Times New Roman" w:hAnsi="Times New Roman" w:eastAsia="方正仿宋_GBK" w:cs="方正仿宋_GBK"/>
          <w:bCs w:val="0"/>
          <w:sz w:val="28"/>
          <w:szCs w:val="28"/>
          <w:lang w:eastAsia="zh-CN"/>
        </w:rPr>
        <w:instrText xml:space="preserve"> HYPERLINK \l _Toc1840275857 </w:instrText>
      </w:r>
      <w:r>
        <w:rPr>
          <w:rFonts w:hint="eastAsia" w:ascii="Times New Roman" w:hAnsi="Times New Roman" w:eastAsia="方正仿宋_GBK" w:cs="方正仿宋_GBK"/>
          <w:bCs w:val="0"/>
          <w:sz w:val="28"/>
          <w:szCs w:val="28"/>
          <w:lang w:eastAsia="zh-CN"/>
        </w:rPr>
        <w:fldChar w:fldCharType="separate"/>
      </w:r>
      <w:r>
        <w:rPr>
          <w:rFonts w:hint="eastAsia" w:ascii="Times New Roman" w:hAnsi="Times New Roman" w:eastAsia="方正仿宋_GBK" w:cs="方正仿宋_GBK"/>
          <w:bCs w:val="0"/>
          <w:sz w:val="28"/>
          <w:szCs w:val="28"/>
          <w:lang w:eastAsia="zh-CN"/>
        </w:rPr>
        <w:t>八、政府性基金预算支出决算情况说明</w:t>
      </w:r>
      <w:r>
        <w:rPr>
          <w:rFonts w:hint="eastAsia" w:ascii="Times New Roman" w:hAnsi="Times New Roman" w:eastAsia="方正仿宋_GBK" w:cs="方正仿宋_GBK"/>
          <w:bCs w:val="0"/>
          <w:sz w:val="28"/>
          <w:szCs w:val="28"/>
          <w:lang w:eastAsia="zh-CN"/>
        </w:rPr>
        <w:tab/>
      </w:r>
      <w:r>
        <w:rPr>
          <w:rFonts w:hint="eastAsia" w:ascii="Times New Roman" w:hAnsi="Times New Roman" w:eastAsia="方正仿宋_GBK" w:cs="方正仿宋_GBK"/>
          <w:bCs w:val="0"/>
          <w:sz w:val="28"/>
          <w:szCs w:val="28"/>
          <w:lang w:eastAsia="zh-CN"/>
        </w:rPr>
        <w:fldChar w:fldCharType="begin"/>
      </w:r>
      <w:r>
        <w:rPr>
          <w:rFonts w:hint="eastAsia" w:ascii="Times New Roman" w:hAnsi="Times New Roman" w:eastAsia="方正仿宋_GBK" w:cs="方正仿宋_GBK"/>
          <w:bCs w:val="0"/>
          <w:sz w:val="28"/>
          <w:szCs w:val="28"/>
          <w:lang w:eastAsia="zh-CN"/>
        </w:rPr>
        <w:instrText xml:space="preserve"> PAGEREF _Toc1840275857 \h </w:instrText>
      </w:r>
      <w:r>
        <w:rPr>
          <w:rFonts w:hint="eastAsia" w:ascii="Times New Roman" w:hAnsi="Times New Roman" w:eastAsia="方正仿宋_GBK" w:cs="方正仿宋_GBK"/>
          <w:bCs w:val="0"/>
          <w:sz w:val="28"/>
          <w:szCs w:val="28"/>
          <w:lang w:eastAsia="zh-CN"/>
        </w:rPr>
        <w:fldChar w:fldCharType="separate"/>
      </w:r>
      <w:r>
        <w:rPr>
          <w:rFonts w:hint="eastAsia" w:ascii="Times New Roman" w:hAnsi="Times New Roman" w:eastAsia="方正仿宋_GBK" w:cs="方正仿宋_GBK"/>
          <w:bCs w:val="0"/>
          <w:sz w:val="28"/>
          <w:szCs w:val="28"/>
          <w:lang w:eastAsia="zh-CN"/>
        </w:rPr>
        <w:t>14</w:t>
      </w:r>
      <w:r>
        <w:rPr>
          <w:rFonts w:hint="eastAsia" w:ascii="Times New Roman" w:hAnsi="Times New Roman" w:eastAsia="方正仿宋_GBK" w:cs="方正仿宋_GBK"/>
          <w:bCs w:val="0"/>
          <w:sz w:val="28"/>
          <w:szCs w:val="28"/>
          <w:lang w:eastAsia="zh-CN"/>
        </w:rPr>
        <w:fldChar w:fldCharType="end"/>
      </w:r>
      <w:r>
        <w:rPr>
          <w:rFonts w:hint="eastAsia" w:ascii="Times New Roman" w:hAnsi="Times New Roman" w:eastAsia="方正仿宋_GBK" w:cs="方正仿宋_GBK"/>
          <w:bCs w:val="0"/>
          <w:sz w:val="28"/>
          <w:szCs w:val="28"/>
          <w:lang w:eastAsia="zh-CN"/>
        </w:rPr>
        <w:fldChar w:fldCharType="end"/>
      </w:r>
    </w:p>
    <w:p w14:paraId="701F1374">
      <w:pPr>
        <w:pStyle w:val="15"/>
        <w:tabs>
          <w:tab w:val="right" w:leader="dot" w:pos="8838"/>
          <w:tab w:val="clear" w:pos="8296"/>
        </w:tabs>
        <w:rPr>
          <w:rFonts w:hint="eastAsia" w:ascii="Times New Roman" w:hAnsi="Times New Roman" w:eastAsia="方正仿宋_GBK" w:cs="方正仿宋_GBK"/>
          <w:bCs w:val="0"/>
          <w:sz w:val="28"/>
          <w:szCs w:val="28"/>
          <w:lang w:eastAsia="zh-CN"/>
        </w:rPr>
      </w:pPr>
      <w:r>
        <w:rPr>
          <w:rFonts w:hint="eastAsia" w:ascii="Times New Roman" w:hAnsi="Times New Roman" w:eastAsia="方正仿宋_GBK" w:cs="方正仿宋_GBK"/>
          <w:bCs w:val="0"/>
          <w:sz w:val="28"/>
          <w:szCs w:val="28"/>
          <w:lang w:eastAsia="zh-CN"/>
        </w:rPr>
        <w:fldChar w:fldCharType="begin"/>
      </w:r>
      <w:r>
        <w:rPr>
          <w:rFonts w:hint="eastAsia" w:ascii="Times New Roman" w:hAnsi="Times New Roman" w:eastAsia="方正仿宋_GBK" w:cs="方正仿宋_GBK"/>
          <w:bCs w:val="0"/>
          <w:sz w:val="28"/>
          <w:szCs w:val="28"/>
          <w:lang w:eastAsia="zh-CN"/>
        </w:rPr>
        <w:instrText xml:space="preserve"> HYPERLINK \l _Toc636932464 </w:instrText>
      </w:r>
      <w:r>
        <w:rPr>
          <w:rFonts w:hint="eastAsia" w:ascii="Times New Roman" w:hAnsi="Times New Roman" w:eastAsia="方正仿宋_GBK" w:cs="方正仿宋_GBK"/>
          <w:bCs w:val="0"/>
          <w:sz w:val="28"/>
          <w:szCs w:val="28"/>
          <w:lang w:eastAsia="zh-CN"/>
        </w:rPr>
        <w:fldChar w:fldCharType="separate"/>
      </w:r>
      <w:r>
        <w:rPr>
          <w:rFonts w:hint="eastAsia" w:ascii="Times New Roman" w:hAnsi="Times New Roman" w:eastAsia="方正仿宋_GBK" w:cs="方正仿宋_GBK"/>
          <w:bCs w:val="0"/>
          <w:sz w:val="28"/>
          <w:szCs w:val="28"/>
          <w:lang w:eastAsia="zh-CN"/>
        </w:rPr>
        <w:t>九、国有资本经营预算支出决算情况说明</w:t>
      </w:r>
      <w:r>
        <w:rPr>
          <w:rFonts w:hint="eastAsia" w:ascii="Times New Roman" w:hAnsi="Times New Roman" w:eastAsia="方正仿宋_GBK" w:cs="方正仿宋_GBK"/>
          <w:bCs w:val="0"/>
          <w:sz w:val="28"/>
          <w:szCs w:val="28"/>
          <w:lang w:eastAsia="zh-CN"/>
        </w:rPr>
        <w:tab/>
      </w:r>
      <w:r>
        <w:rPr>
          <w:rFonts w:hint="eastAsia" w:ascii="Times New Roman" w:hAnsi="Times New Roman" w:eastAsia="方正仿宋_GBK" w:cs="方正仿宋_GBK"/>
          <w:bCs w:val="0"/>
          <w:sz w:val="28"/>
          <w:szCs w:val="28"/>
          <w:lang w:eastAsia="zh-CN"/>
        </w:rPr>
        <w:fldChar w:fldCharType="begin"/>
      </w:r>
      <w:r>
        <w:rPr>
          <w:rFonts w:hint="eastAsia" w:ascii="Times New Roman" w:hAnsi="Times New Roman" w:eastAsia="方正仿宋_GBK" w:cs="方正仿宋_GBK"/>
          <w:bCs w:val="0"/>
          <w:sz w:val="28"/>
          <w:szCs w:val="28"/>
          <w:lang w:eastAsia="zh-CN"/>
        </w:rPr>
        <w:instrText xml:space="preserve"> PAGEREF _Toc636932464 \h </w:instrText>
      </w:r>
      <w:r>
        <w:rPr>
          <w:rFonts w:hint="eastAsia" w:ascii="Times New Roman" w:hAnsi="Times New Roman" w:eastAsia="方正仿宋_GBK" w:cs="方正仿宋_GBK"/>
          <w:bCs w:val="0"/>
          <w:sz w:val="28"/>
          <w:szCs w:val="28"/>
          <w:lang w:eastAsia="zh-CN"/>
        </w:rPr>
        <w:fldChar w:fldCharType="separate"/>
      </w:r>
      <w:r>
        <w:rPr>
          <w:rFonts w:hint="eastAsia" w:ascii="Times New Roman" w:hAnsi="Times New Roman" w:eastAsia="方正仿宋_GBK" w:cs="方正仿宋_GBK"/>
          <w:bCs w:val="0"/>
          <w:sz w:val="28"/>
          <w:szCs w:val="28"/>
          <w:lang w:eastAsia="zh-CN"/>
        </w:rPr>
        <w:t>14</w:t>
      </w:r>
      <w:r>
        <w:rPr>
          <w:rFonts w:hint="eastAsia" w:ascii="Times New Roman" w:hAnsi="Times New Roman" w:eastAsia="方正仿宋_GBK" w:cs="方正仿宋_GBK"/>
          <w:bCs w:val="0"/>
          <w:sz w:val="28"/>
          <w:szCs w:val="28"/>
          <w:lang w:eastAsia="zh-CN"/>
        </w:rPr>
        <w:fldChar w:fldCharType="end"/>
      </w:r>
      <w:r>
        <w:rPr>
          <w:rFonts w:hint="eastAsia" w:ascii="Times New Roman" w:hAnsi="Times New Roman" w:eastAsia="方正仿宋_GBK" w:cs="方正仿宋_GBK"/>
          <w:bCs w:val="0"/>
          <w:sz w:val="28"/>
          <w:szCs w:val="28"/>
          <w:lang w:eastAsia="zh-CN"/>
        </w:rPr>
        <w:fldChar w:fldCharType="end"/>
      </w:r>
    </w:p>
    <w:p w14:paraId="0ECC301E">
      <w:pPr>
        <w:pStyle w:val="15"/>
        <w:tabs>
          <w:tab w:val="right" w:leader="dot" w:pos="8838"/>
          <w:tab w:val="clear" w:pos="8296"/>
        </w:tabs>
        <w:rPr>
          <w:rFonts w:ascii="Times New Roman" w:hAnsi="Times New Roman"/>
        </w:rPr>
      </w:pPr>
      <w:r>
        <w:rPr>
          <w:rFonts w:hint="eastAsia" w:ascii="Times New Roman" w:hAnsi="Times New Roman" w:eastAsia="方正仿宋_GBK" w:cs="方正仿宋_GBK"/>
          <w:bCs w:val="0"/>
          <w:sz w:val="28"/>
          <w:szCs w:val="28"/>
          <w:lang w:eastAsia="zh-CN"/>
        </w:rPr>
        <w:fldChar w:fldCharType="begin"/>
      </w:r>
      <w:r>
        <w:rPr>
          <w:rFonts w:hint="eastAsia" w:ascii="Times New Roman" w:hAnsi="Times New Roman" w:eastAsia="方正仿宋_GBK" w:cs="方正仿宋_GBK"/>
          <w:bCs w:val="0"/>
          <w:sz w:val="28"/>
          <w:szCs w:val="28"/>
          <w:lang w:eastAsia="zh-CN"/>
        </w:rPr>
        <w:instrText xml:space="preserve"> HYPERLINK \l _Toc1181043999 </w:instrText>
      </w:r>
      <w:r>
        <w:rPr>
          <w:rFonts w:hint="eastAsia" w:ascii="Times New Roman" w:hAnsi="Times New Roman" w:eastAsia="方正仿宋_GBK" w:cs="方正仿宋_GBK"/>
          <w:bCs w:val="0"/>
          <w:sz w:val="28"/>
          <w:szCs w:val="28"/>
          <w:lang w:eastAsia="zh-CN"/>
        </w:rPr>
        <w:fldChar w:fldCharType="separate"/>
      </w:r>
      <w:r>
        <w:rPr>
          <w:rFonts w:hint="eastAsia" w:ascii="Times New Roman" w:hAnsi="Times New Roman" w:eastAsia="方正仿宋_GBK" w:cs="方正仿宋_GBK"/>
          <w:bCs w:val="0"/>
          <w:sz w:val="28"/>
          <w:szCs w:val="28"/>
          <w:lang w:eastAsia="zh-CN"/>
        </w:rPr>
        <w:t>十、其他重要事项的情况说明</w:t>
      </w:r>
      <w:r>
        <w:rPr>
          <w:rFonts w:hint="eastAsia" w:ascii="Times New Roman" w:hAnsi="Times New Roman" w:eastAsia="方正仿宋_GBK" w:cs="方正仿宋_GBK"/>
          <w:bCs w:val="0"/>
          <w:sz w:val="28"/>
          <w:szCs w:val="28"/>
          <w:lang w:eastAsia="zh-CN"/>
        </w:rPr>
        <w:tab/>
      </w:r>
      <w:r>
        <w:rPr>
          <w:rFonts w:hint="eastAsia" w:ascii="Times New Roman" w:hAnsi="Times New Roman" w:eastAsia="方正仿宋_GBK" w:cs="方正仿宋_GBK"/>
          <w:bCs w:val="0"/>
          <w:sz w:val="28"/>
          <w:szCs w:val="28"/>
          <w:lang w:eastAsia="zh-CN"/>
        </w:rPr>
        <w:fldChar w:fldCharType="begin"/>
      </w:r>
      <w:r>
        <w:rPr>
          <w:rFonts w:hint="eastAsia" w:ascii="Times New Roman" w:hAnsi="Times New Roman" w:eastAsia="方正仿宋_GBK" w:cs="方正仿宋_GBK"/>
          <w:bCs w:val="0"/>
          <w:sz w:val="28"/>
          <w:szCs w:val="28"/>
          <w:lang w:eastAsia="zh-CN"/>
        </w:rPr>
        <w:instrText xml:space="preserve"> PAGEREF _Toc1181043999 \h </w:instrText>
      </w:r>
      <w:r>
        <w:rPr>
          <w:rFonts w:hint="eastAsia" w:ascii="Times New Roman" w:hAnsi="Times New Roman" w:eastAsia="方正仿宋_GBK" w:cs="方正仿宋_GBK"/>
          <w:bCs w:val="0"/>
          <w:sz w:val="28"/>
          <w:szCs w:val="28"/>
          <w:lang w:eastAsia="zh-CN"/>
        </w:rPr>
        <w:fldChar w:fldCharType="separate"/>
      </w:r>
      <w:r>
        <w:rPr>
          <w:rFonts w:hint="eastAsia" w:ascii="Times New Roman" w:hAnsi="Times New Roman" w:eastAsia="方正仿宋_GBK" w:cs="方正仿宋_GBK"/>
          <w:bCs w:val="0"/>
          <w:sz w:val="28"/>
          <w:szCs w:val="28"/>
          <w:lang w:eastAsia="zh-CN"/>
        </w:rPr>
        <w:t>14</w:t>
      </w:r>
      <w:r>
        <w:rPr>
          <w:rFonts w:hint="eastAsia" w:ascii="Times New Roman" w:hAnsi="Times New Roman" w:eastAsia="方正仿宋_GBK" w:cs="方正仿宋_GBK"/>
          <w:bCs w:val="0"/>
          <w:sz w:val="28"/>
          <w:szCs w:val="28"/>
          <w:lang w:eastAsia="zh-CN"/>
        </w:rPr>
        <w:fldChar w:fldCharType="end"/>
      </w:r>
      <w:r>
        <w:rPr>
          <w:rFonts w:hint="eastAsia" w:ascii="Times New Roman" w:hAnsi="Times New Roman" w:eastAsia="方正仿宋_GBK" w:cs="方正仿宋_GBK"/>
          <w:bCs w:val="0"/>
          <w:sz w:val="28"/>
          <w:szCs w:val="28"/>
          <w:lang w:eastAsia="zh-CN"/>
        </w:rPr>
        <w:fldChar w:fldCharType="end"/>
      </w:r>
    </w:p>
    <w:p w14:paraId="1C5ACAEC">
      <w:pPr>
        <w:pStyle w:val="9"/>
        <w:tabs>
          <w:tab w:val="right" w:leader="dot" w:pos="8838"/>
          <w:tab w:val="clear" w:pos="8296"/>
        </w:tabs>
        <w:rPr>
          <w:rFonts w:hint="eastAsia" w:ascii="Times New Roman" w:hAnsi="Times New Roman" w:eastAsia="方正仿宋_GBK" w:cs="方正仿宋_GBK"/>
          <w:bCs w:val="0"/>
          <w:sz w:val="28"/>
          <w:szCs w:val="28"/>
        </w:rPr>
      </w:pPr>
      <w:r>
        <w:rPr>
          <w:rFonts w:hint="eastAsia" w:ascii="Times New Roman" w:hAnsi="Times New Roman" w:eastAsia="方正仿宋_GBK" w:cs="方正仿宋_GBK"/>
          <w:bCs w:val="0"/>
          <w:sz w:val="28"/>
          <w:szCs w:val="28"/>
        </w:rPr>
        <w:fldChar w:fldCharType="begin"/>
      </w:r>
      <w:r>
        <w:rPr>
          <w:rFonts w:hint="eastAsia" w:ascii="Times New Roman" w:hAnsi="Times New Roman" w:eastAsia="方正仿宋_GBK" w:cs="方正仿宋_GBK"/>
          <w:bCs w:val="0"/>
          <w:sz w:val="28"/>
          <w:szCs w:val="28"/>
        </w:rPr>
        <w:instrText xml:space="preserve"> HYPERLINK \l _Toc509116090 </w:instrText>
      </w:r>
      <w:r>
        <w:rPr>
          <w:rFonts w:hint="eastAsia" w:ascii="Times New Roman" w:hAnsi="Times New Roman" w:eastAsia="方正仿宋_GBK" w:cs="方正仿宋_GBK"/>
          <w:bCs w:val="0"/>
          <w:sz w:val="28"/>
          <w:szCs w:val="28"/>
        </w:rPr>
        <w:fldChar w:fldCharType="separate"/>
      </w:r>
      <w:r>
        <w:rPr>
          <w:rFonts w:hint="eastAsia" w:ascii="Times New Roman" w:hAnsi="Times New Roman" w:eastAsia="方正仿宋_GBK" w:cs="方正仿宋_GBK"/>
          <w:bCs w:val="0"/>
          <w:sz w:val="28"/>
          <w:szCs w:val="28"/>
        </w:rPr>
        <w:t>（一）机关运行经费支出情况</w:t>
      </w:r>
      <w:r>
        <w:rPr>
          <w:rFonts w:hint="eastAsia" w:ascii="Times New Roman" w:hAnsi="Times New Roman" w:eastAsia="方正仿宋_GBK" w:cs="方正仿宋_GBK"/>
          <w:bCs w:val="0"/>
          <w:sz w:val="28"/>
          <w:szCs w:val="28"/>
        </w:rPr>
        <w:tab/>
      </w:r>
      <w:r>
        <w:rPr>
          <w:rFonts w:hint="eastAsia" w:ascii="Times New Roman" w:hAnsi="Times New Roman" w:eastAsia="方正仿宋_GBK" w:cs="方正仿宋_GBK"/>
          <w:bCs w:val="0"/>
          <w:sz w:val="28"/>
          <w:szCs w:val="28"/>
        </w:rPr>
        <w:fldChar w:fldCharType="begin"/>
      </w:r>
      <w:r>
        <w:rPr>
          <w:rFonts w:hint="eastAsia" w:ascii="Times New Roman" w:hAnsi="Times New Roman" w:eastAsia="方正仿宋_GBK" w:cs="方正仿宋_GBK"/>
          <w:bCs w:val="0"/>
          <w:sz w:val="28"/>
          <w:szCs w:val="28"/>
        </w:rPr>
        <w:instrText xml:space="preserve"> PAGEREF _Toc509116090 \h </w:instrText>
      </w:r>
      <w:r>
        <w:rPr>
          <w:rFonts w:hint="eastAsia" w:ascii="Times New Roman" w:hAnsi="Times New Roman" w:eastAsia="方正仿宋_GBK" w:cs="方正仿宋_GBK"/>
          <w:bCs w:val="0"/>
          <w:sz w:val="28"/>
          <w:szCs w:val="28"/>
        </w:rPr>
        <w:fldChar w:fldCharType="separate"/>
      </w:r>
      <w:r>
        <w:rPr>
          <w:rFonts w:hint="eastAsia" w:ascii="Times New Roman" w:hAnsi="Times New Roman" w:eastAsia="方正仿宋_GBK" w:cs="方正仿宋_GBK"/>
          <w:bCs w:val="0"/>
          <w:sz w:val="28"/>
          <w:szCs w:val="28"/>
        </w:rPr>
        <w:t>14</w:t>
      </w:r>
      <w:r>
        <w:rPr>
          <w:rFonts w:hint="eastAsia" w:ascii="Times New Roman" w:hAnsi="Times New Roman" w:eastAsia="方正仿宋_GBK" w:cs="方正仿宋_GBK"/>
          <w:bCs w:val="0"/>
          <w:sz w:val="28"/>
          <w:szCs w:val="28"/>
        </w:rPr>
        <w:fldChar w:fldCharType="end"/>
      </w:r>
      <w:r>
        <w:rPr>
          <w:rFonts w:hint="eastAsia" w:ascii="Times New Roman" w:hAnsi="Times New Roman" w:eastAsia="方正仿宋_GBK" w:cs="方正仿宋_GBK"/>
          <w:bCs w:val="0"/>
          <w:sz w:val="28"/>
          <w:szCs w:val="28"/>
        </w:rPr>
        <w:fldChar w:fldCharType="end"/>
      </w:r>
    </w:p>
    <w:p w14:paraId="41DE93F8">
      <w:pPr>
        <w:pStyle w:val="9"/>
        <w:tabs>
          <w:tab w:val="right" w:leader="dot" w:pos="8838"/>
          <w:tab w:val="clear" w:pos="8296"/>
        </w:tabs>
        <w:rPr>
          <w:rFonts w:hint="eastAsia" w:ascii="Times New Roman" w:hAnsi="Times New Roman" w:eastAsia="方正仿宋_GBK" w:cs="方正仿宋_GBK"/>
          <w:bCs w:val="0"/>
          <w:sz w:val="28"/>
          <w:szCs w:val="28"/>
        </w:rPr>
      </w:pPr>
      <w:r>
        <w:rPr>
          <w:rFonts w:hint="eastAsia" w:ascii="Times New Roman" w:hAnsi="Times New Roman" w:eastAsia="方正仿宋_GBK" w:cs="方正仿宋_GBK"/>
          <w:bCs w:val="0"/>
          <w:sz w:val="28"/>
          <w:szCs w:val="28"/>
        </w:rPr>
        <w:fldChar w:fldCharType="begin"/>
      </w:r>
      <w:r>
        <w:rPr>
          <w:rFonts w:hint="eastAsia" w:ascii="Times New Roman" w:hAnsi="Times New Roman" w:eastAsia="方正仿宋_GBK" w:cs="方正仿宋_GBK"/>
          <w:bCs w:val="0"/>
          <w:sz w:val="28"/>
          <w:szCs w:val="28"/>
        </w:rPr>
        <w:instrText xml:space="preserve"> HYPERLINK \l _Toc1800793439 </w:instrText>
      </w:r>
      <w:r>
        <w:rPr>
          <w:rFonts w:hint="eastAsia" w:ascii="Times New Roman" w:hAnsi="Times New Roman" w:eastAsia="方正仿宋_GBK" w:cs="方正仿宋_GBK"/>
          <w:bCs w:val="0"/>
          <w:sz w:val="28"/>
          <w:szCs w:val="28"/>
        </w:rPr>
        <w:fldChar w:fldCharType="separate"/>
      </w:r>
      <w:r>
        <w:rPr>
          <w:rFonts w:hint="eastAsia" w:ascii="Times New Roman" w:hAnsi="Times New Roman" w:eastAsia="方正仿宋_GBK" w:cs="方正仿宋_GBK"/>
          <w:bCs w:val="0"/>
          <w:sz w:val="28"/>
          <w:szCs w:val="28"/>
        </w:rPr>
        <w:t>（二）政府采购支出情况</w:t>
      </w:r>
      <w:r>
        <w:rPr>
          <w:rFonts w:hint="eastAsia" w:ascii="Times New Roman" w:hAnsi="Times New Roman" w:eastAsia="方正仿宋_GBK" w:cs="方正仿宋_GBK"/>
          <w:bCs w:val="0"/>
          <w:sz w:val="28"/>
          <w:szCs w:val="28"/>
        </w:rPr>
        <w:tab/>
      </w:r>
      <w:r>
        <w:rPr>
          <w:rFonts w:hint="eastAsia" w:ascii="Times New Roman" w:hAnsi="Times New Roman" w:eastAsia="方正仿宋_GBK" w:cs="方正仿宋_GBK"/>
          <w:bCs w:val="0"/>
          <w:sz w:val="28"/>
          <w:szCs w:val="28"/>
        </w:rPr>
        <w:fldChar w:fldCharType="begin"/>
      </w:r>
      <w:r>
        <w:rPr>
          <w:rFonts w:hint="eastAsia" w:ascii="Times New Roman" w:hAnsi="Times New Roman" w:eastAsia="方正仿宋_GBK" w:cs="方正仿宋_GBK"/>
          <w:bCs w:val="0"/>
          <w:sz w:val="28"/>
          <w:szCs w:val="28"/>
        </w:rPr>
        <w:instrText xml:space="preserve"> PAGEREF _Toc1800793439 \h </w:instrText>
      </w:r>
      <w:r>
        <w:rPr>
          <w:rFonts w:hint="eastAsia" w:ascii="Times New Roman" w:hAnsi="Times New Roman" w:eastAsia="方正仿宋_GBK" w:cs="方正仿宋_GBK"/>
          <w:bCs w:val="0"/>
          <w:sz w:val="28"/>
          <w:szCs w:val="28"/>
        </w:rPr>
        <w:fldChar w:fldCharType="separate"/>
      </w:r>
      <w:r>
        <w:rPr>
          <w:rFonts w:hint="eastAsia" w:ascii="Times New Roman" w:hAnsi="Times New Roman" w:eastAsia="方正仿宋_GBK" w:cs="方正仿宋_GBK"/>
          <w:bCs w:val="0"/>
          <w:sz w:val="28"/>
          <w:szCs w:val="28"/>
        </w:rPr>
        <w:t>14</w:t>
      </w:r>
      <w:r>
        <w:rPr>
          <w:rFonts w:hint="eastAsia" w:ascii="Times New Roman" w:hAnsi="Times New Roman" w:eastAsia="方正仿宋_GBK" w:cs="方正仿宋_GBK"/>
          <w:bCs w:val="0"/>
          <w:sz w:val="28"/>
          <w:szCs w:val="28"/>
        </w:rPr>
        <w:fldChar w:fldCharType="end"/>
      </w:r>
      <w:r>
        <w:rPr>
          <w:rFonts w:hint="eastAsia" w:ascii="Times New Roman" w:hAnsi="Times New Roman" w:eastAsia="方正仿宋_GBK" w:cs="方正仿宋_GBK"/>
          <w:bCs w:val="0"/>
          <w:sz w:val="28"/>
          <w:szCs w:val="28"/>
        </w:rPr>
        <w:fldChar w:fldCharType="end"/>
      </w:r>
    </w:p>
    <w:p w14:paraId="2151C6B6">
      <w:pPr>
        <w:pStyle w:val="9"/>
        <w:tabs>
          <w:tab w:val="right" w:leader="dot" w:pos="8838"/>
          <w:tab w:val="clear" w:pos="8296"/>
        </w:tabs>
        <w:rPr>
          <w:rFonts w:hint="eastAsia" w:ascii="Times New Roman" w:hAnsi="Times New Roman" w:eastAsia="方正仿宋_GBK" w:cs="方正仿宋_GBK"/>
          <w:bCs w:val="0"/>
          <w:sz w:val="28"/>
          <w:szCs w:val="28"/>
        </w:rPr>
      </w:pPr>
      <w:r>
        <w:rPr>
          <w:rFonts w:hint="eastAsia" w:ascii="Times New Roman" w:hAnsi="Times New Roman" w:eastAsia="方正仿宋_GBK" w:cs="方正仿宋_GBK"/>
          <w:bCs w:val="0"/>
          <w:sz w:val="28"/>
          <w:szCs w:val="28"/>
        </w:rPr>
        <w:fldChar w:fldCharType="begin"/>
      </w:r>
      <w:r>
        <w:rPr>
          <w:rFonts w:hint="eastAsia" w:ascii="Times New Roman" w:hAnsi="Times New Roman" w:eastAsia="方正仿宋_GBK" w:cs="方正仿宋_GBK"/>
          <w:bCs w:val="0"/>
          <w:sz w:val="28"/>
          <w:szCs w:val="28"/>
        </w:rPr>
        <w:instrText xml:space="preserve"> HYPERLINK \l _Toc274931356 </w:instrText>
      </w:r>
      <w:r>
        <w:rPr>
          <w:rFonts w:hint="eastAsia" w:ascii="Times New Roman" w:hAnsi="Times New Roman" w:eastAsia="方正仿宋_GBK" w:cs="方正仿宋_GBK"/>
          <w:bCs w:val="0"/>
          <w:sz w:val="28"/>
          <w:szCs w:val="28"/>
        </w:rPr>
        <w:fldChar w:fldCharType="separate"/>
      </w:r>
      <w:r>
        <w:rPr>
          <w:rFonts w:hint="eastAsia" w:ascii="Times New Roman" w:hAnsi="Times New Roman" w:eastAsia="方正仿宋_GBK" w:cs="方正仿宋_GBK"/>
          <w:bCs w:val="0"/>
          <w:sz w:val="28"/>
          <w:szCs w:val="28"/>
        </w:rPr>
        <w:t>（三）国有资产占有使用情况</w:t>
      </w:r>
      <w:r>
        <w:rPr>
          <w:rFonts w:hint="eastAsia" w:ascii="Times New Roman" w:hAnsi="Times New Roman" w:eastAsia="方正仿宋_GBK" w:cs="方正仿宋_GBK"/>
          <w:bCs w:val="0"/>
          <w:sz w:val="28"/>
          <w:szCs w:val="28"/>
        </w:rPr>
        <w:tab/>
      </w:r>
      <w:r>
        <w:rPr>
          <w:rFonts w:hint="eastAsia" w:ascii="Times New Roman" w:hAnsi="Times New Roman" w:eastAsia="方正仿宋_GBK" w:cs="方正仿宋_GBK"/>
          <w:bCs w:val="0"/>
          <w:sz w:val="28"/>
          <w:szCs w:val="28"/>
        </w:rPr>
        <w:fldChar w:fldCharType="begin"/>
      </w:r>
      <w:r>
        <w:rPr>
          <w:rFonts w:hint="eastAsia" w:ascii="Times New Roman" w:hAnsi="Times New Roman" w:eastAsia="方正仿宋_GBK" w:cs="方正仿宋_GBK"/>
          <w:bCs w:val="0"/>
          <w:sz w:val="28"/>
          <w:szCs w:val="28"/>
        </w:rPr>
        <w:instrText xml:space="preserve"> PAGEREF _Toc274931356 \h </w:instrText>
      </w:r>
      <w:r>
        <w:rPr>
          <w:rFonts w:hint="eastAsia" w:ascii="Times New Roman" w:hAnsi="Times New Roman" w:eastAsia="方正仿宋_GBK" w:cs="方正仿宋_GBK"/>
          <w:bCs w:val="0"/>
          <w:sz w:val="28"/>
          <w:szCs w:val="28"/>
        </w:rPr>
        <w:fldChar w:fldCharType="separate"/>
      </w:r>
      <w:r>
        <w:rPr>
          <w:rFonts w:hint="eastAsia" w:ascii="Times New Roman" w:hAnsi="Times New Roman" w:eastAsia="方正仿宋_GBK" w:cs="方正仿宋_GBK"/>
          <w:bCs w:val="0"/>
          <w:sz w:val="28"/>
          <w:szCs w:val="28"/>
        </w:rPr>
        <w:t>14</w:t>
      </w:r>
      <w:r>
        <w:rPr>
          <w:rFonts w:hint="eastAsia" w:ascii="Times New Roman" w:hAnsi="Times New Roman" w:eastAsia="方正仿宋_GBK" w:cs="方正仿宋_GBK"/>
          <w:bCs w:val="0"/>
          <w:sz w:val="28"/>
          <w:szCs w:val="28"/>
        </w:rPr>
        <w:fldChar w:fldCharType="end"/>
      </w:r>
      <w:r>
        <w:rPr>
          <w:rFonts w:hint="eastAsia" w:ascii="Times New Roman" w:hAnsi="Times New Roman" w:eastAsia="方正仿宋_GBK" w:cs="方正仿宋_GBK"/>
          <w:bCs w:val="0"/>
          <w:sz w:val="28"/>
          <w:szCs w:val="28"/>
        </w:rPr>
        <w:fldChar w:fldCharType="end"/>
      </w:r>
    </w:p>
    <w:p w14:paraId="403A9575">
      <w:pPr>
        <w:pStyle w:val="9"/>
        <w:tabs>
          <w:tab w:val="right" w:leader="dot" w:pos="8838"/>
          <w:tab w:val="clear" w:pos="8296"/>
        </w:tabs>
        <w:rPr>
          <w:rFonts w:hint="eastAsia" w:ascii="Times New Roman" w:hAnsi="Times New Roman" w:eastAsia="方正仿宋_GBK" w:cs="方正仿宋_GBK"/>
          <w:bCs w:val="0"/>
          <w:sz w:val="28"/>
          <w:szCs w:val="28"/>
        </w:rPr>
      </w:pPr>
      <w:r>
        <w:rPr>
          <w:rFonts w:hint="eastAsia" w:ascii="Times New Roman" w:hAnsi="Times New Roman" w:eastAsia="方正仿宋_GBK" w:cs="方正仿宋_GBK"/>
          <w:bCs w:val="0"/>
          <w:sz w:val="28"/>
          <w:szCs w:val="28"/>
        </w:rPr>
        <w:fldChar w:fldCharType="begin"/>
      </w:r>
      <w:r>
        <w:rPr>
          <w:rFonts w:hint="eastAsia" w:ascii="Times New Roman" w:hAnsi="Times New Roman" w:eastAsia="方正仿宋_GBK" w:cs="方正仿宋_GBK"/>
          <w:bCs w:val="0"/>
          <w:sz w:val="28"/>
          <w:szCs w:val="28"/>
        </w:rPr>
        <w:instrText xml:space="preserve"> HYPERLINK \l _Toc1237408437 </w:instrText>
      </w:r>
      <w:r>
        <w:rPr>
          <w:rFonts w:hint="eastAsia" w:ascii="Times New Roman" w:hAnsi="Times New Roman" w:eastAsia="方正仿宋_GBK" w:cs="方正仿宋_GBK"/>
          <w:bCs w:val="0"/>
          <w:sz w:val="28"/>
          <w:szCs w:val="28"/>
        </w:rPr>
        <w:fldChar w:fldCharType="separate"/>
      </w:r>
      <w:r>
        <w:rPr>
          <w:rFonts w:hint="eastAsia" w:ascii="Times New Roman" w:hAnsi="Times New Roman" w:eastAsia="方正仿宋_GBK" w:cs="方正仿宋_GBK"/>
          <w:bCs w:val="0"/>
          <w:sz w:val="28"/>
          <w:szCs w:val="28"/>
        </w:rPr>
        <w:t>（四）预算绩效管理情况</w:t>
      </w:r>
      <w:r>
        <w:rPr>
          <w:rFonts w:hint="eastAsia" w:ascii="Times New Roman" w:hAnsi="Times New Roman" w:eastAsia="方正仿宋_GBK" w:cs="方正仿宋_GBK"/>
          <w:bCs w:val="0"/>
          <w:sz w:val="28"/>
          <w:szCs w:val="28"/>
        </w:rPr>
        <w:tab/>
      </w:r>
      <w:r>
        <w:rPr>
          <w:rFonts w:hint="eastAsia" w:ascii="Times New Roman" w:hAnsi="Times New Roman" w:eastAsia="方正仿宋_GBK" w:cs="方正仿宋_GBK"/>
          <w:bCs w:val="0"/>
          <w:sz w:val="28"/>
          <w:szCs w:val="28"/>
        </w:rPr>
        <w:fldChar w:fldCharType="begin"/>
      </w:r>
      <w:r>
        <w:rPr>
          <w:rFonts w:hint="eastAsia" w:ascii="Times New Roman" w:hAnsi="Times New Roman" w:eastAsia="方正仿宋_GBK" w:cs="方正仿宋_GBK"/>
          <w:bCs w:val="0"/>
          <w:sz w:val="28"/>
          <w:szCs w:val="28"/>
        </w:rPr>
        <w:instrText xml:space="preserve"> PAGEREF _Toc1237408437 \h </w:instrText>
      </w:r>
      <w:r>
        <w:rPr>
          <w:rFonts w:hint="eastAsia" w:ascii="Times New Roman" w:hAnsi="Times New Roman" w:eastAsia="方正仿宋_GBK" w:cs="方正仿宋_GBK"/>
          <w:bCs w:val="0"/>
          <w:sz w:val="28"/>
          <w:szCs w:val="28"/>
        </w:rPr>
        <w:fldChar w:fldCharType="separate"/>
      </w:r>
      <w:r>
        <w:rPr>
          <w:rFonts w:hint="eastAsia" w:ascii="Times New Roman" w:hAnsi="Times New Roman" w:eastAsia="方正仿宋_GBK" w:cs="方正仿宋_GBK"/>
          <w:bCs w:val="0"/>
          <w:sz w:val="28"/>
          <w:szCs w:val="28"/>
        </w:rPr>
        <w:t>15</w:t>
      </w:r>
      <w:r>
        <w:rPr>
          <w:rFonts w:hint="eastAsia" w:ascii="Times New Roman" w:hAnsi="Times New Roman" w:eastAsia="方正仿宋_GBK" w:cs="方正仿宋_GBK"/>
          <w:bCs w:val="0"/>
          <w:sz w:val="28"/>
          <w:szCs w:val="28"/>
        </w:rPr>
        <w:fldChar w:fldCharType="end"/>
      </w:r>
      <w:r>
        <w:rPr>
          <w:rFonts w:hint="eastAsia" w:ascii="Times New Roman" w:hAnsi="Times New Roman" w:eastAsia="方正仿宋_GBK" w:cs="方正仿宋_GBK"/>
          <w:bCs w:val="0"/>
          <w:sz w:val="28"/>
          <w:szCs w:val="28"/>
        </w:rPr>
        <w:fldChar w:fldCharType="end"/>
      </w:r>
    </w:p>
    <w:p w14:paraId="545ADB16">
      <w:pPr>
        <w:pStyle w:val="13"/>
        <w:tabs>
          <w:tab w:val="right" w:leader="dot" w:pos="8838"/>
          <w:tab w:val="clear" w:pos="8296"/>
        </w:tabs>
        <w:rPr>
          <w:rFonts w:hint="eastAsia" w:ascii="Times New Roman" w:hAnsi="Times New Roman" w:eastAsia="方正仿宋_GBK" w:cs="方正仿宋_GBK"/>
          <w:bCs w:val="0"/>
          <w:sz w:val="32"/>
          <w:szCs w:val="32"/>
        </w:rPr>
      </w:pPr>
      <w:r>
        <w:rPr>
          <w:rFonts w:hint="eastAsia" w:ascii="Times New Roman" w:hAnsi="Times New Roman" w:eastAsia="方正仿宋_GBK" w:cs="方正仿宋_GBK"/>
          <w:bCs w:val="0"/>
          <w:sz w:val="32"/>
          <w:szCs w:val="32"/>
        </w:rPr>
        <w:fldChar w:fldCharType="begin"/>
      </w:r>
      <w:r>
        <w:rPr>
          <w:rFonts w:hint="eastAsia" w:ascii="Times New Roman" w:hAnsi="Times New Roman" w:eastAsia="方正仿宋_GBK" w:cs="方正仿宋_GBK"/>
          <w:bCs w:val="0"/>
          <w:sz w:val="32"/>
          <w:szCs w:val="32"/>
        </w:rPr>
        <w:instrText xml:space="preserve"> HYPERLINK \l _Toc1846498702 </w:instrText>
      </w:r>
      <w:r>
        <w:rPr>
          <w:rFonts w:hint="eastAsia" w:ascii="Times New Roman" w:hAnsi="Times New Roman" w:eastAsia="方正仿宋_GBK" w:cs="方正仿宋_GBK"/>
          <w:bCs w:val="0"/>
          <w:sz w:val="32"/>
          <w:szCs w:val="32"/>
        </w:rPr>
        <w:fldChar w:fldCharType="separate"/>
      </w:r>
      <w:r>
        <w:rPr>
          <w:rFonts w:hint="eastAsia" w:ascii="Times New Roman" w:hAnsi="Times New Roman" w:eastAsia="方正仿宋_GBK" w:cs="方正仿宋_GBK"/>
          <w:bCs w:val="0"/>
          <w:sz w:val="32"/>
          <w:szCs w:val="32"/>
        </w:rPr>
        <w:t>第</w:t>
      </w:r>
      <w:r>
        <w:rPr>
          <w:rFonts w:hint="eastAsia" w:ascii="Times New Roman" w:hAnsi="Times New Roman" w:eastAsia="方正仿宋_GBK" w:cs="方正仿宋_GBK"/>
          <w:bCs w:val="0"/>
          <w:sz w:val="32"/>
          <w:szCs w:val="32"/>
          <w:lang w:eastAsia="zh-CN"/>
        </w:rPr>
        <w:t>三</w:t>
      </w:r>
      <w:r>
        <w:rPr>
          <w:rFonts w:hint="eastAsia" w:ascii="Times New Roman" w:hAnsi="Times New Roman" w:eastAsia="方正仿宋_GBK" w:cs="方正仿宋_GBK"/>
          <w:bCs w:val="0"/>
          <w:sz w:val="32"/>
          <w:szCs w:val="32"/>
        </w:rPr>
        <w:t>部分</w:t>
      </w:r>
      <w:r>
        <w:rPr>
          <w:rFonts w:hint="eastAsia" w:ascii="Times New Roman" w:hAnsi="Times New Roman" w:eastAsia="方正仿宋_GBK" w:cs="方正仿宋_GBK"/>
          <w:bCs w:val="0"/>
          <w:sz w:val="32"/>
          <w:szCs w:val="32"/>
          <w:lang w:val="en-US" w:eastAsia="zh-CN"/>
        </w:rPr>
        <w:t xml:space="preserve">  </w:t>
      </w:r>
      <w:r>
        <w:rPr>
          <w:rFonts w:hint="eastAsia" w:ascii="Times New Roman" w:hAnsi="Times New Roman" w:eastAsia="方正仿宋_GBK" w:cs="方正仿宋_GBK"/>
          <w:bCs w:val="0"/>
          <w:sz w:val="32"/>
          <w:szCs w:val="32"/>
        </w:rPr>
        <w:t>名词解释</w:t>
      </w:r>
      <w:r>
        <w:rPr>
          <w:rFonts w:hint="eastAsia" w:ascii="Times New Roman" w:hAnsi="Times New Roman" w:eastAsia="方正仿宋_GBK" w:cs="方正仿宋_GBK"/>
          <w:bCs w:val="0"/>
          <w:sz w:val="32"/>
          <w:szCs w:val="32"/>
        </w:rPr>
        <w:tab/>
      </w:r>
      <w:r>
        <w:rPr>
          <w:rFonts w:hint="eastAsia" w:ascii="Times New Roman" w:hAnsi="Times New Roman" w:eastAsia="方正仿宋_GBK" w:cs="方正仿宋_GBK"/>
          <w:bCs w:val="0"/>
          <w:sz w:val="32"/>
          <w:szCs w:val="32"/>
        </w:rPr>
        <w:fldChar w:fldCharType="begin"/>
      </w:r>
      <w:r>
        <w:rPr>
          <w:rFonts w:hint="eastAsia" w:ascii="Times New Roman" w:hAnsi="Times New Roman" w:eastAsia="方正仿宋_GBK" w:cs="方正仿宋_GBK"/>
          <w:bCs w:val="0"/>
          <w:sz w:val="32"/>
          <w:szCs w:val="32"/>
        </w:rPr>
        <w:instrText xml:space="preserve"> PAGEREF _Toc1846498702 \h </w:instrText>
      </w:r>
      <w:r>
        <w:rPr>
          <w:rFonts w:hint="eastAsia" w:ascii="Times New Roman" w:hAnsi="Times New Roman" w:eastAsia="方正仿宋_GBK" w:cs="方正仿宋_GBK"/>
          <w:bCs w:val="0"/>
          <w:sz w:val="32"/>
          <w:szCs w:val="32"/>
        </w:rPr>
        <w:fldChar w:fldCharType="separate"/>
      </w:r>
      <w:r>
        <w:rPr>
          <w:rFonts w:hint="eastAsia" w:ascii="Times New Roman" w:hAnsi="Times New Roman" w:eastAsia="方正仿宋_GBK" w:cs="方正仿宋_GBK"/>
          <w:bCs w:val="0"/>
          <w:sz w:val="32"/>
          <w:szCs w:val="32"/>
        </w:rPr>
        <w:t>17</w:t>
      </w:r>
      <w:r>
        <w:rPr>
          <w:rFonts w:hint="eastAsia" w:ascii="Times New Roman" w:hAnsi="Times New Roman" w:eastAsia="方正仿宋_GBK" w:cs="方正仿宋_GBK"/>
          <w:bCs w:val="0"/>
          <w:sz w:val="32"/>
          <w:szCs w:val="32"/>
        </w:rPr>
        <w:fldChar w:fldCharType="end"/>
      </w:r>
      <w:r>
        <w:rPr>
          <w:rFonts w:hint="eastAsia" w:ascii="Times New Roman" w:hAnsi="Times New Roman" w:eastAsia="方正仿宋_GBK" w:cs="方正仿宋_GBK"/>
          <w:bCs w:val="0"/>
          <w:sz w:val="32"/>
          <w:szCs w:val="32"/>
        </w:rPr>
        <w:fldChar w:fldCharType="end"/>
      </w:r>
    </w:p>
    <w:p w14:paraId="2E43B9B0">
      <w:pPr>
        <w:pStyle w:val="13"/>
        <w:tabs>
          <w:tab w:val="right" w:leader="dot" w:pos="8838"/>
          <w:tab w:val="clear" w:pos="8296"/>
        </w:tabs>
        <w:rPr>
          <w:rFonts w:hint="eastAsia" w:ascii="Times New Roman" w:hAnsi="Times New Roman" w:eastAsia="方正仿宋_GBK" w:cs="方正仿宋_GBK"/>
          <w:bCs w:val="0"/>
          <w:sz w:val="32"/>
          <w:szCs w:val="32"/>
        </w:rPr>
      </w:pPr>
      <w:r>
        <w:rPr>
          <w:rFonts w:hint="eastAsia" w:ascii="Times New Roman" w:hAnsi="Times New Roman" w:eastAsia="方正仿宋_GBK" w:cs="方正仿宋_GBK"/>
          <w:bCs w:val="0"/>
          <w:sz w:val="32"/>
          <w:szCs w:val="32"/>
        </w:rPr>
        <w:fldChar w:fldCharType="begin"/>
      </w:r>
      <w:r>
        <w:rPr>
          <w:rFonts w:hint="eastAsia" w:ascii="Times New Roman" w:hAnsi="Times New Roman" w:eastAsia="方正仿宋_GBK" w:cs="方正仿宋_GBK"/>
          <w:bCs w:val="0"/>
          <w:sz w:val="32"/>
          <w:szCs w:val="32"/>
        </w:rPr>
        <w:instrText xml:space="preserve"> HYPERLINK \l _Toc117850989 </w:instrText>
      </w:r>
      <w:r>
        <w:rPr>
          <w:rFonts w:hint="eastAsia" w:ascii="Times New Roman" w:hAnsi="Times New Roman" w:eastAsia="方正仿宋_GBK" w:cs="方正仿宋_GBK"/>
          <w:bCs w:val="0"/>
          <w:sz w:val="32"/>
          <w:szCs w:val="32"/>
        </w:rPr>
        <w:fldChar w:fldCharType="separate"/>
      </w:r>
      <w:r>
        <w:rPr>
          <w:rFonts w:hint="eastAsia" w:ascii="Times New Roman" w:hAnsi="Times New Roman" w:eastAsia="方正仿宋_GBK" w:cs="方正仿宋_GBK"/>
          <w:bCs w:val="0"/>
          <w:sz w:val="32"/>
          <w:szCs w:val="32"/>
        </w:rPr>
        <w:t>第四部分</w:t>
      </w:r>
      <w:r>
        <w:rPr>
          <w:rFonts w:hint="eastAsia" w:ascii="Times New Roman" w:hAnsi="Times New Roman" w:eastAsia="方正仿宋_GBK" w:cs="方正仿宋_GBK"/>
          <w:bCs w:val="0"/>
          <w:sz w:val="32"/>
          <w:szCs w:val="32"/>
          <w:lang w:val="en-US" w:eastAsia="zh-CN"/>
        </w:rPr>
        <w:t xml:space="preserve"> </w:t>
      </w:r>
      <w:r>
        <w:rPr>
          <w:rFonts w:hint="eastAsia" w:ascii="Times New Roman" w:hAnsi="Times New Roman" w:eastAsia="方正仿宋_GBK" w:cs="方正仿宋_GBK"/>
          <w:bCs w:val="0"/>
          <w:sz w:val="32"/>
          <w:szCs w:val="32"/>
        </w:rPr>
        <w:t xml:space="preserve"> 附件</w:t>
      </w:r>
      <w:r>
        <w:rPr>
          <w:rFonts w:hint="eastAsia" w:ascii="Times New Roman" w:hAnsi="Times New Roman" w:eastAsia="方正仿宋_GBK" w:cs="方正仿宋_GBK"/>
          <w:bCs w:val="0"/>
          <w:sz w:val="32"/>
          <w:szCs w:val="32"/>
        </w:rPr>
        <w:tab/>
      </w:r>
      <w:r>
        <w:rPr>
          <w:rFonts w:hint="eastAsia" w:ascii="Times New Roman" w:hAnsi="Times New Roman" w:eastAsia="方正仿宋_GBK" w:cs="方正仿宋_GBK"/>
          <w:bCs w:val="0"/>
          <w:sz w:val="32"/>
          <w:szCs w:val="32"/>
        </w:rPr>
        <w:fldChar w:fldCharType="begin"/>
      </w:r>
      <w:r>
        <w:rPr>
          <w:rFonts w:hint="eastAsia" w:ascii="Times New Roman" w:hAnsi="Times New Roman" w:eastAsia="方正仿宋_GBK" w:cs="方正仿宋_GBK"/>
          <w:bCs w:val="0"/>
          <w:sz w:val="32"/>
          <w:szCs w:val="32"/>
        </w:rPr>
        <w:instrText xml:space="preserve"> PAGEREF _Toc117850989 \h </w:instrText>
      </w:r>
      <w:r>
        <w:rPr>
          <w:rFonts w:hint="eastAsia" w:ascii="Times New Roman" w:hAnsi="Times New Roman" w:eastAsia="方正仿宋_GBK" w:cs="方正仿宋_GBK"/>
          <w:bCs w:val="0"/>
          <w:sz w:val="32"/>
          <w:szCs w:val="32"/>
        </w:rPr>
        <w:fldChar w:fldCharType="separate"/>
      </w:r>
      <w:r>
        <w:rPr>
          <w:rFonts w:hint="eastAsia" w:ascii="Times New Roman" w:hAnsi="Times New Roman" w:eastAsia="方正仿宋_GBK" w:cs="方正仿宋_GBK"/>
          <w:bCs w:val="0"/>
          <w:sz w:val="32"/>
          <w:szCs w:val="32"/>
        </w:rPr>
        <w:t>21</w:t>
      </w:r>
      <w:r>
        <w:rPr>
          <w:rFonts w:hint="eastAsia" w:ascii="Times New Roman" w:hAnsi="Times New Roman" w:eastAsia="方正仿宋_GBK" w:cs="方正仿宋_GBK"/>
          <w:bCs w:val="0"/>
          <w:sz w:val="32"/>
          <w:szCs w:val="32"/>
        </w:rPr>
        <w:fldChar w:fldCharType="end"/>
      </w:r>
      <w:r>
        <w:rPr>
          <w:rFonts w:hint="eastAsia" w:ascii="Times New Roman" w:hAnsi="Times New Roman" w:eastAsia="方正仿宋_GBK" w:cs="方正仿宋_GBK"/>
          <w:bCs w:val="0"/>
          <w:sz w:val="32"/>
          <w:szCs w:val="32"/>
        </w:rPr>
        <w:fldChar w:fldCharType="end"/>
      </w:r>
    </w:p>
    <w:p w14:paraId="6AD6B540">
      <w:pPr>
        <w:pStyle w:val="13"/>
        <w:tabs>
          <w:tab w:val="right" w:leader="dot" w:pos="8838"/>
          <w:tab w:val="clear" w:pos="8296"/>
        </w:tabs>
        <w:rPr>
          <w:rFonts w:hint="eastAsia" w:ascii="Times New Roman" w:hAnsi="Times New Roman" w:eastAsia="方正仿宋_GBK" w:cs="方正仿宋_GBK"/>
          <w:bCs w:val="0"/>
          <w:sz w:val="32"/>
          <w:szCs w:val="32"/>
        </w:rPr>
      </w:pPr>
      <w:r>
        <w:rPr>
          <w:rFonts w:hint="eastAsia" w:ascii="Times New Roman" w:hAnsi="Times New Roman" w:eastAsia="方正仿宋_GBK" w:cs="方正仿宋_GBK"/>
          <w:bCs w:val="0"/>
          <w:sz w:val="32"/>
          <w:szCs w:val="32"/>
        </w:rPr>
        <w:fldChar w:fldCharType="begin"/>
      </w:r>
      <w:r>
        <w:rPr>
          <w:rFonts w:hint="eastAsia" w:ascii="Times New Roman" w:hAnsi="Times New Roman" w:eastAsia="方正仿宋_GBK" w:cs="方正仿宋_GBK"/>
          <w:bCs w:val="0"/>
          <w:sz w:val="32"/>
          <w:szCs w:val="32"/>
        </w:rPr>
        <w:instrText xml:space="preserve"> HYPERLINK \l _Toc1991201521 </w:instrText>
      </w:r>
      <w:r>
        <w:rPr>
          <w:rFonts w:hint="eastAsia" w:ascii="Times New Roman" w:hAnsi="Times New Roman" w:eastAsia="方正仿宋_GBK" w:cs="方正仿宋_GBK"/>
          <w:bCs w:val="0"/>
          <w:sz w:val="32"/>
          <w:szCs w:val="32"/>
        </w:rPr>
        <w:fldChar w:fldCharType="separate"/>
      </w:r>
      <w:r>
        <w:rPr>
          <w:rFonts w:hint="eastAsia" w:ascii="Times New Roman" w:hAnsi="Times New Roman" w:eastAsia="方正仿宋_GBK" w:cs="方正仿宋_GBK"/>
          <w:bCs w:val="0"/>
          <w:sz w:val="32"/>
          <w:szCs w:val="32"/>
        </w:rPr>
        <w:t xml:space="preserve">第五部分 </w:t>
      </w:r>
      <w:r>
        <w:rPr>
          <w:rFonts w:hint="default" w:ascii="Times New Roman" w:hAnsi="Times New Roman" w:eastAsia="方正仿宋_GBK" w:cs="方正仿宋_GBK"/>
          <w:bCs w:val="0"/>
          <w:sz w:val="32"/>
          <w:szCs w:val="32"/>
          <w:lang w:val="en-US"/>
        </w:rPr>
        <w:t xml:space="preserve"> </w:t>
      </w:r>
      <w:r>
        <w:rPr>
          <w:rFonts w:hint="eastAsia" w:ascii="Times New Roman" w:hAnsi="Times New Roman" w:eastAsia="方正仿宋_GBK" w:cs="方正仿宋_GBK"/>
          <w:bCs w:val="0"/>
          <w:sz w:val="32"/>
          <w:szCs w:val="32"/>
        </w:rPr>
        <w:t>附表</w:t>
      </w:r>
      <w:r>
        <w:rPr>
          <w:rFonts w:hint="eastAsia" w:ascii="Times New Roman" w:hAnsi="Times New Roman" w:eastAsia="方正仿宋_GBK" w:cs="方正仿宋_GBK"/>
          <w:bCs w:val="0"/>
          <w:sz w:val="32"/>
          <w:szCs w:val="32"/>
        </w:rPr>
        <w:tab/>
      </w:r>
      <w:r>
        <w:rPr>
          <w:rFonts w:hint="eastAsia" w:ascii="Times New Roman" w:hAnsi="Times New Roman" w:eastAsia="方正仿宋_GBK" w:cs="方正仿宋_GBK"/>
          <w:bCs w:val="0"/>
          <w:sz w:val="32"/>
          <w:szCs w:val="32"/>
        </w:rPr>
        <w:fldChar w:fldCharType="begin"/>
      </w:r>
      <w:r>
        <w:rPr>
          <w:rFonts w:hint="eastAsia" w:ascii="Times New Roman" w:hAnsi="Times New Roman" w:eastAsia="方正仿宋_GBK" w:cs="方正仿宋_GBK"/>
          <w:bCs w:val="0"/>
          <w:sz w:val="32"/>
          <w:szCs w:val="32"/>
        </w:rPr>
        <w:instrText xml:space="preserve"> PAGEREF _Toc1991201521 \h </w:instrText>
      </w:r>
      <w:r>
        <w:rPr>
          <w:rFonts w:hint="eastAsia" w:ascii="Times New Roman" w:hAnsi="Times New Roman" w:eastAsia="方正仿宋_GBK" w:cs="方正仿宋_GBK"/>
          <w:bCs w:val="0"/>
          <w:sz w:val="32"/>
          <w:szCs w:val="32"/>
        </w:rPr>
        <w:fldChar w:fldCharType="separate"/>
      </w:r>
      <w:r>
        <w:rPr>
          <w:rFonts w:hint="eastAsia" w:ascii="Times New Roman" w:hAnsi="Times New Roman" w:eastAsia="方正仿宋_GBK" w:cs="方正仿宋_GBK"/>
          <w:bCs w:val="0"/>
          <w:sz w:val="32"/>
          <w:szCs w:val="32"/>
        </w:rPr>
        <w:t>55</w:t>
      </w:r>
      <w:r>
        <w:rPr>
          <w:rFonts w:hint="eastAsia" w:ascii="Times New Roman" w:hAnsi="Times New Roman" w:eastAsia="方正仿宋_GBK" w:cs="方正仿宋_GBK"/>
          <w:bCs w:val="0"/>
          <w:sz w:val="32"/>
          <w:szCs w:val="32"/>
        </w:rPr>
        <w:fldChar w:fldCharType="end"/>
      </w:r>
      <w:r>
        <w:rPr>
          <w:rFonts w:hint="eastAsia" w:ascii="Times New Roman" w:hAnsi="Times New Roman" w:eastAsia="方正仿宋_GBK" w:cs="方正仿宋_GBK"/>
          <w:bCs w:val="0"/>
          <w:sz w:val="32"/>
          <w:szCs w:val="32"/>
        </w:rPr>
        <w:fldChar w:fldCharType="end"/>
      </w:r>
    </w:p>
    <w:p w14:paraId="4AF61552">
      <w:pPr>
        <w:pStyle w:val="2"/>
        <w:rPr>
          <w:rFonts w:ascii="Times New Roman" w:hAnsi="Times New Roman"/>
          <w:b w:val="0"/>
          <w:bCs w:val="0"/>
        </w:rPr>
      </w:pPr>
      <w:r>
        <w:rPr>
          <w:rFonts w:ascii="Times New Roman" w:hAnsi="Times New Roman"/>
          <w:bCs w:val="0"/>
        </w:rPr>
        <w:fldChar w:fldCharType="end"/>
      </w:r>
    </w:p>
    <w:p w14:paraId="3BDCFC6D">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 w:val="0"/>
          <w:bCs w:val="0"/>
          <w:color w:val="auto"/>
          <w:sz w:val="32"/>
          <w:szCs w:val="32"/>
          <w:highlight w:val="none"/>
        </w:rPr>
        <w:sectPr>
          <w:pgSz w:w="11900" w:h="16840"/>
          <w:pgMar w:top="2098" w:right="1531" w:bottom="1984" w:left="1531" w:header="0" w:footer="839" w:gutter="0"/>
          <w:cols w:space="0" w:num="1"/>
          <w:rtlGutter w:val="0"/>
          <w:docGrid w:linePitch="0" w:charSpace="0"/>
        </w:sectPr>
      </w:pPr>
      <w:bookmarkStart w:id="12" w:name="_Toc15377196"/>
      <w:bookmarkStart w:id="13" w:name="_Toc15396599"/>
    </w:p>
    <w:p w14:paraId="41849E77">
      <w:pPr>
        <w:pStyle w:val="3"/>
        <w:bidi w:val="0"/>
        <w:rPr>
          <w:rFonts w:hint="eastAsia"/>
        </w:rPr>
      </w:pPr>
      <w:bookmarkStart w:id="14" w:name="_Toc15463025"/>
      <w:r>
        <w:rPr>
          <w:rFonts w:hint="eastAsia"/>
        </w:rPr>
        <w:t>第一部分</w:t>
      </w:r>
      <w:r>
        <w:rPr>
          <w:rFonts w:hint="eastAsia"/>
          <w:lang w:val="en-US" w:eastAsia="zh-CN"/>
        </w:rPr>
        <w:t xml:space="preserve"> </w:t>
      </w:r>
      <w:r>
        <w:rPr>
          <w:rFonts w:hint="eastAsia"/>
        </w:rPr>
        <w:t xml:space="preserve"> 部门概况</w:t>
      </w:r>
      <w:bookmarkEnd w:id="12"/>
      <w:bookmarkEnd w:id="13"/>
      <w:bookmarkEnd w:id="14"/>
    </w:p>
    <w:p w14:paraId="74F6A062">
      <w:pPr>
        <w:pStyle w:val="4"/>
        <w:bidi w:val="0"/>
        <w:rPr>
          <w:rFonts w:hint="eastAsia" w:ascii="Times New Roman" w:hAnsi="Times New Roman"/>
          <w:b w:val="0"/>
          <w:bCs w:val="0"/>
          <w:lang w:eastAsia="zh-CN"/>
        </w:rPr>
      </w:pPr>
      <w:bookmarkStart w:id="15" w:name="_Toc15377197"/>
      <w:bookmarkStart w:id="16" w:name="_Toc15396600"/>
      <w:bookmarkStart w:id="17" w:name="_Toc82624232"/>
      <w:r>
        <w:rPr>
          <w:rFonts w:hint="eastAsia" w:ascii="Times New Roman" w:hAnsi="Times New Roman"/>
          <w:b w:val="0"/>
          <w:bCs w:val="0"/>
        </w:rPr>
        <w:t>一、</w:t>
      </w:r>
      <w:bookmarkEnd w:id="15"/>
      <w:bookmarkEnd w:id="16"/>
      <w:r>
        <w:rPr>
          <w:rFonts w:hint="eastAsia" w:ascii="Times New Roman" w:hAnsi="Times New Roman"/>
          <w:b w:val="0"/>
          <w:bCs w:val="0"/>
          <w:lang w:eastAsia="zh-CN"/>
        </w:rPr>
        <w:t>部门职责</w:t>
      </w:r>
      <w:bookmarkEnd w:id="17"/>
    </w:p>
    <w:p w14:paraId="54859A0E">
      <w:pPr>
        <w:bidi w:val="0"/>
        <w:rPr>
          <w:rFonts w:hint="eastAsia" w:ascii="Times New Roman" w:hAnsi="Times New Roman"/>
          <w:b w:val="0"/>
          <w:bCs w:val="0"/>
          <w:lang w:val="en-US" w:eastAsia="zh-CN"/>
        </w:rPr>
      </w:pPr>
      <w:r>
        <w:rPr>
          <w:rFonts w:hint="eastAsia" w:ascii="Times New Roman" w:hAnsi="Times New Roman"/>
          <w:b w:val="0"/>
          <w:bCs w:val="0"/>
          <w:lang w:val="en-US" w:eastAsia="zh-CN"/>
        </w:rPr>
        <w:t>1.依法对巴中市人民代表大会及其常务委员会负责并报告工作。</w:t>
      </w:r>
    </w:p>
    <w:p w14:paraId="6DB4B8E8">
      <w:pPr>
        <w:bidi w:val="0"/>
        <w:rPr>
          <w:rFonts w:hint="eastAsia" w:ascii="Times New Roman" w:hAnsi="Times New Roman"/>
          <w:b w:val="0"/>
          <w:bCs w:val="0"/>
          <w:lang w:val="en-US" w:eastAsia="zh-CN"/>
        </w:rPr>
      </w:pPr>
      <w:r>
        <w:rPr>
          <w:rFonts w:hint="eastAsia" w:ascii="Times New Roman" w:hAnsi="Times New Roman"/>
          <w:b w:val="0"/>
          <w:bCs w:val="0"/>
          <w:lang w:val="en-US" w:eastAsia="zh-CN"/>
        </w:rPr>
        <w:t>2.领导全市检察机关的工作，按照高检、省院确定的工作方针，部署全市检察工作任务。</w:t>
      </w:r>
    </w:p>
    <w:p w14:paraId="1F3FBD26">
      <w:pPr>
        <w:bidi w:val="0"/>
        <w:rPr>
          <w:rFonts w:hint="eastAsia" w:ascii="Times New Roman" w:hAnsi="Times New Roman"/>
          <w:b w:val="0"/>
          <w:bCs w:val="0"/>
          <w:lang w:val="en-US" w:eastAsia="zh-CN"/>
        </w:rPr>
      </w:pPr>
      <w:r>
        <w:rPr>
          <w:rFonts w:hint="eastAsia" w:ascii="Times New Roman" w:hAnsi="Times New Roman"/>
          <w:b w:val="0"/>
          <w:bCs w:val="0"/>
          <w:lang w:val="en-US" w:eastAsia="zh-CN"/>
        </w:rPr>
        <w:t>3.负责全市检察机关文电、会务、机要、档案、保密等工作。组织协调全市检察机关重要工作部署、重大决策的贯彻实施。承担综合性绩效考核相关工作。起草审核相关文件文稿，处理检察信息，负责领导批办事项督查工作。负责人大代表、政协委员联络工作和特约检察员的联系工作，组织指导人民监督员工作。</w:t>
      </w:r>
    </w:p>
    <w:p w14:paraId="5EC7FA2A">
      <w:pPr>
        <w:bidi w:val="0"/>
        <w:rPr>
          <w:rFonts w:hint="eastAsia" w:ascii="Times New Roman" w:hAnsi="Times New Roman"/>
          <w:b w:val="0"/>
          <w:bCs w:val="0"/>
          <w:lang w:val="en-US" w:eastAsia="zh-CN"/>
        </w:rPr>
      </w:pPr>
      <w:r>
        <w:rPr>
          <w:rFonts w:hint="eastAsia" w:ascii="Times New Roman" w:hAnsi="Times New Roman"/>
          <w:b w:val="0"/>
          <w:bCs w:val="0"/>
          <w:lang w:val="en-US" w:eastAsia="zh-CN"/>
        </w:rPr>
        <w:t>4.负责对巴中市监察委员会移送职务犯罪案件的审查逮捕、审查起诉、出庭支持公诉、抗诉，开展相关审判监督以及相关案件的补充侦查。负责对破坏社会主义市场经济秩序犯罪案件的审查逮捕、审查起诉、出庭支持公诉、抗诉，开展相关立案监督、侦查监督、审判监督以及相关案件的补充侦查。</w:t>
      </w:r>
    </w:p>
    <w:p w14:paraId="3451108B">
      <w:pPr>
        <w:bidi w:val="0"/>
        <w:rPr>
          <w:rFonts w:hint="eastAsia" w:ascii="Times New Roman" w:hAnsi="Times New Roman"/>
          <w:b w:val="0"/>
          <w:bCs w:val="0"/>
          <w:lang w:val="en-US" w:eastAsia="zh-CN"/>
        </w:rPr>
      </w:pPr>
      <w:r>
        <w:rPr>
          <w:rFonts w:hint="eastAsia" w:ascii="Times New Roman" w:hAnsi="Times New Roman"/>
          <w:b w:val="0"/>
          <w:bCs w:val="0"/>
          <w:lang w:val="en-US" w:eastAsia="zh-CN"/>
        </w:rPr>
        <w:t>5.负责对第4项职能之外的刑事案件的审查逮捕、审查起诉、出庭支持公诉、抗诉，开展相关立案监督、侦查监督、审判监督以及相关案件的补充侦查。办理相关刑事申诉案件。</w:t>
      </w:r>
    </w:p>
    <w:p w14:paraId="58856F12">
      <w:pPr>
        <w:bidi w:val="0"/>
        <w:rPr>
          <w:rFonts w:hint="eastAsia" w:ascii="Times New Roman" w:hAnsi="Times New Roman"/>
          <w:b w:val="0"/>
          <w:bCs w:val="0"/>
          <w:lang w:val="en-US" w:eastAsia="zh-CN"/>
        </w:rPr>
      </w:pPr>
      <w:r>
        <w:rPr>
          <w:rFonts w:hint="eastAsia" w:ascii="Times New Roman" w:hAnsi="Times New Roman"/>
          <w:b w:val="0"/>
          <w:bCs w:val="0"/>
          <w:lang w:val="en-US" w:eastAsia="zh-CN"/>
        </w:rPr>
        <w:t>6.负责对监狱、看守所、社区矫正机构等执法活动的监督，对刑事判决、裁定执行、强制医疗执行、羁押和办案期限的监督，羁押必要性审查。办理罪犯又犯罪案件。负责对司法工作人员利用职权实施的非法拘禁、刑讯逼供、非法搜查等14项侵犯公民权利、损害司法公正犯罪，以及按照刑事诉讼法规定需要人民检察院直接受理的其他重大犯罪案件的侦查。</w:t>
      </w:r>
    </w:p>
    <w:p w14:paraId="6A8ECC10">
      <w:pPr>
        <w:bidi w:val="0"/>
        <w:rPr>
          <w:rFonts w:hint="eastAsia" w:ascii="Times New Roman" w:hAnsi="Times New Roman" w:eastAsia="方正仿宋_GBK" w:cs="Times New Roman"/>
          <w:b w:val="0"/>
          <w:bCs w:val="0"/>
          <w:color w:val="auto"/>
          <w:szCs w:val="32"/>
          <w:highlight w:val="none"/>
          <w:lang w:val="en-US" w:eastAsia="zh-CN"/>
        </w:rPr>
      </w:pPr>
      <w:r>
        <w:rPr>
          <w:rFonts w:hint="eastAsia" w:ascii="Times New Roman" w:hAnsi="Times New Roman"/>
          <w:b w:val="0"/>
          <w:bCs w:val="0"/>
          <w:lang w:val="en-US" w:eastAsia="zh-CN"/>
        </w:rPr>
        <w:t>7.负责办理申请监督和提请抗诉的民事、行政案件的审查、抗诉。承办对巴中市中级人民法院民事、行政诉讼活动的法律监督，对审判监督程序以外的其他民事、行政审判程序中审判人员的违法行为提出检察建议，对民事执行、行政执法活动实行法律监督。开展民事支持起诉工作。办理民事、行政申诉案件。</w:t>
      </w:r>
    </w:p>
    <w:p w14:paraId="598370C1">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方正仿宋_GBK" w:cs="Times New Roman"/>
          <w:b w:val="0"/>
          <w:bCs w:val="0"/>
          <w:color w:val="auto"/>
          <w:sz w:val="32"/>
          <w:szCs w:val="32"/>
          <w:highlight w:val="none"/>
          <w:lang w:val="en-US" w:eastAsia="zh-CN"/>
        </w:rPr>
      </w:pPr>
      <w:r>
        <w:rPr>
          <w:rFonts w:hint="eastAsia" w:ascii="Times New Roman" w:hAnsi="Times New Roman" w:eastAsia="方正仿宋_GBK" w:cs="Times New Roman"/>
          <w:b w:val="0"/>
          <w:bCs w:val="0"/>
          <w:color w:val="auto"/>
          <w:sz w:val="32"/>
          <w:szCs w:val="32"/>
          <w:highlight w:val="none"/>
          <w:lang w:val="en-US" w:eastAsia="zh-CN"/>
        </w:rPr>
        <w:t>8.负责办理破坏生态环境和资源保护、食品药品安全领域侵害众多消费者合法权益等损害社会公共利益的民事公益诉讼案件，生态环境和资源保护、食品药品安全、国有财产保护、国有土地使用权出让等领域的行政公益诉讼案件，侵害英雄烈士姓名、肖像、名誉、荣誉的公益诉讼案件。负责对巴中市中级人民法院开庭审理的公益诉讼案件，派员出席法庭，依照有关规定提出检察建议。办理公益诉讼申诉案件。</w:t>
      </w:r>
    </w:p>
    <w:p w14:paraId="25CAC982">
      <w:pPr>
        <w:bidi w:val="0"/>
        <w:rPr>
          <w:rFonts w:hint="eastAsia" w:ascii="Times New Roman" w:hAnsi="Times New Roman"/>
          <w:b w:val="0"/>
          <w:bCs w:val="0"/>
          <w:lang w:val="en-US" w:eastAsia="zh-CN"/>
        </w:rPr>
      </w:pPr>
      <w:r>
        <w:rPr>
          <w:rFonts w:hint="eastAsia" w:ascii="Times New Roman" w:hAnsi="Times New Roman"/>
          <w:b w:val="0"/>
          <w:bCs w:val="0"/>
          <w:lang w:val="en-US" w:eastAsia="zh-CN"/>
        </w:rPr>
        <w:t>9.负责对未成年人犯罪和侵害未成年人犯罪案件的审查逮捕、审查起诉、出庭支持公诉、抗诉，开展相关立案监督、侦查监督、审判监督以及相关案件的补充侦查。开展未成年人司法保护和预防未成年人犯罪工作。</w:t>
      </w:r>
    </w:p>
    <w:p w14:paraId="53B8ACB3">
      <w:pPr>
        <w:bidi w:val="0"/>
        <w:rPr>
          <w:rFonts w:hint="eastAsia" w:ascii="Times New Roman" w:hAnsi="Times New Roman"/>
          <w:b w:val="0"/>
          <w:bCs w:val="0"/>
          <w:lang w:val="en-US" w:eastAsia="zh-CN"/>
        </w:rPr>
      </w:pPr>
      <w:r>
        <w:rPr>
          <w:rFonts w:hint="eastAsia" w:ascii="Times New Roman" w:hAnsi="Times New Roman"/>
          <w:b w:val="0"/>
          <w:bCs w:val="0"/>
          <w:lang w:val="en-US" w:eastAsia="zh-CN"/>
        </w:rPr>
        <w:t>10.负责受理控告和申诉。承办国家赔偿案件和国家司法救助案件。</w:t>
      </w:r>
    </w:p>
    <w:p w14:paraId="555A0D2C">
      <w:pPr>
        <w:bidi w:val="0"/>
        <w:rPr>
          <w:rFonts w:hint="eastAsia" w:ascii="Times New Roman" w:hAnsi="Times New Roman"/>
          <w:b w:val="0"/>
          <w:bCs w:val="0"/>
          <w:lang w:val="en-US" w:eastAsia="zh-CN"/>
        </w:rPr>
      </w:pPr>
      <w:r>
        <w:rPr>
          <w:rFonts w:hint="eastAsia" w:ascii="Times New Roman" w:hAnsi="Times New Roman"/>
          <w:b w:val="0"/>
          <w:bCs w:val="0"/>
          <w:lang w:val="en-US" w:eastAsia="zh-CN"/>
        </w:rPr>
        <w:t>11.负责法律政策、检察基础理论、检察应用理论、法治建设等方面的调查研究工作。对征求意见的立法、地方立法草案进行研究，提出修改意见和建议。负责检察委员会、检察官协会、专家咨询委员会的日常工作。编辑有关检察刊物。负责司法体制改革综合协调相关工作。</w:t>
      </w:r>
    </w:p>
    <w:p w14:paraId="29348CA1">
      <w:pPr>
        <w:bidi w:val="0"/>
        <w:rPr>
          <w:rFonts w:hint="eastAsia" w:ascii="Times New Roman" w:hAnsi="Times New Roman"/>
          <w:b w:val="0"/>
          <w:bCs w:val="0"/>
          <w:lang w:val="en-US" w:eastAsia="zh-CN"/>
        </w:rPr>
      </w:pPr>
      <w:r>
        <w:rPr>
          <w:rFonts w:hint="eastAsia" w:ascii="Times New Roman" w:hAnsi="Times New Roman"/>
          <w:b w:val="0"/>
          <w:bCs w:val="0"/>
          <w:lang w:val="en-US" w:eastAsia="zh-CN"/>
        </w:rPr>
        <w:t>12.负责案件的统一受理流转、办案流程监控、涉案财物管理、法律文书监管、案件信息公开，统一组织办案质量评查、业务考评和业务统计分析研判等工作。负责接待律师等诉讼参与人依法行使诉讼权利。负责业务信息化需求统筹，指导全市检察机关统一业务应用系统的应用。</w:t>
      </w:r>
    </w:p>
    <w:p w14:paraId="60AC8EB3">
      <w:pPr>
        <w:bidi w:val="0"/>
        <w:rPr>
          <w:rFonts w:hint="eastAsia" w:ascii="Times New Roman" w:hAnsi="Times New Roman"/>
          <w:b w:val="0"/>
          <w:bCs w:val="0"/>
          <w:lang w:val="en-US" w:eastAsia="zh-CN"/>
        </w:rPr>
      </w:pPr>
      <w:r>
        <w:rPr>
          <w:rFonts w:hint="eastAsia" w:ascii="Times New Roman" w:hAnsi="Times New Roman"/>
          <w:b w:val="0"/>
          <w:bCs w:val="0"/>
          <w:lang w:val="en-US" w:eastAsia="zh-CN"/>
        </w:rPr>
        <w:t>13.制定实施全市检察机关财务和装备规划，编制巴中市人民检察院支出规划和部门预决算，负责本级财务管理、国有资产管理、车辆管理、政府采购等工作，负责机关安保等工作。</w:t>
      </w:r>
    </w:p>
    <w:p w14:paraId="3D2801D0">
      <w:pPr>
        <w:bidi w:val="0"/>
        <w:rPr>
          <w:rFonts w:hint="eastAsia" w:ascii="Times New Roman" w:hAnsi="Times New Roman"/>
          <w:b w:val="0"/>
          <w:bCs w:val="0"/>
          <w:lang w:val="en-US" w:eastAsia="zh-CN"/>
        </w:rPr>
      </w:pPr>
      <w:r>
        <w:rPr>
          <w:rFonts w:hint="eastAsia" w:ascii="Times New Roman" w:hAnsi="Times New Roman"/>
          <w:b w:val="0"/>
          <w:bCs w:val="0"/>
          <w:lang w:val="en-US" w:eastAsia="zh-CN"/>
        </w:rPr>
        <w:t>14.承担对全市检察机关执行法律、法规和最高人民检察院、四川省人民检察院、巴中市人民检察院的规定、决定等情况进行督察。承担内部审计工作。承担党组巡察工作领导小组日常工作。</w:t>
      </w:r>
    </w:p>
    <w:p w14:paraId="15A2C51D">
      <w:pPr>
        <w:bidi w:val="0"/>
        <w:rPr>
          <w:rFonts w:hint="eastAsia" w:ascii="Times New Roman" w:hAnsi="Times New Roman"/>
          <w:b w:val="0"/>
          <w:bCs w:val="0"/>
          <w:lang w:val="en-US" w:eastAsia="zh-CN"/>
        </w:rPr>
      </w:pPr>
      <w:r>
        <w:rPr>
          <w:rFonts w:hint="eastAsia" w:ascii="Times New Roman" w:hAnsi="Times New Roman"/>
          <w:b w:val="0"/>
          <w:bCs w:val="0"/>
          <w:lang w:val="en-US" w:eastAsia="zh-CN"/>
        </w:rPr>
        <w:t>15.负责指导全市检察技术工作，组织全市检察机关重大技术疑难案件会检。制定全市检察机关技术工作计划和业务规章制度。依职权组织全市检察技术人员的业务培训和职称评定。受理和承办各类案件的现场勘验、检验鉴定和技术性证据审查。负责全市检察信息化和智慧检察的总体规划和统筹推进。承担相关软件研制、开发、推广和维护。负责全市检察机关通信网络系统管理和维护，承担三级专线网、检察工作网、互联网等网络的建设、维护和管理。</w:t>
      </w:r>
    </w:p>
    <w:p w14:paraId="31C2DA2E">
      <w:pPr>
        <w:bidi w:val="0"/>
        <w:rPr>
          <w:rFonts w:hint="eastAsia" w:ascii="Times New Roman" w:hAnsi="Times New Roman"/>
          <w:b w:val="0"/>
          <w:bCs w:val="0"/>
          <w:lang w:val="en-US" w:eastAsia="zh-CN"/>
        </w:rPr>
      </w:pPr>
      <w:r>
        <w:rPr>
          <w:rFonts w:hint="eastAsia" w:ascii="Times New Roman" w:hAnsi="Times New Roman"/>
          <w:b w:val="0"/>
          <w:bCs w:val="0"/>
          <w:lang w:val="en-US" w:eastAsia="zh-CN"/>
        </w:rPr>
        <w:t>16.负责全市检察机关思想政治工作、新闻宣传、舆论引导、组织人事、教育培训、离退休干部、司法警察等工作。</w:t>
      </w:r>
    </w:p>
    <w:p w14:paraId="3D1ED3C2">
      <w:pPr>
        <w:bidi w:val="0"/>
        <w:rPr>
          <w:rFonts w:hint="eastAsia" w:ascii="Times New Roman" w:hAnsi="Times New Roman"/>
          <w:b w:val="0"/>
          <w:bCs w:val="0"/>
          <w:lang w:val="en-US" w:eastAsia="zh-CN"/>
        </w:rPr>
      </w:pPr>
      <w:r>
        <w:rPr>
          <w:rFonts w:hint="eastAsia" w:ascii="Times New Roman" w:hAnsi="Times New Roman"/>
          <w:b w:val="0"/>
          <w:bCs w:val="0"/>
          <w:lang w:val="en-US" w:eastAsia="zh-CN"/>
        </w:rPr>
        <w:t>17.协同市委主管部门管理和考核县、区人民检察院的检察长；协同县级党委管理和考核县、区人民检察院副检察长及政治处主任；报经省人民检察院检察长提请省人民代表大会常务委员会批准任免本院检察长；提请市人民代表大会常务委员会批准或不批准县、区人民检察院检察长的任免；提请市人民代表大会常务委员会任免本院的副检察长、检察委员会委员、检察员。</w:t>
      </w:r>
    </w:p>
    <w:p w14:paraId="3C760E9C">
      <w:pPr>
        <w:bidi w:val="0"/>
        <w:rPr>
          <w:rFonts w:hint="eastAsia" w:ascii="Times New Roman" w:hAnsi="Times New Roman"/>
          <w:b w:val="0"/>
          <w:bCs w:val="0"/>
          <w:lang w:eastAsia="zh-CN"/>
        </w:rPr>
      </w:pPr>
      <w:r>
        <w:rPr>
          <w:rFonts w:hint="eastAsia" w:ascii="Times New Roman" w:hAnsi="Times New Roman"/>
          <w:b w:val="0"/>
          <w:bCs w:val="0"/>
          <w:lang w:val="en-US" w:eastAsia="zh-CN"/>
        </w:rPr>
        <w:t>18.负责其</w:t>
      </w:r>
      <w:r>
        <w:rPr>
          <w:rFonts w:hint="eastAsia"/>
          <w:b w:val="0"/>
          <w:bCs w:val="0"/>
          <w:lang w:val="en-US" w:eastAsia="zh-CN"/>
        </w:rPr>
        <w:t>他</w:t>
      </w:r>
      <w:r>
        <w:rPr>
          <w:rFonts w:hint="eastAsia" w:ascii="Times New Roman" w:hAnsi="Times New Roman"/>
          <w:b w:val="0"/>
          <w:bCs w:val="0"/>
          <w:lang w:val="en-US" w:eastAsia="zh-CN"/>
        </w:rPr>
        <w:t>应当由市人民检察院承办的事项。</w:t>
      </w:r>
    </w:p>
    <w:p w14:paraId="48693F53">
      <w:pPr>
        <w:pStyle w:val="4"/>
        <w:bidi w:val="0"/>
        <w:rPr>
          <w:rStyle w:val="30"/>
          <w:rFonts w:ascii="Times New Roman" w:hAnsi="Times New Roman"/>
          <w:b w:val="0"/>
          <w:bCs w:val="0"/>
          <w:color w:val="auto"/>
          <w:highlight w:val="none"/>
        </w:rPr>
      </w:pPr>
      <w:bookmarkStart w:id="18" w:name="_Toc15396601"/>
      <w:bookmarkStart w:id="19" w:name="_Toc990466593"/>
      <w:bookmarkStart w:id="20" w:name="_Toc15377200"/>
      <w:r>
        <w:rPr>
          <w:rFonts w:hint="eastAsia" w:ascii="Times New Roman" w:hAnsi="Times New Roman" w:eastAsia="黑体"/>
          <w:b w:val="0"/>
          <w:bCs w:val="0"/>
          <w:color w:val="auto"/>
          <w:highlight w:val="none"/>
        </w:rPr>
        <w:t>二、机</w:t>
      </w:r>
      <w:r>
        <w:rPr>
          <w:rStyle w:val="30"/>
          <w:rFonts w:hint="eastAsia" w:ascii="Times New Roman" w:hAnsi="Times New Roman" w:eastAsia="黑体"/>
          <w:b w:val="0"/>
          <w:bCs w:val="0"/>
          <w:color w:val="auto"/>
          <w:highlight w:val="none"/>
        </w:rPr>
        <w:t>构设置</w:t>
      </w:r>
      <w:bookmarkEnd w:id="18"/>
      <w:bookmarkEnd w:id="19"/>
      <w:bookmarkEnd w:id="20"/>
    </w:p>
    <w:p w14:paraId="519F5519">
      <w:pPr>
        <w:bidi w:val="0"/>
        <w:rPr>
          <w:rFonts w:hint="eastAsia" w:ascii="Times New Roman" w:hAnsi="Times New Roman"/>
          <w:b w:val="0"/>
          <w:bCs w:val="0"/>
        </w:rPr>
      </w:pPr>
      <w:r>
        <w:rPr>
          <w:rFonts w:hint="eastAsia" w:ascii="Times New Roman" w:hAnsi="Times New Roman"/>
          <w:b w:val="0"/>
          <w:bCs w:val="0"/>
        </w:rPr>
        <w:t>四川省巴中市人民检察院下属二级</w:t>
      </w:r>
      <w:r>
        <w:rPr>
          <w:rFonts w:hint="eastAsia" w:ascii="Times New Roman" w:hAnsi="Times New Roman"/>
          <w:b w:val="0"/>
          <w:bCs w:val="0"/>
          <w:lang w:eastAsia="zh-CN"/>
        </w:rPr>
        <w:t>预算</w:t>
      </w:r>
      <w:r>
        <w:rPr>
          <w:rFonts w:hint="eastAsia" w:ascii="Times New Roman" w:hAnsi="Times New Roman"/>
          <w:b w:val="0"/>
          <w:bCs w:val="0"/>
        </w:rPr>
        <w:t>单位</w:t>
      </w:r>
      <w:r>
        <w:rPr>
          <w:rFonts w:hint="eastAsia" w:ascii="Times New Roman" w:hAnsi="Times New Roman"/>
          <w:b w:val="0"/>
          <w:bCs w:val="0"/>
          <w:lang w:val="en-US" w:eastAsia="zh-CN"/>
        </w:rPr>
        <w:t>1</w:t>
      </w:r>
      <w:r>
        <w:rPr>
          <w:rFonts w:hint="eastAsia" w:ascii="Times New Roman" w:hAnsi="Times New Roman"/>
          <w:b w:val="0"/>
          <w:bCs w:val="0"/>
        </w:rPr>
        <w:t>个，其中行政单位</w:t>
      </w:r>
      <w:r>
        <w:rPr>
          <w:rFonts w:hint="eastAsia" w:ascii="Times New Roman" w:hAnsi="Times New Roman"/>
          <w:b w:val="0"/>
          <w:bCs w:val="0"/>
          <w:lang w:val="en-US" w:eastAsia="zh-CN"/>
        </w:rPr>
        <w:t>0</w:t>
      </w:r>
      <w:r>
        <w:rPr>
          <w:rFonts w:hint="eastAsia" w:ascii="Times New Roman" w:hAnsi="Times New Roman"/>
          <w:b w:val="0"/>
          <w:bCs w:val="0"/>
        </w:rPr>
        <w:t>个，参照公务员法管理的事业单位</w:t>
      </w:r>
      <w:r>
        <w:rPr>
          <w:rFonts w:hint="eastAsia" w:ascii="Times New Roman" w:hAnsi="Times New Roman"/>
          <w:b w:val="0"/>
          <w:bCs w:val="0"/>
          <w:lang w:val="en-US" w:eastAsia="zh-CN"/>
        </w:rPr>
        <w:t>0</w:t>
      </w:r>
      <w:r>
        <w:rPr>
          <w:rFonts w:hint="eastAsia" w:ascii="Times New Roman" w:hAnsi="Times New Roman"/>
          <w:b w:val="0"/>
          <w:bCs w:val="0"/>
        </w:rPr>
        <w:t>个，其他事业单位</w:t>
      </w:r>
      <w:r>
        <w:rPr>
          <w:rFonts w:hint="eastAsia" w:ascii="Times New Roman" w:hAnsi="Times New Roman"/>
          <w:b w:val="0"/>
          <w:bCs w:val="0"/>
          <w:lang w:val="en-US" w:eastAsia="zh-CN"/>
        </w:rPr>
        <w:t>1</w:t>
      </w:r>
      <w:r>
        <w:rPr>
          <w:rFonts w:hint="eastAsia" w:ascii="Times New Roman" w:hAnsi="Times New Roman"/>
          <w:b w:val="0"/>
          <w:bCs w:val="0"/>
        </w:rPr>
        <w:t>个。</w:t>
      </w:r>
    </w:p>
    <w:p w14:paraId="3BC1773D">
      <w:pPr>
        <w:bidi w:val="0"/>
        <w:rPr>
          <w:rFonts w:ascii="Times New Roman" w:hAnsi="Times New Roman" w:eastAsia="仿宋"/>
          <w:b w:val="0"/>
          <w:bCs w:val="0"/>
          <w:color w:val="auto"/>
          <w:kern w:val="0"/>
          <w:szCs w:val="32"/>
          <w:highlight w:val="none"/>
        </w:rPr>
      </w:pPr>
      <w:r>
        <w:rPr>
          <w:rFonts w:hint="eastAsia" w:ascii="Times New Roman" w:hAnsi="Times New Roman"/>
          <w:b w:val="0"/>
          <w:bCs w:val="0"/>
        </w:rPr>
        <w:t>纳入四川省巴中市人民检察院</w:t>
      </w:r>
      <w:r>
        <w:rPr>
          <w:rFonts w:hint="eastAsia" w:ascii="Times New Roman" w:hAnsi="Times New Roman"/>
          <w:b w:val="0"/>
          <w:bCs w:val="0"/>
          <w:lang w:val="en-US" w:eastAsia="zh-CN"/>
        </w:rPr>
        <w:t>202</w:t>
      </w:r>
      <w:r>
        <w:rPr>
          <w:rFonts w:hint="eastAsia"/>
          <w:b w:val="0"/>
          <w:bCs w:val="0"/>
          <w:lang w:val="en-US" w:eastAsia="zh-CN"/>
        </w:rPr>
        <w:t>5</w:t>
      </w:r>
      <w:r>
        <w:rPr>
          <w:rFonts w:hint="eastAsia" w:ascii="Times New Roman" w:hAnsi="Times New Roman"/>
          <w:b w:val="0"/>
          <w:bCs w:val="0"/>
        </w:rPr>
        <w:t>年度部门决算编制范围的二级预算单位包括：</w:t>
      </w:r>
      <w:bookmarkStart w:id="21" w:name="_Toc15378449"/>
      <w:bookmarkStart w:id="22" w:name="_Toc15306276"/>
      <w:bookmarkStart w:id="23" w:name="_Toc15377433"/>
      <w:bookmarkStart w:id="24" w:name="_Toc15377202"/>
      <w:r>
        <w:rPr>
          <w:rFonts w:hint="eastAsia" w:ascii="Times New Roman" w:hAnsi="Times New Roman"/>
          <w:b w:val="0"/>
          <w:bCs w:val="0"/>
          <w:lang w:eastAsia="zh-Hans"/>
        </w:rPr>
        <w:t>巴中市人民检察院信息中心</w:t>
      </w:r>
      <w:bookmarkEnd w:id="21"/>
      <w:bookmarkEnd w:id="22"/>
      <w:bookmarkEnd w:id="23"/>
      <w:bookmarkEnd w:id="24"/>
      <w:r>
        <w:rPr>
          <w:rFonts w:hint="eastAsia" w:ascii="Times New Roman" w:hAnsi="Times New Roman"/>
          <w:b w:val="0"/>
          <w:bCs w:val="0"/>
          <w:lang w:eastAsia="zh-CN"/>
        </w:rPr>
        <w:t>。</w:t>
      </w:r>
    </w:p>
    <w:p w14:paraId="74683EF8">
      <w:pPr>
        <w:widowControl/>
        <w:jc w:val="left"/>
        <w:rPr>
          <w:rFonts w:ascii="Times New Roman" w:hAnsi="Times New Roman" w:eastAsia="仿宋"/>
          <w:b w:val="0"/>
          <w:bCs w:val="0"/>
          <w:color w:val="auto"/>
          <w:kern w:val="0"/>
          <w:sz w:val="32"/>
          <w:szCs w:val="32"/>
          <w:highlight w:val="none"/>
        </w:rPr>
      </w:pPr>
      <w:r>
        <w:rPr>
          <w:rFonts w:ascii="Times New Roman" w:hAnsi="Times New Roman" w:eastAsia="仿宋"/>
          <w:b w:val="0"/>
          <w:bCs w:val="0"/>
          <w:color w:val="auto"/>
          <w:sz w:val="32"/>
          <w:szCs w:val="32"/>
          <w:highlight w:val="none"/>
        </w:rPr>
        <w:br w:type="page"/>
      </w:r>
    </w:p>
    <w:p w14:paraId="727E6CFC">
      <w:pPr>
        <w:pStyle w:val="3"/>
        <w:bidi w:val="0"/>
        <w:rPr>
          <w:rFonts w:hint="eastAsia"/>
        </w:rPr>
      </w:pPr>
      <w:bookmarkStart w:id="25" w:name="_Toc887615528"/>
      <w:bookmarkStart w:id="26" w:name="_Toc15396602"/>
      <w:bookmarkStart w:id="27" w:name="_Toc15377204"/>
      <w:r>
        <w:rPr>
          <w:rFonts w:hint="eastAsia"/>
        </w:rPr>
        <w:t>第二部分</w:t>
      </w:r>
      <w:r>
        <w:rPr>
          <w:rFonts w:hint="eastAsia"/>
          <w:lang w:val="en-US" w:eastAsia="zh-CN"/>
        </w:rPr>
        <w:t xml:space="preserve"> </w:t>
      </w:r>
      <w:r>
        <w:rPr>
          <w:rFonts w:hint="eastAsia"/>
        </w:rPr>
        <w:t xml:space="preserve"> </w:t>
      </w:r>
      <w:r>
        <w:rPr>
          <w:rFonts w:hint="eastAsia"/>
          <w:lang w:val="en-US" w:eastAsia="zh-CN"/>
        </w:rPr>
        <w:t>2025年度</w:t>
      </w:r>
      <w:r>
        <w:rPr>
          <w:rFonts w:hint="eastAsia"/>
        </w:rPr>
        <w:t>部门决算情况说明</w:t>
      </w:r>
      <w:bookmarkEnd w:id="25"/>
      <w:bookmarkEnd w:id="26"/>
      <w:bookmarkEnd w:id="27"/>
    </w:p>
    <w:p w14:paraId="42BE3ACD">
      <w:pPr>
        <w:pStyle w:val="4"/>
        <w:bidi w:val="0"/>
        <w:rPr>
          <w:rFonts w:hint="eastAsia" w:ascii="Times New Roman" w:hAnsi="Times New Roman"/>
          <w:b w:val="0"/>
          <w:bCs w:val="0"/>
        </w:rPr>
      </w:pPr>
      <w:bookmarkStart w:id="28" w:name="_Toc15396603"/>
      <w:bookmarkStart w:id="29" w:name="_Toc15377205"/>
      <w:bookmarkStart w:id="30" w:name="_Toc1525643831"/>
      <w:r>
        <w:rPr>
          <w:rFonts w:hint="eastAsia" w:ascii="Times New Roman" w:hAnsi="Times New Roman"/>
          <w:b w:val="0"/>
          <w:bCs w:val="0"/>
          <w:lang w:eastAsia="zh-CN"/>
        </w:rPr>
        <w:t>一、</w:t>
      </w:r>
      <w:r>
        <w:rPr>
          <w:rFonts w:hint="eastAsia" w:ascii="Times New Roman" w:hAnsi="Times New Roman"/>
          <w:b w:val="0"/>
          <w:bCs w:val="0"/>
        </w:rPr>
        <w:t>收入支出决算总体情况说明</w:t>
      </w:r>
      <w:bookmarkEnd w:id="28"/>
      <w:bookmarkEnd w:id="29"/>
      <w:bookmarkEnd w:id="30"/>
    </w:p>
    <w:p w14:paraId="396F0A93">
      <w:pPr>
        <w:bidi w:val="0"/>
        <w:rPr>
          <w:rFonts w:hint="eastAsia" w:ascii="Times New Roman" w:hAnsi="Times New Roman"/>
          <w:b w:val="0"/>
          <w:bCs w:val="0"/>
          <w:lang w:val="en-US" w:eastAsia="zh-CN"/>
        </w:rPr>
      </w:pPr>
      <w:r>
        <w:rPr>
          <w:rFonts w:hint="eastAsia" w:ascii="Times New Roman" w:hAnsi="Times New Roman"/>
          <w:b w:val="0"/>
          <w:bCs w:val="0"/>
          <w:lang w:val="en-US" w:eastAsia="zh-CN"/>
        </w:rPr>
        <w:t>2025年度收入、支出总计均为3118.43万元。与上年度相比，收入总计增加120.26万元，增长4.01%。支出总计增加120.26万元，增长4.01%。主要变动原因是</w:t>
      </w:r>
      <w:r>
        <w:rPr>
          <w:rFonts w:hint="eastAsia"/>
          <w:b w:val="0"/>
          <w:bCs w:val="0"/>
          <w:lang w:val="en-US" w:eastAsia="zh-CN"/>
        </w:rPr>
        <w:t>项目经费增加。</w:t>
      </w:r>
    </w:p>
    <w:p w14:paraId="3173EAFC">
      <w:pPr>
        <w:bidi w:val="0"/>
        <w:rPr>
          <w:rFonts w:hint="eastAsia" w:ascii="Times New Roman" w:hAnsi="Times New Roman" w:eastAsia="仿宋_GB2312" w:cs="仿宋_GB2312"/>
          <w:b w:val="0"/>
          <w:bCs w:val="0"/>
          <w:color w:val="auto"/>
          <w:sz w:val="32"/>
          <w:szCs w:val="32"/>
          <w:highlight w:val="none"/>
        </w:rPr>
      </w:pPr>
      <w:r>
        <w:rPr>
          <w:rFonts w:hint="eastAsia" w:ascii="Times New Roman" w:hAnsi="Times New Roman"/>
          <w:b w:val="0"/>
          <w:bCs w:val="0"/>
        </w:rPr>
        <w:t>（图1：</w:t>
      </w:r>
      <w:r>
        <w:rPr>
          <w:rFonts w:hint="eastAsia" w:ascii="Times New Roman" w:hAnsi="Times New Roman"/>
          <w:b w:val="0"/>
          <w:bCs w:val="0"/>
          <w:lang w:eastAsia="zh-CN"/>
        </w:rPr>
        <w:t>收入</w:t>
      </w:r>
      <w:r>
        <w:rPr>
          <w:rFonts w:hint="eastAsia" w:ascii="Times New Roman" w:hAnsi="Times New Roman"/>
          <w:b w:val="0"/>
          <w:bCs w:val="0"/>
        </w:rPr>
        <w:t>、</w:t>
      </w:r>
      <w:r>
        <w:rPr>
          <w:rFonts w:hint="eastAsia" w:ascii="Times New Roman" w:hAnsi="Times New Roman"/>
          <w:b w:val="0"/>
          <w:bCs w:val="0"/>
          <w:lang w:eastAsia="zh-CN"/>
        </w:rPr>
        <w:t>支出</w:t>
      </w:r>
      <w:r>
        <w:rPr>
          <w:rFonts w:hint="eastAsia" w:ascii="Times New Roman" w:hAnsi="Times New Roman"/>
          <w:b w:val="0"/>
          <w:bCs w:val="0"/>
        </w:rPr>
        <w:t>决算总计变动情况图）（柱状图）</w:t>
      </w:r>
      <w:r>
        <w:rPr>
          <w:rFonts w:ascii="Times New Roman" w:hAnsi="Times New Roman"/>
          <w:b w:val="0"/>
          <w:bCs w:val="0"/>
        </w:rPr>
        <w:drawing>
          <wp:anchor distT="0" distB="0" distL="114300" distR="114300" simplePos="0" relativeHeight="251659264" behindDoc="0" locked="0" layoutInCell="1" allowOverlap="1">
            <wp:simplePos x="0" y="0"/>
            <wp:positionH relativeFrom="column">
              <wp:posOffset>379095</wp:posOffset>
            </wp:positionH>
            <wp:positionV relativeFrom="paragraph">
              <wp:posOffset>257175</wp:posOffset>
            </wp:positionV>
            <wp:extent cx="4826000" cy="2743200"/>
            <wp:effectExtent l="4445" t="4445" r="8255" b="14605"/>
            <wp:wrapTopAndBottom/>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20A8BCCB">
      <w:pPr>
        <w:pStyle w:val="4"/>
        <w:bidi w:val="0"/>
        <w:rPr>
          <w:rFonts w:hint="eastAsia" w:ascii="Times New Roman" w:hAnsi="Times New Roman"/>
          <w:b w:val="0"/>
          <w:bCs w:val="0"/>
          <w:lang w:eastAsia="zh-CN"/>
        </w:rPr>
      </w:pPr>
      <w:bookmarkStart w:id="31" w:name="_Toc15396604"/>
      <w:bookmarkStart w:id="32" w:name="_Toc1691692911"/>
      <w:bookmarkStart w:id="33" w:name="_Toc15377206"/>
      <w:r>
        <w:rPr>
          <w:rFonts w:hint="eastAsia" w:ascii="Times New Roman" w:hAnsi="Times New Roman"/>
          <w:b w:val="0"/>
          <w:bCs w:val="0"/>
          <w:lang w:eastAsia="zh-CN"/>
        </w:rPr>
        <w:t>二、收入决算情况说明</w:t>
      </w:r>
      <w:bookmarkEnd w:id="31"/>
      <w:bookmarkEnd w:id="32"/>
      <w:bookmarkEnd w:id="33"/>
    </w:p>
    <w:p w14:paraId="1BEECE1E">
      <w:pPr>
        <w:bidi w:val="0"/>
        <w:rPr>
          <w:rFonts w:hint="eastAsia" w:ascii="Times New Roman" w:hAnsi="Times New Roman"/>
          <w:b w:val="0"/>
          <w:bCs w:val="0"/>
          <w:lang w:eastAsia="zh-CN"/>
        </w:rPr>
      </w:pPr>
      <w:r>
        <w:rPr>
          <w:rFonts w:hint="eastAsia" w:ascii="Times New Roman" w:hAnsi="Times New Roman"/>
          <w:b w:val="0"/>
          <w:bCs w:val="0"/>
          <w:lang w:eastAsia="zh-CN"/>
        </w:rPr>
        <w:t>2025年度本年收入合计</w:t>
      </w:r>
      <w:r>
        <w:rPr>
          <w:rFonts w:hint="eastAsia" w:ascii="Times New Roman" w:hAnsi="Times New Roman"/>
          <w:b w:val="0"/>
          <w:bCs w:val="0"/>
          <w:lang w:val="en-US" w:eastAsia="zh-CN"/>
        </w:rPr>
        <w:t>3118.43</w:t>
      </w:r>
      <w:r>
        <w:rPr>
          <w:rFonts w:hint="eastAsia" w:ascii="Times New Roman" w:hAnsi="Times New Roman"/>
          <w:b w:val="0"/>
          <w:bCs w:val="0"/>
          <w:lang w:eastAsia="zh-CN"/>
        </w:rPr>
        <w:t>万元，其中：一般公共预算财政拨款收入</w:t>
      </w:r>
      <w:r>
        <w:rPr>
          <w:rFonts w:hint="eastAsia" w:ascii="Times New Roman" w:hAnsi="Times New Roman"/>
          <w:b w:val="0"/>
          <w:bCs w:val="0"/>
          <w:lang w:val="en-US" w:eastAsia="zh-CN"/>
        </w:rPr>
        <w:t>3118.43</w:t>
      </w:r>
      <w:r>
        <w:rPr>
          <w:rFonts w:hint="eastAsia" w:ascii="Times New Roman" w:hAnsi="Times New Roman"/>
          <w:b w:val="0"/>
          <w:bCs w:val="0"/>
          <w:lang w:eastAsia="zh-CN"/>
        </w:rPr>
        <w:t>万元，占</w:t>
      </w:r>
      <w:r>
        <w:rPr>
          <w:rFonts w:hint="eastAsia" w:ascii="Times New Roman" w:hAnsi="Times New Roman"/>
          <w:b w:val="0"/>
          <w:bCs w:val="0"/>
          <w:lang w:val="en-US" w:eastAsia="zh-CN"/>
        </w:rPr>
        <w:t>100</w:t>
      </w:r>
      <w:r>
        <w:rPr>
          <w:rFonts w:hint="eastAsia" w:ascii="Times New Roman" w:hAnsi="Times New Roman"/>
          <w:b w:val="0"/>
          <w:bCs w:val="0"/>
          <w:lang w:eastAsia="zh-CN"/>
        </w:rPr>
        <w:t>%。</w:t>
      </w:r>
    </w:p>
    <w:p w14:paraId="1CD745B9">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val="0"/>
          <w:bCs w:val="0"/>
          <w:color w:val="auto"/>
          <w:sz w:val="32"/>
          <w:szCs w:val="32"/>
          <w:highlight w:val="none"/>
          <w:lang w:eastAsia="zh-CN"/>
        </w:rPr>
      </w:pPr>
      <w:bookmarkStart w:id="34" w:name="_Toc1682564224"/>
      <w:r>
        <w:rPr>
          <w:rFonts w:hint="eastAsia" w:ascii="Times New Roman" w:hAnsi="Times New Roman" w:eastAsia="仿宋_GB2312" w:cs="仿宋_GB2312"/>
          <w:b w:val="0"/>
          <w:bCs w:val="0"/>
          <w:color w:val="auto"/>
          <w:sz w:val="32"/>
          <w:szCs w:val="32"/>
          <w:highlight w:val="none"/>
          <w:lang w:eastAsia="zh-CN"/>
        </w:rPr>
        <w:t>（图2：收入决算结构图）（饼状图）</w:t>
      </w:r>
      <w:bookmarkEnd w:id="34"/>
    </w:p>
    <w:p w14:paraId="65B4DF85">
      <w:pPr>
        <w:ind w:firstLine="800" w:firstLineChars="250"/>
        <w:rPr>
          <w:rFonts w:hint="eastAsia" w:ascii="Times New Roman" w:hAnsi="Times New Roman" w:eastAsia="仿宋_GB2312" w:cs="仿宋_GB2312"/>
          <w:b w:val="0"/>
          <w:bCs w:val="0"/>
          <w:color w:val="auto"/>
          <w:sz w:val="32"/>
          <w:szCs w:val="32"/>
          <w:highlight w:val="none"/>
          <w:lang w:eastAsia="zh-CN"/>
        </w:rPr>
      </w:pPr>
      <w:r>
        <w:rPr>
          <w:rFonts w:ascii="Times New Roman" w:hAnsi="Times New Roman"/>
          <w:b w:val="0"/>
          <w:bCs w:val="0"/>
        </w:rPr>
        <w:drawing>
          <wp:anchor distT="1367790" distB="0" distL="114935" distR="114935" simplePos="0" relativeHeight="251660288" behindDoc="0" locked="0" layoutInCell="1" allowOverlap="1">
            <wp:simplePos x="0" y="0"/>
            <wp:positionH relativeFrom="column">
              <wp:posOffset>387985</wp:posOffset>
            </wp:positionH>
            <wp:positionV relativeFrom="page">
              <wp:posOffset>1504315</wp:posOffset>
            </wp:positionV>
            <wp:extent cx="4826000" cy="2743200"/>
            <wp:effectExtent l="4445" t="4445" r="8255" b="14605"/>
            <wp:wrapTopAndBottom/>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14:paraId="009E5A22">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bCs w:val="0"/>
          <w:color w:val="auto"/>
          <w:highlight w:val="none"/>
        </w:rPr>
      </w:pPr>
      <w:bookmarkStart w:id="35" w:name="_Toc15377207"/>
      <w:bookmarkStart w:id="36" w:name="_Toc641032110"/>
      <w:bookmarkStart w:id="37" w:name="_Toc15396605"/>
      <w:r>
        <w:rPr>
          <w:rFonts w:hint="eastAsia" w:ascii="Times New Roman" w:hAnsi="Times New Roman" w:eastAsia="黑体"/>
          <w:b w:val="0"/>
          <w:bCs w:val="0"/>
          <w:color w:val="auto"/>
          <w:sz w:val="32"/>
          <w:szCs w:val="32"/>
          <w:highlight w:val="none"/>
          <w:lang w:eastAsia="zh-CN"/>
        </w:rPr>
        <w:t>三、</w:t>
      </w:r>
      <w:r>
        <w:rPr>
          <w:rFonts w:hint="eastAsia" w:ascii="Times New Roman" w:hAnsi="Times New Roman" w:eastAsia="黑体"/>
          <w:b w:val="0"/>
          <w:bCs w:val="0"/>
          <w:color w:val="auto"/>
          <w:sz w:val="32"/>
          <w:szCs w:val="32"/>
          <w:highlight w:val="none"/>
        </w:rPr>
        <w:t>支</w:t>
      </w:r>
      <w:r>
        <w:rPr>
          <w:rStyle w:val="30"/>
          <w:rFonts w:hint="eastAsia" w:ascii="Times New Roman" w:hAnsi="Times New Roman" w:eastAsia="黑体"/>
          <w:b w:val="0"/>
          <w:bCs w:val="0"/>
          <w:color w:val="auto"/>
          <w:highlight w:val="none"/>
        </w:rPr>
        <w:t>出决算情况说明</w:t>
      </w:r>
      <w:bookmarkEnd w:id="35"/>
      <w:bookmarkEnd w:id="36"/>
      <w:bookmarkEnd w:id="37"/>
    </w:p>
    <w:p w14:paraId="29CE3C56">
      <w:pPr>
        <w:bidi w:val="0"/>
        <w:rPr>
          <w:rFonts w:hint="eastAsia"/>
          <w:lang w:eastAsia="zh-CN"/>
        </w:rPr>
      </w:pPr>
      <w:r>
        <w:rPr>
          <w:rFonts w:hint="eastAsia"/>
          <w:lang w:eastAsia="zh-CN"/>
        </w:rPr>
        <w:t>2025年度本年支出合计</w:t>
      </w:r>
      <w:r>
        <w:rPr>
          <w:rFonts w:hint="eastAsia"/>
          <w:lang w:val="en-US" w:eastAsia="zh-CN"/>
        </w:rPr>
        <w:t>3118.43</w:t>
      </w:r>
      <w:r>
        <w:rPr>
          <w:rFonts w:hint="eastAsia"/>
          <w:lang w:eastAsia="zh-CN"/>
        </w:rPr>
        <w:t>万元，其中：</w:t>
      </w:r>
      <w:r>
        <w:rPr>
          <w:rFonts w:hint="eastAsia"/>
          <w:highlight w:val="none"/>
          <w:lang w:eastAsia="zh-CN"/>
        </w:rPr>
        <w:t>基本支出</w:t>
      </w:r>
      <w:r>
        <w:rPr>
          <w:rFonts w:hint="eastAsia"/>
          <w:highlight w:val="none"/>
          <w:lang w:val="en-US" w:eastAsia="zh-CN"/>
        </w:rPr>
        <w:t>2510.20</w:t>
      </w:r>
      <w:r>
        <w:rPr>
          <w:rFonts w:hint="eastAsia"/>
          <w:highlight w:val="none"/>
          <w:lang w:eastAsia="zh-CN"/>
        </w:rPr>
        <w:t>万元，占</w:t>
      </w:r>
      <w:r>
        <w:rPr>
          <w:rFonts w:hint="eastAsia"/>
          <w:highlight w:val="none"/>
          <w:lang w:val="en-US" w:eastAsia="zh-CN"/>
        </w:rPr>
        <w:t>80.5</w:t>
      </w:r>
      <w:r>
        <w:rPr>
          <w:rFonts w:hint="eastAsia"/>
          <w:highlight w:val="none"/>
          <w:lang w:eastAsia="zh-CN"/>
        </w:rPr>
        <w:t>%；项目支出</w:t>
      </w:r>
      <w:r>
        <w:rPr>
          <w:rFonts w:hint="eastAsia"/>
          <w:highlight w:val="none"/>
          <w:lang w:val="en-US" w:eastAsia="zh-CN"/>
        </w:rPr>
        <w:t>608.23</w:t>
      </w:r>
      <w:r>
        <w:rPr>
          <w:rFonts w:hint="eastAsia"/>
          <w:highlight w:val="none"/>
          <w:lang w:eastAsia="zh-CN"/>
        </w:rPr>
        <w:t>万元，</w:t>
      </w:r>
      <w:r>
        <w:rPr>
          <w:rFonts w:hint="eastAsia"/>
          <w:lang w:eastAsia="zh-CN"/>
        </w:rPr>
        <w:t>占</w:t>
      </w:r>
      <w:r>
        <w:rPr>
          <w:rFonts w:hint="eastAsia"/>
          <w:lang w:val="en-US" w:eastAsia="zh-CN"/>
        </w:rPr>
        <w:t>19.5</w:t>
      </w:r>
      <w:r>
        <w:rPr>
          <w:rFonts w:hint="eastAsia"/>
          <w:lang w:eastAsia="zh-CN"/>
        </w:rPr>
        <w:t>%。</w:t>
      </w:r>
    </w:p>
    <w:p w14:paraId="18FF6738">
      <w:pPr>
        <w:bidi w:val="0"/>
        <w:rPr>
          <w:rFonts w:hint="eastAsia"/>
          <w:lang w:eastAsia="zh-CN"/>
        </w:rPr>
      </w:pPr>
      <w:r>
        <w:rPr>
          <w:rFonts w:hint="eastAsia"/>
          <w:lang w:eastAsia="zh-CN"/>
        </w:rPr>
        <w:drawing>
          <wp:anchor distT="0" distB="0" distL="114300" distR="114300" simplePos="0" relativeHeight="251661312" behindDoc="0" locked="0" layoutInCell="1" allowOverlap="1">
            <wp:simplePos x="0" y="0"/>
            <wp:positionH relativeFrom="column">
              <wp:posOffset>432435</wp:posOffset>
            </wp:positionH>
            <wp:positionV relativeFrom="paragraph">
              <wp:posOffset>635635</wp:posOffset>
            </wp:positionV>
            <wp:extent cx="5022215" cy="2859405"/>
            <wp:effectExtent l="0" t="0" r="6985" b="17145"/>
            <wp:wrapTopAndBottom/>
            <wp:docPr id="1" name="图片 1" descr="支出决算结构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支出决算结构图"/>
                    <pic:cNvPicPr>
                      <a:picLocks noChangeAspect="1"/>
                    </pic:cNvPicPr>
                  </pic:nvPicPr>
                  <pic:blipFill>
                    <a:blip r:embed="rId14"/>
                    <a:stretch>
                      <a:fillRect/>
                    </a:stretch>
                  </pic:blipFill>
                  <pic:spPr>
                    <a:xfrm>
                      <a:off x="0" y="0"/>
                      <a:ext cx="5022215" cy="2859405"/>
                    </a:xfrm>
                    <a:prstGeom prst="rect">
                      <a:avLst/>
                    </a:prstGeom>
                  </pic:spPr>
                </pic:pic>
              </a:graphicData>
            </a:graphic>
          </wp:anchor>
        </w:drawing>
      </w:r>
      <w:r>
        <w:rPr>
          <w:rFonts w:hint="eastAsia"/>
          <w:lang w:eastAsia="zh-CN"/>
        </w:rPr>
        <w:t>（图3：支出决算结构图）（饼状图）</w:t>
      </w:r>
    </w:p>
    <w:p w14:paraId="38E988F2">
      <w:pPr>
        <w:ind w:firstLine="800" w:firstLineChars="250"/>
        <w:rPr>
          <w:rFonts w:hint="eastAsia" w:ascii="Times New Roman" w:hAnsi="Times New Roman" w:eastAsia="仿宋_GB2312" w:cs="仿宋_GB2312"/>
          <w:b w:val="0"/>
          <w:bCs w:val="0"/>
          <w:color w:val="auto"/>
          <w:sz w:val="32"/>
          <w:szCs w:val="32"/>
          <w:highlight w:val="none"/>
          <w:lang w:eastAsia="zh-CN"/>
        </w:rPr>
      </w:pPr>
    </w:p>
    <w:p w14:paraId="73B4A29C">
      <w:pPr>
        <w:pStyle w:val="4"/>
        <w:bidi w:val="0"/>
        <w:rPr>
          <w:rFonts w:ascii="Times New Roman" w:hAnsi="Times New Roman"/>
          <w:b w:val="0"/>
          <w:bCs w:val="0"/>
        </w:rPr>
      </w:pPr>
      <w:bookmarkStart w:id="38" w:name="_Toc15377208"/>
      <w:bookmarkStart w:id="39" w:name="_Toc15396606"/>
      <w:bookmarkStart w:id="40" w:name="_Toc1630139297"/>
      <w:r>
        <w:rPr>
          <w:rFonts w:hint="eastAsia" w:ascii="Times New Roman" w:hAnsi="Times New Roman"/>
          <w:b w:val="0"/>
          <w:bCs w:val="0"/>
        </w:rPr>
        <w:t>四、财政拨款收入支出决算总体情况说明</w:t>
      </w:r>
      <w:bookmarkEnd w:id="38"/>
      <w:bookmarkEnd w:id="39"/>
      <w:bookmarkEnd w:id="40"/>
    </w:p>
    <w:p w14:paraId="035CB209">
      <w:pPr>
        <w:bidi w:val="0"/>
        <w:rPr>
          <w:rFonts w:hint="eastAsia" w:ascii="Times New Roman" w:hAnsi="Times New Roman" w:cs="Times New Roman"/>
          <w:lang w:val="en-US" w:eastAsia="zh-CN"/>
        </w:rPr>
      </w:pPr>
      <w:r>
        <w:rPr>
          <w:rFonts w:hint="eastAsia" w:ascii="Times New Roman" w:hAnsi="Times New Roman" w:cs="Times New Roman"/>
          <w:lang w:val="en-US" w:eastAsia="zh-CN"/>
        </w:rPr>
        <w:t>2025年度财政拨款收入、支出总计均为3118.43万元。与上年度相比，</w:t>
      </w:r>
      <w:r>
        <w:rPr>
          <w:rFonts w:hint="eastAsia" w:ascii="Times New Roman" w:hAnsi="Times New Roman" w:cs="Times New Roman"/>
          <w:lang w:eastAsia="zh-CN"/>
        </w:rPr>
        <w:t>收入</w:t>
      </w:r>
      <w:r>
        <w:rPr>
          <w:rFonts w:hint="eastAsia" w:ascii="Times New Roman" w:hAnsi="Times New Roman" w:cs="Times New Roman"/>
          <w:lang w:val="en-US" w:eastAsia="zh-CN"/>
        </w:rPr>
        <w:t>总计增加120.26万元，增长4.01%。</w:t>
      </w:r>
      <w:r>
        <w:rPr>
          <w:rFonts w:hint="eastAsia" w:ascii="Times New Roman" w:hAnsi="Times New Roman" w:cs="Times New Roman"/>
          <w:lang w:eastAsia="zh-CN"/>
        </w:rPr>
        <w:t>支出</w:t>
      </w:r>
      <w:r>
        <w:rPr>
          <w:rFonts w:hint="eastAsia" w:ascii="Times New Roman" w:hAnsi="Times New Roman" w:cs="Times New Roman"/>
          <w:lang w:val="en-US" w:eastAsia="zh-CN"/>
        </w:rPr>
        <w:t>总计增加120.26万元，增长4.01%。</w:t>
      </w:r>
      <w:r>
        <w:rPr>
          <w:rFonts w:hint="eastAsia" w:ascii="Times New Roman" w:hAnsi="Times New Roman" w:cs="Times New Roman"/>
          <w:lang w:eastAsia="zh-CN"/>
        </w:rPr>
        <w:t>主要</w:t>
      </w:r>
      <w:r>
        <w:rPr>
          <w:rFonts w:hint="eastAsia" w:ascii="Times New Roman" w:hAnsi="Times New Roman" w:cs="Times New Roman"/>
          <w:lang w:val="en-US" w:eastAsia="zh-CN"/>
        </w:rPr>
        <w:t>变动原因是</w:t>
      </w:r>
      <w:r>
        <w:rPr>
          <w:rFonts w:hint="eastAsia"/>
          <w:b w:val="0"/>
          <w:bCs w:val="0"/>
          <w:lang w:val="en-US" w:eastAsia="zh-CN"/>
        </w:rPr>
        <w:t>项目经费增加。</w:t>
      </w:r>
    </w:p>
    <w:p w14:paraId="7CFFF52A">
      <w:pPr>
        <w:bidi w:val="0"/>
        <w:rPr>
          <w:rFonts w:hint="eastAsia" w:ascii="Times New Roman" w:hAnsi="Times New Roman" w:cs="Times New Roman"/>
          <w:lang w:val="en-US" w:eastAsia="zh-CN"/>
        </w:rPr>
      </w:pPr>
      <w:r>
        <w:rPr>
          <w:rFonts w:hint="eastAsia" w:ascii="Times New Roman" w:hAnsi="Times New Roman" w:cs="Times New Roman"/>
          <w:lang w:val="en-US" w:eastAsia="zh-CN"/>
        </w:rPr>
        <w:t>（图4：财政拨款收、支决算总计变动情况）（柱状图）</w:t>
      </w:r>
    </w:p>
    <w:p w14:paraId="435ACCBF">
      <w:pPr>
        <w:spacing w:line="240" w:lineRule="auto"/>
        <w:ind w:firstLine="640"/>
        <w:rPr>
          <w:rFonts w:hint="eastAsia" w:ascii="Times New Roman" w:hAnsi="Times New Roman" w:eastAsia="仿宋_GB2312" w:cs="仿宋_GB2312"/>
          <w:b w:val="0"/>
          <w:bCs w:val="0"/>
          <w:color w:val="auto"/>
          <w:kern w:val="2"/>
          <w:sz w:val="32"/>
          <w:szCs w:val="32"/>
          <w:highlight w:val="none"/>
          <w:lang w:val="en-US" w:eastAsia="zh-CN" w:bidi="ar-SA"/>
        </w:rPr>
      </w:pPr>
      <w:r>
        <w:rPr>
          <w:rFonts w:hint="eastAsia" w:ascii="Times New Roman" w:hAnsi="Times New Roman" w:eastAsia="仿宋_GB2312" w:cs="仿宋_GB2312"/>
          <w:b w:val="0"/>
          <w:bCs w:val="0"/>
          <w:color w:val="auto"/>
          <w:kern w:val="2"/>
          <w:sz w:val="32"/>
          <w:szCs w:val="32"/>
          <w:highlight w:val="none"/>
          <w:lang w:val="en-US" w:eastAsia="zh-CN" w:bidi="ar-SA"/>
        </w:rPr>
        <w:drawing>
          <wp:inline distT="0" distB="0" distL="114300" distR="114300">
            <wp:extent cx="4839970" cy="2755265"/>
            <wp:effectExtent l="0" t="0" r="17780" b="6985"/>
            <wp:docPr id="4" name="图片 4" descr="财政拨款收、支决算总计变动情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财政拨款收、支决算总计变动情况"/>
                    <pic:cNvPicPr>
                      <a:picLocks noChangeAspect="1"/>
                    </pic:cNvPicPr>
                  </pic:nvPicPr>
                  <pic:blipFill>
                    <a:blip r:embed="rId15"/>
                    <a:stretch>
                      <a:fillRect/>
                    </a:stretch>
                  </pic:blipFill>
                  <pic:spPr>
                    <a:xfrm>
                      <a:off x="0" y="0"/>
                      <a:ext cx="4839970" cy="2755265"/>
                    </a:xfrm>
                    <a:prstGeom prst="rect">
                      <a:avLst/>
                    </a:prstGeom>
                  </pic:spPr>
                </pic:pic>
              </a:graphicData>
            </a:graphic>
          </wp:inline>
        </w:drawing>
      </w:r>
    </w:p>
    <w:p w14:paraId="176A392D">
      <w:pPr>
        <w:pStyle w:val="4"/>
        <w:bidi w:val="0"/>
        <w:rPr>
          <w:rFonts w:ascii="Times New Roman" w:hAnsi="Times New Roman"/>
          <w:b w:val="0"/>
          <w:bCs w:val="0"/>
        </w:rPr>
      </w:pPr>
      <w:bookmarkStart w:id="41" w:name="_Toc15396607"/>
      <w:bookmarkStart w:id="42" w:name="_Toc15377209"/>
      <w:bookmarkStart w:id="43" w:name="_Toc1745623425"/>
      <w:r>
        <w:rPr>
          <w:rFonts w:hint="eastAsia" w:ascii="Times New Roman" w:hAnsi="Times New Roman"/>
          <w:b w:val="0"/>
          <w:bCs w:val="0"/>
        </w:rPr>
        <w:t>五、一般公共预算财政拨款支出决算情况说明</w:t>
      </w:r>
      <w:bookmarkEnd w:id="41"/>
      <w:bookmarkEnd w:id="42"/>
      <w:bookmarkEnd w:id="43"/>
    </w:p>
    <w:p w14:paraId="592B5C6E">
      <w:pPr>
        <w:spacing w:line="600" w:lineRule="exact"/>
        <w:ind w:firstLine="640" w:firstLineChars="200"/>
        <w:outlineLvl w:val="2"/>
        <w:rPr>
          <w:rFonts w:hint="eastAsia" w:ascii="Times New Roman" w:hAnsi="Times New Roman" w:eastAsia="楷体_GB2312" w:cs="楷体_GB2312"/>
          <w:b w:val="0"/>
          <w:bCs w:val="0"/>
          <w:color w:val="auto"/>
          <w:sz w:val="32"/>
          <w:szCs w:val="32"/>
          <w:highlight w:val="none"/>
        </w:rPr>
      </w:pPr>
      <w:bookmarkStart w:id="44" w:name="_Toc17598382"/>
      <w:bookmarkStart w:id="45" w:name="_Toc15377210"/>
      <w:r>
        <w:rPr>
          <w:rFonts w:hint="eastAsia" w:ascii="Times New Roman" w:hAnsi="Times New Roman" w:eastAsia="楷体_GB2312" w:cs="楷体_GB2312"/>
          <w:b w:val="0"/>
          <w:bCs w:val="0"/>
          <w:color w:val="auto"/>
          <w:sz w:val="32"/>
          <w:szCs w:val="32"/>
          <w:highlight w:val="none"/>
        </w:rPr>
        <w:t>（一）一般公共预算财政拨款支出决算总体情况</w:t>
      </w:r>
      <w:bookmarkEnd w:id="44"/>
      <w:bookmarkEnd w:id="45"/>
    </w:p>
    <w:p w14:paraId="7D5AD4E7">
      <w:pPr>
        <w:bidi w:val="0"/>
        <w:rPr>
          <w:rFonts w:hint="eastAsia" w:ascii="Times New Roman" w:hAnsi="Times New Roman" w:cs="Times New Roman"/>
          <w:lang w:val="en-US" w:eastAsia="zh-CN"/>
        </w:rPr>
      </w:pPr>
      <w:r>
        <w:rPr>
          <w:rFonts w:hint="eastAsia" w:ascii="Times New Roman" w:hAnsi="Times New Roman" w:cs="Times New Roman"/>
          <w:lang w:val="en-US" w:eastAsia="zh-CN"/>
        </w:rPr>
        <w:t>2025年度一般公共预算财政拨款支出3118.43万元，占本年支出合计的100%。与上年度相比，一般公共预算财政拨款支出增加120.26万元，增长4.01%。</w:t>
      </w:r>
      <w:r>
        <w:rPr>
          <w:rFonts w:hint="eastAsia" w:ascii="Times New Roman" w:hAnsi="Times New Roman" w:cs="Times New Roman"/>
          <w:lang w:eastAsia="zh-CN"/>
        </w:rPr>
        <w:t>主要</w:t>
      </w:r>
      <w:r>
        <w:rPr>
          <w:rFonts w:hint="eastAsia" w:ascii="Times New Roman" w:hAnsi="Times New Roman" w:cs="Times New Roman"/>
          <w:lang w:val="en-US" w:eastAsia="zh-CN"/>
        </w:rPr>
        <w:t>变动原因是</w:t>
      </w:r>
      <w:r>
        <w:rPr>
          <w:rFonts w:hint="eastAsia"/>
          <w:b w:val="0"/>
          <w:bCs w:val="0"/>
          <w:lang w:val="en-US" w:eastAsia="zh-CN"/>
        </w:rPr>
        <w:t>项目经费增加</w:t>
      </w:r>
      <w:r>
        <w:rPr>
          <w:rFonts w:hint="eastAsia" w:ascii="Times New Roman" w:hAnsi="Times New Roman" w:cs="Times New Roman"/>
          <w:lang w:val="en-US" w:eastAsia="zh-CN"/>
        </w:rPr>
        <w:t>。</w:t>
      </w:r>
    </w:p>
    <w:p w14:paraId="3FF5E953">
      <w:pPr>
        <w:spacing w:line="600" w:lineRule="exact"/>
        <w:ind w:left="0" w:leftChars="0" w:firstLine="0" w:firstLineChars="0"/>
        <w:rPr>
          <w:rFonts w:hint="eastAsia" w:ascii="Times New Roman" w:hAnsi="Times New Roman" w:eastAsia="仿宋_GB2312" w:cs="仿宋_GB2312"/>
          <w:b w:val="0"/>
          <w:bCs w:val="0"/>
          <w:color w:val="auto"/>
          <w:kern w:val="2"/>
          <w:sz w:val="32"/>
          <w:szCs w:val="32"/>
          <w:highlight w:val="none"/>
          <w:lang w:val="en-US" w:eastAsia="zh-CN" w:bidi="ar-SA"/>
        </w:rPr>
      </w:pPr>
      <w:r>
        <w:rPr>
          <w:rFonts w:hint="eastAsia" w:ascii="Times New Roman" w:hAnsi="Times New Roman" w:eastAsia="仿宋_GB2312" w:cs="仿宋_GB2312"/>
          <w:b w:val="0"/>
          <w:bCs w:val="0"/>
          <w:color w:val="auto"/>
          <w:kern w:val="2"/>
          <w:sz w:val="32"/>
          <w:szCs w:val="32"/>
          <w:highlight w:val="none"/>
          <w:lang w:val="en-US" w:eastAsia="zh-CN" w:bidi="ar-SA"/>
        </w:rPr>
        <w:t>（图5：一般公共预算财政拨款支出决算变动情况）（柱状图）</w:t>
      </w:r>
    </w:p>
    <w:p w14:paraId="20389217">
      <w:pPr>
        <w:spacing w:line="240" w:lineRule="auto"/>
        <w:ind w:firstLine="640"/>
        <w:rPr>
          <w:rFonts w:hint="eastAsia" w:ascii="Times New Roman" w:hAnsi="Times New Roman" w:eastAsia="仿宋_GB2312" w:cs="仿宋_GB2312"/>
          <w:b w:val="0"/>
          <w:bCs w:val="0"/>
          <w:color w:val="auto"/>
          <w:kern w:val="2"/>
          <w:sz w:val="32"/>
          <w:szCs w:val="32"/>
          <w:highlight w:val="none"/>
          <w:lang w:val="en-US" w:eastAsia="zh-CN" w:bidi="ar-SA"/>
        </w:rPr>
      </w:pPr>
      <w:r>
        <w:rPr>
          <w:rFonts w:hint="eastAsia" w:ascii="Times New Roman" w:hAnsi="Times New Roman" w:eastAsia="仿宋_GB2312" w:cs="仿宋_GB2312"/>
          <w:b w:val="0"/>
          <w:bCs w:val="0"/>
          <w:color w:val="auto"/>
          <w:kern w:val="2"/>
          <w:sz w:val="32"/>
          <w:szCs w:val="32"/>
          <w:highlight w:val="none"/>
          <w:lang w:val="en-US" w:eastAsia="zh-CN" w:bidi="ar-SA"/>
        </w:rPr>
        <w:drawing>
          <wp:inline distT="0" distB="0" distL="114300" distR="114300">
            <wp:extent cx="4839970" cy="2755265"/>
            <wp:effectExtent l="0" t="0" r="17780" b="6985"/>
            <wp:docPr id="5" name="图片 5" descr="一般公共预算财政拨款支出决算变动情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一般公共预算财政拨款支出决算变动情况"/>
                    <pic:cNvPicPr>
                      <a:picLocks noChangeAspect="1"/>
                    </pic:cNvPicPr>
                  </pic:nvPicPr>
                  <pic:blipFill>
                    <a:blip r:embed="rId16"/>
                    <a:stretch>
                      <a:fillRect/>
                    </a:stretch>
                  </pic:blipFill>
                  <pic:spPr>
                    <a:xfrm>
                      <a:off x="0" y="0"/>
                      <a:ext cx="4839970" cy="2755265"/>
                    </a:xfrm>
                    <a:prstGeom prst="rect">
                      <a:avLst/>
                    </a:prstGeom>
                  </pic:spPr>
                </pic:pic>
              </a:graphicData>
            </a:graphic>
          </wp:inline>
        </w:drawing>
      </w:r>
    </w:p>
    <w:p w14:paraId="28153A66">
      <w:pPr>
        <w:spacing w:line="600" w:lineRule="exact"/>
        <w:ind w:firstLine="640" w:firstLineChars="200"/>
        <w:outlineLvl w:val="2"/>
        <w:rPr>
          <w:rFonts w:hint="eastAsia" w:ascii="Times New Roman" w:hAnsi="Times New Roman" w:eastAsia="楷体_GB2312" w:cs="楷体_GB2312"/>
          <w:b w:val="0"/>
          <w:bCs w:val="0"/>
          <w:color w:val="auto"/>
          <w:sz w:val="32"/>
          <w:szCs w:val="32"/>
          <w:highlight w:val="none"/>
        </w:rPr>
      </w:pPr>
      <w:bookmarkStart w:id="46" w:name="_Toc15377211"/>
      <w:bookmarkStart w:id="47" w:name="_Toc2010545128"/>
      <w:r>
        <w:rPr>
          <w:rFonts w:hint="eastAsia" w:ascii="Times New Roman" w:hAnsi="Times New Roman" w:eastAsia="楷体_GB2312" w:cs="楷体_GB2312"/>
          <w:b w:val="0"/>
          <w:bCs w:val="0"/>
          <w:color w:val="auto"/>
          <w:sz w:val="32"/>
          <w:szCs w:val="32"/>
          <w:highlight w:val="none"/>
        </w:rPr>
        <w:t>（二）一般公共预算财政拨款支出决算结构情况</w:t>
      </w:r>
      <w:bookmarkEnd w:id="46"/>
      <w:bookmarkEnd w:id="47"/>
    </w:p>
    <w:p w14:paraId="2D8A9403">
      <w:pPr>
        <w:bidi w:val="0"/>
        <w:rPr>
          <w:rFonts w:hint="eastAsia" w:ascii="Times New Roman" w:hAnsi="Times New Roman" w:cs="Times New Roman"/>
          <w:lang w:val="en-US" w:eastAsia="zh-CN"/>
        </w:rPr>
      </w:pPr>
      <w:r>
        <w:rPr>
          <w:rFonts w:hint="eastAsia" w:ascii="Times New Roman" w:hAnsi="Times New Roman" w:cs="Times New Roman"/>
          <w:lang w:val="en-US" w:eastAsia="zh-CN"/>
        </w:rPr>
        <w:t>2025年度一般公共预算财政拨款支出3118.43万元，主要用于以下方面：一般公共服务支出7.89万元，占0.25%；公共安全支出2717.91万元，占87.16%；社会保障和就业支出170.91万元，占5.48%；卫生健康支出89.05万元，占2.86%；住房保障支出132.67万元，占4.25%。</w:t>
      </w:r>
    </w:p>
    <w:p w14:paraId="547A23EE">
      <w:pPr>
        <w:bidi w:val="0"/>
        <w:rPr>
          <w:rFonts w:hint="eastAsia" w:ascii="Times New Roman" w:hAnsi="Times New Roman" w:cs="Times New Roman"/>
          <w:lang w:val="en-US" w:eastAsia="zh-CN"/>
        </w:rPr>
      </w:pPr>
      <w:r>
        <w:rPr>
          <w:rFonts w:hint="eastAsia" w:ascii="Times New Roman" w:hAnsi="Times New Roman" w:cs="Times New Roman"/>
          <w:lang w:val="en-US" w:eastAsia="zh-CN"/>
        </w:rPr>
        <w:t>（图6：一般公共预算财政拨款支出决算结构）（饼状图）</w:t>
      </w:r>
    </w:p>
    <w:p w14:paraId="3EE37B4A">
      <w:pPr>
        <w:spacing w:line="240" w:lineRule="auto"/>
        <w:ind w:firstLine="640"/>
        <w:rPr>
          <w:rFonts w:hint="eastAsia" w:ascii="Times New Roman" w:hAnsi="Times New Roman" w:eastAsia="仿宋_GB2312" w:cs="仿宋_GB2312"/>
          <w:b w:val="0"/>
          <w:bCs w:val="0"/>
          <w:color w:val="auto"/>
          <w:kern w:val="2"/>
          <w:sz w:val="32"/>
          <w:szCs w:val="32"/>
          <w:highlight w:val="none"/>
          <w:lang w:val="en-US" w:eastAsia="zh-CN" w:bidi="ar-SA"/>
        </w:rPr>
      </w:pPr>
      <w:r>
        <w:rPr>
          <w:rFonts w:hint="eastAsia" w:ascii="Times New Roman" w:hAnsi="Times New Roman" w:eastAsia="仿宋_GB2312" w:cs="仿宋_GB2312"/>
          <w:b w:val="0"/>
          <w:bCs w:val="0"/>
          <w:color w:val="auto"/>
          <w:kern w:val="2"/>
          <w:sz w:val="32"/>
          <w:szCs w:val="32"/>
          <w:highlight w:val="none"/>
          <w:lang w:val="en-US" w:eastAsia="zh-CN" w:bidi="ar-SA"/>
        </w:rPr>
        <w:drawing>
          <wp:inline distT="0" distB="0" distL="114300" distR="114300">
            <wp:extent cx="4993640" cy="2868930"/>
            <wp:effectExtent l="0" t="0" r="16510" b="7620"/>
            <wp:docPr id="7" name="图片 7" descr="一般公共预算财政拨款支出决算结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一般公共预算财政拨款支出决算结构"/>
                    <pic:cNvPicPr>
                      <a:picLocks noChangeAspect="1"/>
                    </pic:cNvPicPr>
                  </pic:nvPicPr>
                  <pic:blipFill>
                    <a:blip r:embed="rId17"/>
                    <a:stretch>
                      <a:fillRect/>
                    </a:stretch>
                  </pic:blipFill>
                  <pic:spPr>
                    <a:xfrm>
                      <a:off x="0" y="0"/>
                      <a:ext cx="4993640" cy="2868930"/>
                    </a:xfrm>
                    <a:prstGeom prst="rect">
                      <a:avLst/>
                    </a:prstGeom>
                  </pic:spPr>
                </pic:pic>
              </a:graphicData>
            </a:graphic>
          </wp:inline>
        </w:drawing>
      </w:r>
    </w:p>
    <w:p w14:paraId="79FBE541">
      <w:pPr>
        <w:spacing w:line="600" w:lineRule="exact"/>
        <w:ind w:firstLine="640" w:firstLineChars="200"/>
        <w:outlineLvl w:val="2"/>
        <w:rPr>
          <w:rFonts w:hint="eastAsia" w:ascii="Times New Roman" w:hAnsi="Times New Roman" w:eastAsia="楷体_GB2312" w:cs="楷体_GB2312"/>
          <w:b w:val="0"/>
          <w:bCs w:val="0"/>
          <w:color w:val="auto"/>
          <w:sz w:val="32"/>
          <w:szCs w:val="32"/>
          <w:highlight w:val="none"/>
        </w:rPr>
      </w:pPr>
      <w:bookmarkStart w:id="48" w:name="_Toc15377212"/>
    </w:p>
    <w:p w14:paraId="3E5CF747">
      <w:pPr>
        <w:spacing w:line="600" w:lineRule="exact"/>
        <w:ind w:firstLine="640" w:firstLineChars="200"/>
        <w:outlineLvl w:val="2"/>
        <w:rPr>
          <w:rFonts w:hint="eastAsia" w:ascii="Times New Roman" w:hAnsi="Times New Roman" w:eastAsia="楷体_GB2312" w:cs="楷体_GB2312"/>
          <w:b w:val="0"/>
          <w:bCs w:val="0"/>
          <w:color w:val="auto"/>
          <w:sz w:val="32"/>
          <w:szCs w:val="32"/>
          <w:highlight w:val="none"/>
        </w:rPr>
      </w:pPr>
      <w:bookmarkStart w:id="49" w:name="_Toc2016024512"/>
      <w:r>
        <w:rPr>
          <w:rFonts w:hint="eastAsia" w:ascii="Times New Roman" w:hAnsi="Times New Roman" w:eastAsia="楷体_GB2312" w:cs="楷体_GB2312"/>
          <w:b w:val="0"/>
          <w:bCs w:val="0"/>
          <w:color w:val="auto"/>
          <w:sz w:val="32"/>
          <w:szCs w:val="32"/>
          <w:highlight w:val="none"/>
        </w:rPr>
        <w:t>（三）一般公共预算财政拨款支出决算具体情况</w:t>
      </w:r>
      <w:bookmarkEnd w:id="48"/>
      <w:bookmarkEnd w:id="49"/>
    </w:p>
    <w:p w14:paraId="5C1CBFD8">
      <w:pPr>
        <w:bidi w:val="0"/>
        <w:rPr>
          <w:rFonts w:hint="eastAsia" w:ascii="Times New Roman" w:hAnsi="Times New Roman" w:cs="Times New Roman"/>
          <w:lang w:val="en-US" w:eastAsia="zh-CN"/>
        </w:rPr>
      </w:pPr>
      <w:bookmarkStart w:id="50" w:name="_Toc15378460"/>
      <w:bookmarkStart w:id="51" w:name="_Toc15377444"/>
      <w:bookmarkStart w:id="52" w:name="_Toc15377213"/>
      <w:r>
        <w:rPr>
          <w:rFonts w:hint="eastAsia" w:ascii="Times New Roman" w:hAnsi="Times New Roman" w:cs="Times New Roman"/>
          <w:lang w:val="en-US" w:eastAsia="zh-CN"/>
        </w:rPr>
        <w:t>2025年度一般公共预算支出决算数为3118.43万元，完成预算100%。其中：</w:t>
      </w:r>
      <w:bookmarkEnd w:id="50"/>
      <w:bookmarkEnd w:id="51"/>
      <w:bookmarkEnd w:id="52"/>
    </w:p>
    <w:p w14:paraId="3D35F366">
      <w:pPr>
        <w:bidi w:val="0"/>
        <w:rPr>
          <w:rFonts w:hint="eastAsia" w:ascii="Times New Roman" w:hAnsi="Times New Roman" w:cs="Times New Roman"/>
          <w:lang w:val="en-US" w:eastAsia="zh-CN"/>
        </w:rPr>
      </w:pPr>
      <w:r>
        <w:rPr>
          <w:rFonts w:hint="eastAsia" w:ascii="Times New Roman" w:hAnsi="Times New Roman" w:cs="Times New Roman"/>
          <w:lang w:val="en-US" w:eastAsia="zh-CN"/>
        </w:rPr>
        <w:t>1.一般公共服务（类）纪检监察事务（款）派驻派出机构（项）：支出决算为7.89万元，完成预算100%，决算数等于预算数。</w:t>
      </w:r>
    </w:p>
    <w:p w14:paraId="4F7ED9BC">
      <w:pPr>
        <w:bidi w:val="0"/>
        <w:rPr>
          <w:rFonts w:hint="eastAsia" w:ascii="Times New Roman" w:hAnsi="Times New Roman" w:cs="Times New Roman"/>
          <w:lang w:val="en-US" w:eastAsia="zh-CN"/>
        </w:rPr>
      </w:pPr>
      <w:r>
        <w:rPr>
          <w:rFonts w:hint="eastAsia" w:ascii="Times New Roman" w:hAnsi="Times New Roman" w:cs="Times New Roman"/>
          <w:lang w:val="en-US" w:eastAsia="zh-CN"/>
        </w:rPr>
        <w:t>2.公共安全支出（类）检察（款）行政运行（项）:支出决算为2051.94万元，完成预算100%，决算数等于预算数。</w:t>
      </w:r>
    </w:p>
    <w:p w14:paraId="593D9730">
      <w:pPr>
        <w:bidi w:val="0"/>
        <w:rPr>
          <w:rFonts w:hint="eastAsia" w:ascii="Times New Roman" w:hAnsi="Times New Roman" w:cs="Times New Roman"/>
          <w:lang w:val="en-US" w:eastAsia="zh-CN"/>
        </w:rPr>
      </w:pPr>
      <w:r>
        <w:rPr>
          <w:rFonts w:hint="eastAsia" w:ascii="Times New Roman" w:hAnsi="Times New Roman" w:cs="Times New Roman"/>
          <w:lang w:val="en-US" w:eastAsia="zh-CN"/>
        </w:rPr>
        <w:t>3.公共安全支出（类）检察（款）一般行政管理事务（项）：支出决算为97.33万元，完成预算100%，决算数等于预算数。</w:t>
      </w:r>
    </w:p>
    <w:p w14:paraId="6B35464C">
      <w:pPr>
        <w:bidi w:val="0"/>
        <w:rPr>
          <w:rFonts w:hint="eastAsia" w:ascii="Times New Roman" w:hAnsi="Times New Roman" w:cs="Times New Roman"/>
          <w:lang w:val="en-US" w:eastAsia="zh-CN"/>
        </w:rPr>
      </w:pPr>
      <w:r>
        <w:rPr>
          <w:rFonts w:hint="eastAsia" w:ascii="Times New Roman" w:hAnsi="Times New Roman" w:cs="Times New Roman"/>
          <w:lang w:val="en-US" w:eastAsia="zh-CN"/>
        </w:rPr>
        <w:t>4.公共安全支出（类）检察（款）“两房”建设（项）：支出决算为8万元，完成预算100%，决算数等于预算数。</w:t>
      </w:r>
    </w:p>
    <w:p w14:paraId="4E2B2B53">
      <w:pPr>
        <w:bidi w:val="0"/>
        <w:rPr>
          <w:rFonts w:hint="eastAsia" w:ascii="Times New Roman" w:hAnsi="Times New Roman" w:cs="Times New Roman"/>
          <w:lang w:val="en-US" w:eastAsia="zh-CN"/>
        </w:rPr>
      </w:pPr>
      <w:r>
        <w:rPr>
          <w:rFonts w:hint="eastAsia" w:ascii="Times New Roman" w:hAnsi="Times New Roman" w:cs="Times New Roman"/>
          <w:lang w:val="en-US" w:eastAsia="zh-CN"/>
        </w:rPr>
        <w:t>5.公共安全支出（类）检察（款）检察监督（项）：支出决算为122.64万元，完成预算100%，决算数等于预算数。</w:t>
      </w:r>
    </w:p>
    <w:p w14:paraId="0EAB1F6F">
      <w:pPr>
        <w:bidi w:val="0"/>
        <w:rPr>
          <w:rFonts w:hint="eastAsia" w:ascii="Times New Roman" w:hAnsi="Times New Roman" w:cs="Times New Roman"/>
          <w:lang w:val="en-US" w:eastAsia="zh-CN"/>
        </w:rPr>
      </w:pPr>
      <w:r>
        <w:rPr>
          <w:rFonts w:hint="eastAsia" w:ascii="Times New Roman" w:hAnsi="Times New Roman" w:cs="Times New Roman"/>
          <w:lang w:val="en-US" w:eastAsia="zh-CN"/>
        </w:rPr>
        <w:t>6.</w:t>
      </w:r>
      <w:r>
        <w:rPr>
          <w:rFonts w:hint="eastAsia" w:ascii="Times New Roman" w:hAnsi="Times New Roman" w:cs="Times New Roman"/>
          <w:lang w:eastAsia="zh-CN"/>
        </w:rPr>
        <w:t>公共安全支出（类）检察（款）事业运行（项）</w:t>
      </w:r>
      <w:r>
        <w:rPr>
          <w:rFonts w:hint="eastAsia" w:ascii="Times New Roman" w:hAnsi="Times New Roman" w:cs="Times New Roman"/>
          <w:lang w:val="en-US" w:eastAsia="zh-CN"/>
        </w:rPr>
        <w:t>：支出决算为57.74万元，完成预算100%，决算数等于预算数。</w:t>
      </w:r>
    </w:p>
    <w:p w14:paraId="4094DAC4">
      <w:pPr>
        <w:bidi w:val="0"/>
        <w:rPr>
          <w:rFonts w:hint="eastAsia" w:ascii="Times New Roman" w:hAnsi="Times New Roman" w:cs="Times New Roman"/>
          <w:lang w:val="en-US" w:eastAsia="zh-CN"/>
        </w:rPr>
      </w:pPr>
      <w:r>
        <w:rPr>
          <w:rFonts w:hint="eastAsia" w:ascii="Times New Roman" w:hAnsi="Times New Roman" w:cs="Times New Roman"/>
          <w:lang w:val="en-US" w:eastAsia="zh-CN"/>
        </w:rPr>
        <w:t>7.公共安全支出（类）检察（款）其他检察支出（项）:支出决算为380.26万元，完成预算100%，决算数等于预算数。</w:t>
      </w:r>
    </w:p>
    <w:p w14:paraId="5DF3E82E">
      <w:pPr>
        <w:bidi w:val="0"/>
        <w:rPr>
          <w:rFonts w:hint="eastAsia" w:ascii="Times New Roman" w:hAnsi="Times New Roman" w:cs="Times New Roman"/>
          <w:lang w:val="en-US" w:eastAsia="zh-CN"/>
        </w:rPr>
      </w:pPr>
      <w:r>
        <w:rPr>
          <w:rFonts w:hint="eastAsia" w:ascii="Times New Roman" w:hAnsi="Times New Roman" w:cs="Times New Roman"/>
          <w:lang w:val="en-US" w:eastAsia="zh-CN"/>
        </w:rPr>
        <w:t>8.社会保障和就业（类）行政事业单位养老支出（款）行政单位离退休（项）:支出决算为10.63万元，完成预算100%，决算数等于预算数。</w:t>
      </w:r>
    </w:p>
    <w:p w14:paraId="22F6FF81">
      <w:pPr>
        <w:bidi w:val="0"/>
        <w:rPr>
          <w:rFonts w:hint="eastAsia" w:ascii="Times New Roman" w:hAnsi="Times New Roman" w:cs="Times New Roman"/>
          <w:lang w:val="en-US" w:eastAsia="zh-CN"/>
        </w:rPr>
      </w:pPr>
      <w:r>
        <w:rPr>
          <w:rFonts w:hint="eastAsia" w:ascii="Times New Roman" w:hAnsi="Times New Roman" w:cs="Times New Roman"/>
          <w:lang w:val="en-US" w:eastAsia="zh-CN"/>
        </w:rPr>
        <w:t>9.社会保障和就业（类）行政事业单位养老支出（款）机关事业单位基本养老保险缴费支出（项）:支出决算为160.16万元，完成预算100%，决算数等于预算数。</w:t>
      </w:r>
    </w:p>
    <w:p w14:paraId="1E1C8A60">
      <w:pPr>
        <w:bidi w:val="0"/>
        <w:rPr>
          <w:rFonts w:hint="eastAsia" w:ascii="Times New Roman" w:hAnsi="Times New Roman" w:cs="Times New Roman"/>
          <w:lang w:val="en-US" w:eastAsia="zh-CN"/>
        </w:rPr>
      </w:pPr>
      <w:r>
        <w:rPr>
          <w:rFonts w:hint="eastAsia" w:ascii="Times New Roman" w:hAnsi="Times New Roman" w:cs="Times New Roman"/>
          <w:lang w:val="en-US" w:eastAsia="zh-CN"/>
        </w:rPr>
        <w:t>10.社会保障和就业（类）其他社会保障和就业支出（款）其他社会保障和就业支出（项）:支出决算为0.13万元，完成预算100%，决算数等于预算数。</w:t>
      </w:r>
    </w:p>
    <w:p w14:paraId="57103B5B">
      <w:pPr>
        <w:bidi w:val="0"/>
        <w:rPr>
          <w:rFonts w:hint="eastAsia" w:ascii="Times New Roman" w:hAnsi="Times New Roman" w:cs="Times New Roman"/>
          <w:lang w:val="en-US" w:eastAsia="zh-CN"/>
        </w:rPr>
      </w:pPr>
      <w:r>
        <w:rPr>
          <w:rFonts w:hint="eastAsia" w:ascii="Times New Roman" w:hAnsi="Times New Roman" w:cs="Times New Roman"/>
          <w:lang w:val="en-US" w:eastAsia="zh-CN"/>
        </w:rPr>
        <w:t>11.卫生健康（类）行政事业单位医疗（款）行政单位医疗（项）:支出决算为60.33万元，完成预算100%，决算数等于预算数。</w:t>
      </w:r>
    </w:p>
    <w:p w14:paraId="5FB76782">
      <w:pPr>
        <w:bidi w:val="0"/>
        <w:rPr>
          <w:rFonts w:hint="eastAsia" w:ascii="Times New Roman" w:hAnsi="Times New Roman" w:cs="Times New Roman"/>
          <w:lang w:val="en-US" w:eastAsia="zh-CN"/>
        </w:rPr>
      </w:pPr>
      <w:r>
        <w:rPr>
          <w:rFonts w:hint="eastAsia" w:ascii="Times New Roman" w:hAnsi="Times New Roman" w:cs="Times New Roman"/>
          <w:lang w:val="en-US" w:eastAsia="zh-CN"/>
        </w:rPr>
        <w:t>12.卫生健康（类）行政事业单位医疗（款）事业单位医疗（项）:支出决算为2.66万元，完成预算100%，决算数等于预算数。</w:t>
      </w:r>
    </w:p>
    <w:p w14:paraId="66DC8327">
      <w:pPr>
        <w:bidi w:val="0"/>
        <w:rPr>
          <w:rFonts w:hint="eastAsia" w:ascii="Times New Roman" w:hAnsi="Times New Roman" w:cs="Times New Roman"/>
          <w:lang w:val="en-US" w:eastAsia="zh-CN"/>
        </w:rPr>
      </w:pPr>
      <w:r>
        <w:rPr>
          <w:rFonts w:hint="eastAsia" w:ascii="Times New Roman" w:hAnsi="Times New Roman" w:cs="Times New Roman"/>
          <w:lang w:val="en-US" w:eastAsia="zh-CN"/>
        </w:rPr>
        <w:t>13.卫生健康（类）行政事业单位医疗（款）公务员医疗补助（项）:支出决算为14.68万元，完成预算100%，决算数等于预算数。</w:t>
      </w:r>
    </w:p>
    <w:p w14:paraId="45EEB5BD">
      <w:pPr>
        <w:bidi w:val="0"/>
        <w:rPr>
          <w:rFonts w:hint="eastAsia" w:ascii="Times New Roman" w:hAnsi="Times New Roman" w:cs="Times New Roman"/>
          <w:lang w:val="en-US" w:eastAsia="zh-CN"/>
        </w:rPr>
      </w:pPr>
      <w:r>
        <w:rPr>
          <w:rFonts w:hint="eastAsia" w:ascii="Times New Roman" w:hAnsi="Times New Roman" w:cs="Times New Roman"/>
          <w:lang w:val="en-US" w:eastAsia="zh-CN"/>
        </w:rPr>
        <w:t>14.卫生健康（类）行政事业单位医疗（款）其他行政事业单位医疗支出（项）:支出决算为11.39万元，完成预算100%，决算数等于预算数。</w:t>
      </w:r>
    </w:p>
    <w:p w14:paraId="10A4FE30">
      <w:pPr>
        <w:bidi w:val="0"/>
        <w:rPr>
          <w:rFonts w:hint="eastAsia" w:ascii="Times New Roman" w:hAnsi="Times New Roman" w:cs="Times New Roman"/>
          <w:lang w:val="en-US" w:eastAsia="zh-CN"/>
        </w:rPr>
      </w:pPr>
      <w:r>
        <w:rPr>
          <w:rFonts w:hint="eastAsia" w:ascii="Times New Roman" w:hAnsi="Times New Roman" w:cs="Times New Roman"/>
          <w:lang w:val="en-US" w:eastAsia="zh-CN"/>
        </w:rPr>
        <w:t>15.住房保障支出（类）住房改革支出（款）住房公积金（项）:支出决算为132.67万元，完成预算100%，决算数等于预算数。</w:t>
      </w:r>
    </w:p>
    <w:p w14:paraId="23394C50">
      <w:pPr>
        <w:tabs>
          <w:tab w:val="right" w:pos="8306"/>
        </w:tabs>
        <w:spacing w:line="600" w:lineRule="exact"/>
        <w:ind w:firstLine="640"/>
        <w:outlineLvl w:val="1"/>
        <w:rPr>
          <w:rStyle w:val="30"/>
          <w:rFonts w:ascii="Times New Roman" w:hAnsi="Times New Roman"/>
          <w:b w:val="0"/>
          <w:bCs w:val="0"/>
          <w:color w:val="auto"/>
          <w:highlight w:val="none"/>
        </w:rPr>
      </w:pPr>
      <w:bookmarkStart w:id="53" w:name="_Toc15396608"/>
      <w:bookmarkStart w:id="54" w:name="_Toc15377214"/>
      <w:bookmarkStart w:id="55" w:name="_Toc292469080"/>
      <w:r>
        <w:rPr>
          <w:rFonts w:hint="eastAsia" w:ascii="Times New Roman" w:hAnsi="Times New Roman" w:eastAsia="黑体"/>
          <w:b w:val="0"/>
          <w:bCs w:val="0"/>
          <w:color w:val="auto"/>
          <w:sz w:val="32"/>
          <w:szCs w:val="32"/>
          <w:highlight w:val="none"/>
        </w:rPr>
        <w:t>六、一</w:t>
      </w:r>
      <w:r>
        <w:rPr>
          <w:rStyle w:val="30"/>
          <w:rFonts w:hint="eastAsia" w:ascii="Times New Roman" w:hAnsi="Times New Roman" w:eastAsia="黑体"/>
          <w:b w:val="0"/>
          <w:bCs w:val="0"/>
          <w:color w:val="auto"/>
          <w:highlight w:val="none"/>
        </w:rPr>
        <w:t>般公共预算财政拨款基本支出决算情况说明</w:t>
      </w:r>
      <w:bookmarkEnd w:id="53"/>
      <w:bookmarkEnd w:id="54"/>
      <w:bookmarkEnd w:id="55"/>
      <w:r>
        <w:rPr>
          <w:rStyle w:val="30"/>
          <w:rFonts w:ascii="Times New Roman" w:hAnsi="Times New Roman" w:eastAsia="黑体"/>
          <w:b w:val="0"/>
          <w:bCs w:val="0"/>
          <w:color w:val="auto"/>
          <w:highlight w:val="none"/>
        </w:rPr>
        <w:tab/>
      </w:r>
    </w:p>
    <w:p w14:paraId="0086AFAA">
      <w:pPr>
        <w:bidi w:val="0"/>
        <w:rPr>
          <w:rFonts w:hint="eastAsia" w:ascii="Times New Roman" w:hAnsi="Times New Roman" w:cs="Times New Roman"/>
          <w:lang w:val="en-US" w:eastAsia="zh-CN"/>
        </w:rPr>
      </w:pPr>
      <w:r>
        <w:rPr>
          <w:rFonts w:hint="eastAsia" w:ascii="Times New Roman" w:hAnsi="Times New Roman" w:cs="Times New Roman"/>
          <w:lang w:val="en-US" w:eastAsia="zh-CN"/>
        </w:rPr>
        <w:t>2025年度一般公共预算财政拨款基本支出2510.2万元，其中：</w:t>
      </w:r>
    </w:p>
    <w:p w14:paraId="430ADCCC">
      <w:pPr>
        <w:bidi w:val="0"/>
        <w:rPr>
          <w:rFonts w:hint="eastAsia" w:ascii="Times New Roman" w:hAnsi="Times New Roman" w:cs="Times New Roman"/>
          <w:lang w:val="en-US" w:eastAsia="zh-CN"/>
        </w:rPr>
      </w:pPr>
      <w:r>
        <w:rPr>
          <w:rFonts w:hint="eastAsia" w:ascii="Times New Roman" w:hAnsi="Times New Roman" w:cs="Times New Roman"/>
          <w:lang w:val="en-US" w:eastAsia="zh-CN"/>
        </w:rPr>
        <w:t>人员经费2091.17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p>
    <w:p w14:paraId="26825EA6">
      <w:pPr>
        <w:bidi w:val="0"/>
        <w:rPr>
          <w:rFonts w:hint="eastAsia" w:ascii="Times New Roman" w:hAnsi="Times New Roman" w:cs="Times New Roman"/>
          <w:lang w:val="en-US" w:eastAsia="zh-CN"/>
        </w:rPr>
      </w:pPr>
      <w:r>
        <w:rPr>
          <w:rFonts w:hint="eastAsia" w:ascii="Times New Roman" w:hAnsi="Times New Roman" w:cs="Times New Roman"/>
          <w:lang w:val="en-US" w:eastAsia="zh-CN"/>
        </w:rPr>
        <w:t>公用经费419.03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63C2434B">
      <w:pPr>
        <w:spacing w:line="600" w:lineRule="exact"/>
        <w:ind w:firstLine="640"/>
        <w:outlineLvl w:val="1"/>
        <w:rPr>
          <w:rStyle w:val="30"/>
          <w:rFonts w:ascii="Times New Roman" w:hAnsi="Times New Roman" w:eastAsia="黑体"/>
          <w:b w:val="0"/>
          <w:bCs w:val="0"/>
          <w:color w:val="auto"/>
          <w:highlight w:val="none"/>
        </w:rPr>
      </w:pPr>
      <w:bookmarkStart w:id="56" w:name="_Toc15377215"/>
      <w:bookmarkStart w:id="57" w:name="_Toc1884252096"/>
      <w:bookmarkStart w:id="58" w:name="_Toc15396609"/>
      <w:r>
        <w:rPr>
          <w:rFonts w:hint="eastAsia" w:ascii="Times New Roman" w:hAnsi="Times New Roman" w:eastAsia="黑体"/>
          <w:b w:val="0"/>
          <w:bCs w:val="0"/>
          <w:color w:val="auto"/>
          <w:sz w:val="32"/>
          <w:szCs w:val="32"/>
          <w:highlight w:val="none"/>
        </w:rPr>
        <w:t>七、</w:t>
      </w:r>
      <w:r>
        <w:rPr>
          <w:rStyle w:val="30"/>
          <w:rFonts w:hint="eastAsia" w:ascii="Times New Roman" w:hAnsi="Times New Roman" w:eastAsia="黑体"/>
          <w:b w:val="0"/>
          <w:bCs w:val="0"/>
          <w:color w:val="auto"/>
          <w:highlight w:val="none"/>
        </w:rPr>
        <w:t>财政拨款“三公”经费支出决算情况说明</w:t>
      </w:r>
      <w:bookmarkEnd w:id="56"/>
      <w:bookmarkEnd w:id="57"/>
      <w:bookmarkEnd w:id="58"/>
    </w:p>
    <w:p w14:paraId="10E03695">
      <w:pPr>
        <w:spacing w:line="600" w:lineRule="exact"/>
        <w:ind w:firstLine="640" w:firstLineChars="200"/>
        <w:outlineLvl w:val="2"/>
        <w:rPr>
          <w:rFonts w:hint="eastAsia" w:ascii="Times New Roman" w:hAnsi="Times New Roman" w:eastAsia="楷体_GB2312" w:cs="楷体_GB2312"/>
          <w:b w:val="0"/>
          <w:bCs w:val="0"/>
          <w:color w:val="auto"/>
          <w:sz w:val="32"/>
          <w:szCs w:val="32"/>
          <w:highlight w:val="none"/>
        </w:rPr>
      </w:pPr>
      <w:bookmarkStart w:id="59" w:name="_Toc979232081"/>
      <w:bookmarkStart w:id="60" w:name="_Toc15377216"/>
      <w:r>
        <w:rPr>
          <w:rFonts w:hint="eastAsia" w:ascii="Times New Roman" w:hAnsi="Times New Roman" w:eastAsia="楷体_GB2312" w:cs="楷体_GB2312"/>
          <w:b w:val="0"/>
          <w:bCs w:val="0"/>
          <w:color w:val="auto"/>
          <w:sz w:val="32"/>
          <w:szCs w:val="32"/>
          <w:highlight w:val="none"/>
        </w:rPr>
        <w:t>（一）财政拨款“三公”经费支出决算总体情况说明</w:t>
      </w:r>
      <w:bookmarkEnd w:id="59"/>
      <w:bookmarkEnd w:id="60"/>
    </w:p>
    <w:p w14:paraId="529280AD">
      <w:pPr>
        <w:bidi w:val="0"/>
        <w:rPr>
          <w:rFonts w:hint="eastAsia" w:ascii="Times New Roman" w:hAnsi="Times New Roman" w:cs="Times New Roman"/>
          <w:highlight w:val="none"/>
          <w:lang w:val="en-US" w:eastAsia="zh-CN"/>
        </w:rPr>
      </w:pPr>
      <w:r>
        <w:rPr>
          <w:rFonts w:hint="eastAsia" w:ascii="Times New Roman" w:hAnsi="Times New Roman" w:cs="Times New Roman"/>
          <w:lang w:val="en-US" w:eastAsia="zh-CN"/>
        </w:rPr>
        <w:t>2025年度财政拨款“三公”经费支出决算为44.88万元，完成预算100%，较上年度增加3.84万元，增长9.37%。决算数小于预算数（或与预算数持平）的主要原因是公务用车保有量为10辆</w:t>
      </w:r>
      <w:r>
        <w:rPr>
          <w:rFonts w:hint="eastAsia" w:cs="Times New Roman"/>
          <w:lang w:val="en-US" w:eastAsia="zh-CN"/>
        </w:rPr>
        <w:t>，</w:t>
      </w:r>
      <w:r>
        <w:rPr>
          <w:rFonts w:hint="eastAsia"/>
          <w:highlight w:val="none"/>
          <w:lang w:val="en-US" w:eastAsia="zh-CN"/>
        </w:rPr>
        <w:t>2025年度办案任务增多，相</w:t>
      </w:r>
      <w:r>
        <w:rPr>
          <w:rFonts w:hint="eastAsia"/>
          <w:lang w:val="en-US" w:eastAsia="zh-CN"/>
        </w:rPr>
        <w:t>应的公务用车运行维护费有所上涨</w:t>
      </w:r>
      <w:r>
        <w:rPr>
          <w:rFonts w:hint="eastAsia" w:ascii="Times New Roman" w:hAnsi="Times New Roman" w:cs="Times New Roman"/>
          <w:lang w:val="en-US" w:eastAsia="zh-CN"/>
        </w:rPr>
        <w:t>。无因公出国（境）情况。公务接待17批次、154人。</w:t>
      </w:r>
    </w:p>
    <w:p w14:paraId="1CF94EAD">
      <w:pPr>
        <w:spacing w:line="600" w:lineRule="exact"/>
        <w:ind w:firstLine="640" w:firstLineChars="200"/>
        <w:outlineLvl w:val="2"/>
        <w:rPr>
          <w:rFonts w:hint="eastAsia" w:ascii="Times New Roman" w:hAnsi="Times New Roman" w:eastAsia="楷体_GB2312" w:cs="楷体_GB2312"/>
          <w:b w:val="0"/>
          <w:bCs w:val="0"/>
          <w:color w:val="auto"/>
          <w:sz w:val="32"/>
          <w:szCs w:val="32"/>
          <w:highlight w:val="none"/>
        </w:rPr>
      </w:pPr>
      <w:bookmarkStart w:id="61" w:name="_Toc1075524194"/>
      <w:bookmarkStart w:id="62" w:name="_Toc15377217"/>
      <w:r>
        <w:rPr>
          <w:rFonts w:hint="eastAsia" w:ascii="Times New Roman" w:hAnsi="Times New Roman" w:eastAsia="楷体_GB2312" w:cs="楷体_GB2312"/>
          <w:b w:val="0"/>
          <w:bCs w:val="0"/>
          <w:color w:val="auto"/>
          <w:sz w:val="32"/>
          <w:szCs w:val="32"/>
          <w:highlight w:val="none"/>
        </w:rPr>
        <w:t>（二）财政拨款“三公”经费支出决算具体情况说明</w:t>
      </w:r>
      <w:bookmarkEnd w:id="61"/>
      <w:bookmarkEnd w:id="62"/>
    </w:p>
    <w:p w14:paraId="341952A1">
      <w:pPr>
        <w:bidi w:val="0"/>
        <w:rPr>
          <w:rFonts w:hint="eastAsia" w:ascii="Times New Roman" w:hAnsi="Times New Roman" w:cs="Times New Roman"/>
          <w:lang w:val="en-US" w:eastAsia="zh-CN"/>
        </w:rPr>
      </w:pPr>
      <w:r>
        <w:rPr>
          <w:rFonts w:hint="eastAsia" w:ascii="Times New Roman" w:hAnsi="Times New Roman" w:cs="Times New Roman"/>
          <w:lang w:val="en-US" w:eastAsia="zh-CN"/>
        </w:rPr>
        <w:t>2025年度财政拨款“三公”经费支出决算中，因公出国（境）费支出决算0万元，占0%；公务用车购置及运行维护费支出决算42.8万元，占95.37%；公务接待费支出决算2</w:t>
      </w:r>
      <w:r>
        <w:rPr>
          <w:rFonts w:hint="eastAsia" w:cs="Times New Roman"/>
          <w:lang w:val="en-US" w:eastAsia="zh-CN"/>
        </w:rPr>
        <w:t>.</w:t>
      </w:r>
      <w:r>
        <w:rPr>
          <w:rFonts w:hint="eastAsia" w:ascii="Times New Roman" w:hAnsi="Times New Roman" w:cs="Times New Roman"/>
          <w:lang w:val="en-US" w:eastAsia="zh-CN"/>
        </w:rPr>
        <w:t>08万元，占4.63%。具体情况如下：</w:t>
      </w:r>
    </w:p>
    <w:p w14:paraId="4B55B19A">
      <w:pPr>
        <w:spacing w:line="600" w:lineRule="exact"/>
        <w:ind w:firstLine="640"/>
        <w:rPr>
          <w:rFonts w:hint="eastAsia" w:ascii="Times New Roman" w:hAnsi="Times New Roman" w:eastAsia="仿宋_GB2312" w:cs="仿宋_GB2312"/>
          <w:b w:val="0"/>
          <w:bCs w:val="0"/>
          <w:color w:val="auto"/>
          <w:kern w:val="2"/>
          <w:sz w:val="32"/>
          <w:szCs w:val="32"/>
          <w:highlight w:val="none"/>
          <w:lang w:val="en-US" w:eastAsia="zh-CN" w:bidi="ar-SA"/>
        </w:rPr>
      </w:pPr>
      <w:r>
        <w:rPr>
          <w:rFonts w:hint="eastAsia" w:ascii="Times New Roman" w:hAnsi="Times New Roman"/>
          <w:b w:val="0"/>
          <w:bCs w:val="0"/>
          <w:lang w:val="en-US" w:eastAsia="zh-CN"/>
        </w:rPr>
        <w:drawing>
          <wp:anchor distT="0" distB="0" distL="114300" distR="114300" simplePos="0" relativeHeight="251662336" behindDoc="0" locked="0" layoutInCell="1" allowOverlap="1">
            <wp:simplePos x="0" y="0"/>
            <wp:positionH relativeFrom="column">
              <wp:posOffset>258445</wp:posOffset>
            </wp:positionH>
            <wp:positionV relativeFrom="paragraph">
              <wp:posOffset>356870</wp:posOffset>
            </wp:positionV>
            <wp:extent cx="4852670" cy="2797810"/>
            <wp:effectExtent l="0" t="0" r="5080" b="2540"/>
            <wp:wrapTopAndBottom/>
            <wp:docPr id="8" name="图片 8" descr="图7：“三公”经费财政拨款支出结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图7：“三公”经费财政拨款支出结构"/>
                    <pic:cNvPicPr>
                      <a:picLocks noChangeAspect="1"/>
                    </pic:cNvPicPr>
                  </pic:nvPicPr>
                  <pic:blipFill>
                    <a:blip r:embed="rId18"/>
                    <a:stretch>
                      <a:fillRect/>
                    </a:stretch>
                  </pic:blipFill>
                  <pic:spPr>
                    <a:xfrm>
                      <a:off x="0" y="0"/>
                      <a:ext cx="4852670" cy="2797810"/>
                    </a:xfrm>
                    <a:prstGeom prst="rect">
                      <a:avLst/>
                    </a:prstGeom>
                  </pic:spPr>
                </pic:pic>
              </a:graphicData>
            </a:graphic>
          </wp:anchor>
        </w:drawing>
      </w:r>
      <w:r>
        <w:rPr>
          <w:rFonts w:hint="eastAsia" w:ascii="Times New Roman" w:hAnsi="Times New Roman" w:eastAsia="仿宋_GB2312" w:cs="仿宋_GB2312"/>
          <w:b w:val="0"/>
          <w:bCs w:val="0"/>
          <w:color w:val="auto"/>
          <w:kern w:val="2"/>
          <w:sz w:val="32"/>
          <w:szCs w:val="32"/>
          <w:highlight w:val="none"/>
          <w:lang w:val="en-US" w:eastAsia="zh-CN" w:bidi="ar-SA"/>
        </w:rPr>
        <w:t>（图7：财政拨款“三公”经费支出结构）（饼状图）</w:t>
      </w:r>
    </w:p>
    <w:p w14:paraId="5970F5A7">
      <w:pPr>
        <w:pStyle w:val="2"/>
        <w:rPr>
          <w:rFonts w:hint="eastAsia" w:ascii="Times New Roman" w:hAnsi="Times New Roman"/>
          <w:b w:val="0"/>
          <w:bCs w:val="0"/>
          <w:lang w:val="en-US" w:eastAsia="zh-CN"/>
        </w:rPr>
      </w:pPr>
    </w:p>
    <w:p w14:paraId="0DD6A8C1">
      <w:pPr>
        <w:bidi w:val="0"/>
        <w:rPr>
          <w:rFonts w:hint="eastAsia"/>
          <w:lang w:val="en-US" w:eastAsia="zh-CN"/>
        </w:rPr>
      </w:pPr>
      <w:r>
        <w:rPr>
          <w:rFonts w:hint="eastAsia"/>
          <w:lang w:val="en-US" w:eastAsia="zh-CN"/>
        </w:rPr>
        <w:t>1.因公出国（境）经费支出0万元，完成预算0%。全年安排因公出国（境）团组0次，出国（境）0人。因公出国（境）支出决算比上年度持平。</w:t>
      </w:r>
    </w:p>
    <w:p w14:paraId="79D7DD1C">
      <w:pPr>
        <w:bidi w:val="0"/>
        <w:rPr>
          <w:rFonts w:hint="eastAsia"/>
          <w:lang w:val="en-US" w:eastAsia="zh-CN"/>
        </w:rPr>
      </w:pPr>
      <w:r>
        <w:rPr>
          <w:rFonts w:hint="eastAsia"/>
          <w:lang w:val="en-US" w:eastAsia="zh-CN"/>
        </w:rPr>
        <w:t>2.公务用车购置及运行维护费支出42.8万元，完成预算100%。公务用车购置及运行维护费支出决算比上年度增加4.02元，增长10.37%。主要原因是巴中市人民检察院按实际支出列支，2025年度办案任务</w:t>
      </w:r>
      <w:r>
        <w:rPr>
          <w:rFonts w:hint="eastAsia"/>
          <w:highlight w:val="none"/>
          <w:lang w:val="en-US" w:eastAsia="zh-CN"/>
        </w:rPr>
        <w:t>增多，</w:t>
      </w:r>
      <w:r>
        <w:rPr>
          <w:rFonts w:hint="eastAsia"/>
          <w:lang w:val="en-US" w:eastAsia="zh-CN"/>
        </w:rPr>
        <w:t>相应的公务用车运行维护费有所上涨。</w:t>
      </w:r>
    </w:p>
    <w:p w14:paraId="31B7C626">
      <w:pPr>
        <w:bidi w:val="0"/>
        <w:rPr>
          <w:rFonts w:hint="eastAsia"/>
          <w:lang w:val="en-US" w:eastAsia="zh-CN"/>
        </w:rPr>
      </w:pPr>
      <w:r>
        <w:rPr>
          <w:rFonts w:hint="eastAsia"/>
          <w:lang w:val="en-US" w:eastAsia="zh-CN"/>
        </w:rPr>
        <w:t>其中：公务用车购置支出0万元。全年按规定更新购置公务用车0辆。截至2025年12月31日，单位共有公务用车10辆，其中：轿车8辆、越野车2辆、载客汽车0辆。</w:t>
      </w:r>
    </w:p>
    <w:p w14:paraId="5C3745FB">
      <w:pPr>
        <w:bidi w:val="0"/>
        <w:rPr>
          <w:rFonts w:hint="eastAsia"/>
          <w:lang w:val="en-US" w:eastAsia="zh-CN"/>
        </w:rPr>
      </w:pPr>
      <w:r>
        <w:rPr>
          <w:rFonts w:hint="eastAsia"/>
          <w:lang w:val="en-US" w:eastAsia="zh-CN"/>
        </w:rPr>
        <w:t>公务用车运行维护费支出42.8万元。主要用于办理案件、督导工作、脱贫攻坚等所需的公务用车燃料费、维修费、过路过桥费、保险费等支出。</w:t>
      </w:r>
    </w:p>
    <w:p w14:paraId="4A02EA57">
      <w:pPr>
        <w:bidi w:val="0"/>
        <w:rPr>
          <w:rFonts w:hint="eastAsia"/>
          <w:lang w:val="en-US" w:eastAsia="zh-CN"/>
        </w:rPr>
      </w:pPr>
      <w:r>
        <w:rPr>
          <w:rFonts w:hint="eastAsia"/>
          <w:lang w:val="en-US" w:eastAsia="zh-CN"/>
        </w:rPr>
        <w:t>3.公务接待费支出2.08万元，完成预算100%。公务接待费支出决算比上年度减少0.18万元，下降7.96%。主要原因</w:t>
      </w:r>
      <w:r>
        <w:rPr>
          <w:rFonts w:hint="eastAsia" w:ascii="Times New Roman" w:hAnsi="Times New Roman" w:cs="Times New Roman"/>
          <w:lang w:val="en-US" w:eastAsia="zh-CN"/>
        </w:rPr>
        <w:t>是</w:t>
      </w:r>
      <w:r>
        <w:rPr>
          <w:rFonts w:hint="eastAsia"/>
          <w:lang w:val="en-US" w:eastAsia="zh-CN"/>
        </w:rPr>
        <w:t>本年厉行精简节约，根据实际支出列支。其中：</w:t>
      </w:r>
    </w:p>
    <w:p w14:paraId="7918C98E">
      <w:pPr>
        <w:bidi w:val="0"/>
        <w:rPr>
          <w:rFonts w:hint="eastAsia"/>
          <w:lang w:val="en-US" w:eastAsia="zh-CN"/>
        </w:rPr>
      </w:pPr>
      <w:r>
        <w:rPr>
          <w:rFonts w:hint="eastAsia"/>
          <w:lang w:val="en-US" w:eastAsia="zh-CN"/>
        </w:rPr>
        <w:t>国内公务接待支出2.08万元，主要用于上级机关来巴督查、检查、指导工作及市州检察院来巴交流、学习、协助办案等接待活动的用餐费开支。国内公务接待17批次，154人次（不包括陪同人员），共计支出2.08万元，</w:t>
      </w:r>
      <w:r>
        <w:rPr>
          <w:rFonts w:hint="eastAsia"/>
          <w:highlight w:val="none"/>
          <w:lang w:val="en-US" w:eastAsia="zh-CN"/>
        </w:rPr>
        <w:t>具体内容包括</w:t>
      </w:r>
      <w:r>
        <w:rPr>
          <w:rFonts w:hint="eastAsia"/>
          <w:lang w:val="en-US" w:eastAsia="zh-CN"/>
        </w:rPr>
        <w:t>：调研方面8笔10699.44元，办案工作方面6笔6153元，学习交流方面3笔3975元。</w:t>
      </w:r>
    </w:p>
    <w:p w14:paraId="27FACCFC">
      <w:pPr>
        <w:bidi w:val="0"/>
        <w:rPr>
          <w:rFonts w:hint="eastAsia"/>
          <w:lang w:val="en-US" w:eastAsia="zh-CN"/>
        </w:rPr>
      </w:pPr>
      <w:r>
        <w:rPr>
          <w:rFonts w:hint="eastAsia"/>
          <w:lang w:val="en-US" w:eastAsia="zh-CN"/>
        </w:rPr>
        <w:t>外事接待支出0万元。</w:t>
      </w:r>
    </w:p>
    <w:p w14:paraId="4BAD6CEA">
      <w:pPr>
        <w:spacing w:line="600" w:lineRule="exact"/>
        <w:ind w:firstLine="640"/>
        <w:outlineLvl w:val="1"/>
        <w:rPr>
          <w:rStyle w:val="30"/>
          <w:rFonts w:ascii="Times New Roman" w:hAnsi="Times New Roman" w:eastAsia="黑体"/>
          <w:b w:val="0"/>
          <w:bCs w:val="0"/>
          <w:color w:val="auto"/>
          <w:highlight w:val="none"/>
        </w:rPr>
      </w:pPr>
      <w:bookmarkStart w:id="63" w:name="_Toc15396610"/>
      <w:bookmarkStart w:id="64" w:name="_Toc15377218"/>
      <w:bookmarkStart w:id="65" w:name="_Toc1840275857"/>
      <w:r>
        <w:rPr>
          <w:rFonts w:hint="eastAsia" w:ascii="Times New Roman" w:hAnsi="Times New Roman" w:eastAsia="黑体"/>
          <w:b w:val="0"/>
          <w:bCs w:val="0"/>
          <w:color w:val="auto"/>
          <w:sz w:val="32"/>
          <w:szCs w:val="32"/>
          <w:highlight w:val="none"/>
        </w:rPr>
        <w:t>八、</w:t>
      </w:r>
      <w:r>
        <w:rPr>
          <w:rStyle w:val="30"/>
          <w:rFonts w:hint="eastAsia" w:ascii="Times New Roman" w:hAnsi="Times New Roman" w:eastAsia="黑体"/>
          <w:b w:val="0"/>
          <w:bCs w:val="0"/>
          <w:color w:val="auto"/>
          <w:highlight w:val="none"/>
        </w:rPr>
        <w:t>政府性基金预算支出决算情况说明</w:t>
      </w:r>
      <w:bookmarkEnd w:id="63"/>
      <w:bookmarkEnd w:id="64"/>
      <w:bookmarkEnd w:id="65"/>
    </w:p>
    <w:p w14:paraId="7F15C6F7">
      <w:pPr>
        <w:bidi w:val="0"/>
        <w:rPr>
          <w:rFonts w:hint="eastAsia"/>
          <w:lang w:val="en-US" w:eastAsia="zh-CN"/>
        </w:rPr>
      </w:pPr>
      <w:r>
        <w:rPr>
          <w:rFonts w:hint="eastAsia"/>
          <w:lang w:val="en-US" w:eastAsia="zh-CN"/>
        </w:rPr>
        <w:t>2025年度政府性基金预算财政拨款支出0万元。</w:t>
      </w:r>
    </w:p>
    <w:p w14:paraId="53FF5DA3">
      <w:pPr>
        <w:numPr>
          <w:ilvl w:val="0"/>
          <w:numId w:val="0"/>
        </w:numPr>
        <w:spacing w:line="600" w:lineRule="exact"/>
        <w:ind w:left="630" w:leftChars="0"/>
        <w:outlineLvl w:val="1"/>
        <w:rPr>
          <w:rStyle w:val="30"/>
          <w:rFonts w:ascii="Times New Roman" w:hAnsi="Times New Roman" w:eastAsia="黑体"/>
          <w:b w:val="0"/>
          <w:bCs w:val="0"/>
          <w:color w:val="auto"/>
          <w:highlight w:val="none"/>
        </w:rPr>
      </w:pPr>
      <w:bookmarkStart w:id="66" w:name="_Toc15377219"/>
      <w:bookmarkStart w:id="67" w:name="_Toc636932464"/>
      <w:bookmarkStart w:id="68" w:name="_Toc15396611"/>
      <w:r>
        <w:rPr>
          <w:rStyle w:val="30"/>
          <w:rFonts w:hint="eastAsia" w:ascii="Times New Roman" w:hAnsi="Times New Roman" w:eastAsia="黑体"/>
          <w:b w:val="0"/>
          <w:bCs w:val="0"/>
          <w:color w:val="auto"/>
          <w:highlight w:val="none"/>
          <w:lang w:eastAsia="zh-CN"/>
        </w:rPr>
        <w:t>九、</w:t>
      </w:r>
      <w:r>
        <w:rPr>
          <w:rStyle w:val="30"/>
          <w:rFonts w:hint="eastAsia" w:ascii="Times New Roman" w:hAnsi="Times New Roman" w:eastAsia="黑体"/>
          <w:b w:val="0"/>
          <w:bCs w:val="0"/>
          <w:color w:val="auto"/>
          <w:highlight w:val="none"/>
        </w:rPr>
        <w:t>国有资本经营预算支出决算情况说明</w:t>
      </w:r>
      <w:bookmarkEnd w:id="66"/>
      <w:bookmarkEnd w:id="67"/>
      <w:bookmarkEnd w:id="68"/>
    </w:p>
    <w:p w14:paraId="5528C525">
      <w:pPr>
        <w:bidi w:val="0"/>
        <w:rPr>
          <w:rFonts w:hint="eastAsia"/>
          <w:lang w:val="en-US" w:eastAsia="zh-CN"/>
        </w:rPr>
      </w:pPr>
      <w:r>
        <w:rPr>
          <w:rFonts w:hint="eastAsia"/>
          <w:lang w:val="en-US" w:eastAsia="zh-CN"/>
        </w:rPr>
        <w:t>2025年度国有资本经营预算财政拨款支出0万元</w:t>
      </w:r>
      <w:bookmarkStart w:id="69" w:name="_Toc15396612"/>
      <w:bookmarkStart w:id="70" w:name="_Toc15377221"/>
      <w:r>
        <w:rPr>
          <w:rFonts w:hint="eastAsia"/>
          <w:lang w:val="en-US" w:eastAsia="zh-CN"/>
        </w:rPr>
        <w:t>。</w:t>
      </w:r>
    </w:p>
    <w:p w14:paraId="12707A9D">
      <w:pPr>
        <w:numPr>
          <w:ilvl w:val="0"/>
          <w:numId w:val="0"/>
        </w:numPr>
        <w:spacing w:line="600" w:lineRule="exact"/>
        <w:ind w:left="630" w:leftChars="0"/>
        <w:outlineLvl w:val="1"/>
        <w:rPr>
          <w:rStyle w:val="30"/>
          <w:rFonts w:hint="eastAsia" w:ascii="Times New Roman" w:hAnsi="Times New Roman" w:eastAsia="黑体"/>
          <w:b w:val="0"/>
          <w:bCs w:val="0"/>
          <w:color w:val="auto"/>
          <w:highlight w:val="none"/>
        </w:rPr>
      </w:pPr>
      <w:bookmarkStart w:id="71" w:name="_Toc1181043999"/>
      <w:r>
        <w:rPr>
          <w:rStyle w:val="30"/>
          <w:rFonts w:hint="eastAsia" w:ascii="Times New Roman" w:hAnsi="Times New Roman" w:eastAsia="黑体"/>
          <w:b w:val="0"/>
          <w:bCs w:val="0"/>
          <w:color w:val="auto"/>
          <w:highlight w:val="none"/>
          <w:lang w:eastAsia="zh-CN"/>
        </w:rPr>
        <w:t>十、</w:t>
      </w:r>
      <w:r>
        <w:rPr>
          <w:rStyle w:val="30"/>
          <w:rFonts w:hint="eastAsia" w:ascii="Times New Roman" w:hAnsi="Times New Roman" w:eastAsia="黑体"/>
          <w:b w:val="0"/>
          <w:bCs w:val="0"/>
          <w:color w:val="auto"/>
          <w:highlight w:val="none"/>
        </w:rPr>
        <w:t>其他重要事项的情况说明</w:t>
      </w:r>
      <w:bookmarkEnd w:id="69"/>
      <w:bookmarkEnd w:id="70"/>
      <w:bookmarkEnd w:id="71"/>
    </w:p>
    <w:p w14:paraId="08ADCC69">
      <w:pPr>
        <w:spacing w:line="600" w:lineRule="exact"/>
        <w:ind w:firstLine="640" w:firstLineChars="200"/>
        <w:outlineLvl w:val="2"/>
        <w:rPr>
          <w:rFonts w:hint="eastAsia" w:ascii="Times New Roman" w:hAnsi="Times New Roman" w:eastAsia="楷体_GB2312" w:cs="楷体_GB2312"/>
          <w:b w:val="0"/>
          <w:bCs w:val="0"/>
          <w:color w:val="auto"/>
          <w:sz w:val="32"/>
          <w:szCs w:val="32"/>
          <w:highlight w:val="none"/>
        </w:rPr>
      </w:pPr>
      <w:bookmarkStart w:id="72" w:name="_Toc15377222"/>
      <w:bookmarkStart w:id="73" w:name="_Toc509116090"/>
      <w:r>
        <w:rPr>
          <w:rFonts w:hint="eastAsia" w:ascii="Times New Roman" w:hAnsi="Times New Roman" w:eastAsia="楷体_GB2312" w:cs="楷体_GB2312"/>
          <w:b w:val="0"/>
          <w:bCs w:val="0"/>
          <w:color w:val="auto"/>
          <w:sz w:val="32"/>
          <w:szCs w:val="32"/>
          <w:highlight w:val="none"/>
        </w:rPr>
        <w:t>（一）机关运行经费支出情况</w:t>
      </w:r>
      <w:bookmarkEnd w:id="72"/>
      <w:bookmarkEnd w:id="73"/>
    </w:p>
    <w:p w14:paraId="66F52F3D">
      <w:pPr>
        <w:bidi w:val="0"/>
        <w:rPr>
          <w:rFonts w:hint="eastAsia"/>
          <w:lang w:val="en-US" w:eastAsia="zh-CN"/>
        </w:rPr>
      </w:pPr>
      <w:r>
        <w:rPr>
          <w:rFonts w:hint="eastAsia"/>
          <w:lang w:val="en-US" w:eastAsia="zh-CN"/>
        </w:rPr>
        <w:t>2025年度，巴中市人民检察院机关运行经费支出419.03万元，比上年度增加29.92万元，</w:t>
      </w:r>
      <w:r>
        <w:rPr>
          <w:rFonts w:hint="eastAsia"/>
          <w:highlight w:val="none"/>
          <w:lang w:val="en-US" w:eastAsia="zh-CN"/>
        </w:rPr>
        <w:t>增长7.69%</w:t>
      </w:r>
      <w:r>
        <w:rPr>
          <w:rFonts w:hint="eastAsia"/>
          <w:lang w:val="en-US" w:eastAsia="zh-CN"/>
        </w:rPr>
        <w:t>。</w:t>
      </w:r>
      <w:r>
        <w:rPr>
          <w:rFonts w:hint="eastAsia"/>
          <w:highlight w:val="none"/>
          <w:lang w:val="en-US" w:eastAsia="zh-CN"/>
        </w:rPr>
        <w:t>主要原因是</w:t>
      </w:r>
      <w:r>
        <w:rPr>
          <w:rFonts w:hint="eastAsia"/>
          <w:lang w:val="en-US" w:eastAsia="zh-CN"/>
        </w:rPr>
        <w:t>2025年度办案</w:t>
      </w:r>
      <w:r>
        <w:rPr>
          <w:rFonts w:hint="eastAsia"/>
          <w:highlight w:val="none"/>
          <w:lang w:val="en-US" w:eastAsia="zh-CN"/>
        </w:rPr>
        <w:t>任务增加</w:t>
      </w:r>
      <w:r>
        <w:rPr>
          <w:rFonts w:hint="eastAsia"/>
          <w:lang w:val="en-US" w:eastAsia="zh-CN"/>
        </w:rPr>
        <w:t>，按实际支出列支。</w:t>
      </w:r>
    </w:p>
    <w:p w14:paraId="6F24AE49">
      <w:pPr>
        <w:spacing w:line="600" w:lineRule="exact"/>
        <w:ind w:firstLine="640" w:firstLineChars="200"/>
        <w:outlineLvl w:val="2"/>
        <w:rPr>
          <w:rFonts w:hint="eastAsia" w:ascii="Times New Roman" w:hAnsi="Times New Roman" w:eastAsia="楷体_GB2312" w:cs="楷体_GB2312"/>
          <w:b w:val="0"/>
          <w:bCs w:val="0"/>
          <w:color w:val="auto"/>
          <w:sz w:val="32"/>
          <w:szCs w:val="32"/>
          <w:highlight w:val="none"/>
        </w:rPr>
      </w:pPr>
      <w:bookmarkStart w:id="74" w:name="_Toc1800793439"/>
      <w:bookmarkStart w:id="75" w:name="_Toc15377223"/>
      <w:r>
        <w:rPr>
          <w:rFonts w:hint="eastAsia" w:ascii="Times New Roman" w:hAnsi="Times New Roman" w:eastAsia="楷体_GB2312" w:cs="楷体_GB2312"/>
          <w:b w:val="0"/>
          <w:bCs w:val="0"/>
          <w:color w:val="auto"/>
          <w:sz w:val="32"/>
          <w:szCs w:val="32"/>
          <w:highlight w:val="none"/>
        </w:rPr>
        <w:t>（二）政府采购支出情况</w:t>
      </w:r>
      <w:bookmarkEnd w:id="74"/>
      <w:bookmarkEnd w:id="75"/>
    </w:p>
    <w:p w14:paraId="013D4349">
      <w:pPr>
        <w:bidi w:val="0"/>
        <w:rPr>
          <w:rFonts w:hint="eastAsia"/>
          <w:lang w:val="en-US" w:eastAsia="zh-CN"/>
        </w:rPr>
      </w:pPr>
      <w:r>
        <w:rPr>
          <w:rFonts w:hint="eastAsia"/>
          <w:lang w:val="en-US" w:eastAsia="zh-CN"/>
        </w:rPr>
        <w:t>2025年度，巴中市人民检察院政府采购支出总额243.60万元，其中：政府采购货物支出153.99万元、政府采购工程支出0万元、政府采购服务支出85.63万元。主要用于案管大厅功能布局及办公家具采购、光纤链路服务、门户网站托管及运维服务、公益诉讼实验室及办公办案设备等采购支出。授予中小企业合同金额0万元，占政府采购支出总额的0%，其中：授予小微企业合同金额0万元，占政府采购支出总额的0%。</w:t>
      </w:r>
    </w:p>
    <w:p w14:paraId="202FC81E">
      <w:pPr>
        <w:spacing w:line="600" w:lineRule="exact"/>
        <w:ind w:firstLine="640" w:firstLineChars="200"/>
        <w:outlineLvl w:val="2"/>
        <w:rPr>
          <w:rFonts w:hint="eastAsia" w:ascii="Times New Roman" w:hAnsi="Times New Roman" w:eastAsia="楷体_GB2312" w:cs="楷体_GB2312"/>
          <w:b w:val="0"/>
          <w:bCs w:val="0"/>
          <w:color w:val="auto"/>
          <w:sz w:val="32"/>
          <w:szCs w:val="32"/>
          <w:highlight w:val="none"/>
        </w:rPr>
      </w:pPr>
      <w:bookmarkStart w:id="76" w:name="_Toc15377224"/>
      <w:bookmarkStart w:id="77" w:name="_Toc274931356"/>
      <w:r>
        <w:rPr>
          <w:rFonts w:hint="eastAsia" w:ascii="Times New Roman" w:hAnsi="Times New Roman" w:eastAsia="楷体_GB2312" w:cs="楷体_GB2312"/>
          <w:b w:val="0"/>
          <w:bCs w:val="0"/>
          <w:color w:val="auto"/>
          <w:sz w:val="32"/>
          <w:szCs w:val="32"/>
          <w:highlight w:val="none"/>
        </w:rPr>
        <w:t>（三）国有资产占有使用情况</w:t>
      </w:r>
      <w:bookmarkEnd w:id="76"/>
      <w:bookmarkEnd w:id="77"/>
    </w:p>
    <w:p w14:paraId="7E98ACFF">
      <w:pPr>
        <w:bidi w:val="0"/>
        <w:rPr>
          <w:rFonts w:hint="eastAsia"/>
          <w:lang w:val="en-US" w:eastAsia="zh-CN"/>
        </w:rPr>
      </w:pPr>
      <w:r>
        <w:rPr>
          <w:rFonts w:hint="eastAsia"/>
          <w:lang w:val="en-US" w:eastAsia="zh-CN"/>
        </w:rPr>
        <w:t>截至2025年12月31日，四川省巴中市人民检察院部门整体共有车辆10辆，其中：机要通信用车1辆、其他用车</w:t>
      </w:r>
      <w:r>
        <w:rPr>
          <w:rFonts w:hint="eastAsia"/>
          <w:lang w:val="en-US" w:eastAsia="zh"/>
        </w:rPr>
        <w:t>9</w:t>
      </w:r>
      <w:r>
        <w:rPr>
          <w:rFonts w:hint="eastAsia"/>
          <w:lang w:val="en-US" w:eastAsia="zh-CN"/>
        </w:rPr>
        <w:t>辆，其他用车主要用于执法执勤、案件查办、监督检查等公务出行。单价100万元（含）以上设备（不含车辆）0台（套）。</w:t>
      </w:r>
    </w:p>
    <w:p w14:paraId="330D5333">
      <w:pPr>
        <w:spacing w:line="600" w:lineRule="exact"/>
        <w:ind w:firstLine="640" w:firstLineChars="200"/>
        <w:outlineLvl w:val="2"/>
        <w:rPr>
          <w:rFonts w:hint="eastAsia" w:ascii="Times New Roman" w:hAnsi="Times New Roman" w:eastAsia="楷体_GB2312" w:cs="楷体_GB2312"/>
          <w:b w:val="0"/>
          <w:bCs w:val="0"/>
          <w:color w:val="auto"/>
          <w:sz w:val="32"/>
          <w:szCs w:val="32"/>
          <w:highlight w:val="none"/>
        </w:rPr>
      </w:pPr>
      <w:bookmarkStart w:id="78" w:name="_Toc1237408437"/>
      <w:r>
        <w:rPr>
          <w:rFonts w:hint="eastAsia" w:ascii="Times New Roman" w:hAnsi="Times New Roman" w:eastAsia="楷体_GB2312" w:cs="楷体_GB2312"/>
          <w:b w:val="0"/>
          <w:bCs w:val="0"/>
          <w:color w:val="auto"/>
          <w:sz w:val="32"/>
          <w:szCs w:val="32"/>
          <w:highlight w:val="none"/>
        </w:rPr>
        <w:t>（四）预算绩效管理情况</w:t>
      </w:r>
      <w:bookmarkEnd w:id="78"/>
    </w:p>
    <w:p w14:paraId="4A0A996A">
      <w:pPr>
        <w:bidi w:val="0"/>
        <w:rPr>
          <w:rFonts w:hint="eastAsia"/>
          <w:lang w:val="en-US" w:eastAsia="zh-CN"/>
        </w:rPr>
      </w:pPr>
      <w:r>
        <w:rPr>
          <w:rFonts w:hint="eastAsia"/>
          <w:lang w:val="en-US" w:eastAsia="zh-CN"/>
        </w:rPr>
        <w:t>根据预算绩效管理要求，四川省巴中市人民检察院在2025年度，组织对</w:t>
      </w:r>
      <w:r>
        <w:rPr>
          <w:rFonts w:hint="default"/>
          <w:lang w:val="en-US" w:eastAsia="zh-CN"/>
        </w:rPr>
        <w:t>转移支付资金项目</w:t>
      </w:r>
      <w:r>
        <w:rPr>
          <w:rFonts w:hint="eastAsia"/>
          <w:lang w:val="en-US" w:eastAsia="zh-CN"/>
        </w:rPr>
        <w:t>等1个项目涉及金额213万元开展了事前绩效评估，对9个项目编制了绩效目标，预算执行过程中，选取9个项目开展绩效监控。</w:t>
      </w:r>
    </w:p>
    <w:p w14:paraId="169E3B22">
      <w:pPr>
        <w:bidi w:val="0"/>
        <w:rPr>
          <w:rFonts w:hint="eastAsia" w:ascii="Times New Roman" w:hAnsi="Times New Roman" w:eastAsia="黑体"/>
          <w:b w:val="0"/>
          <w:bCs w:val="0"/>
          <w:color w:val="auto"/>
          <w:sz w:val="44"/>
          <w:szCs w:val="44"/>
          <w:highlight w:val="none"/>
        </w:rPr>
        <w:sectPr>
          <w:footerReference r:id="rId10" w:type="first"/>
          <w:footerReference r:id="rId8" w:type="default"/>
          <w:footerReference r:id="rId9" w:type="even"/>
          <w:pgSz w:w="11906" w:h="16838"/>
          <w:pgMar w:top="2098" w:right="1531" w:bottom="1984" w:left="1531" w:header="851" w:footer="992" w:gutter="0"/>
          <w:pgNumType w:fmt="decimal"/>
          <w:cols w:space="425" w:num="1"/>
          <w:docGrid w:type="lines" w:linePitch="312" w:charSpace="0"/>
        </w:sectPr>
      </w:pPr>
      <w:r>
        <w:rPr>
          <w:rFonts w:hint="eastAsia"/>
          <w:lang w:val="en-US" w:eastAsia="zh-CN"/>
        </w:rPr>
        <w:t>组织对2025年度一般公共预算、政府性基金预算、国有资本经营预算、社会保险基金预算以及资本资产、债券资金等全面开展绩效自评，形成四川省巴中市人民检察院部门预算（含部门预算项目）绩效自评报告，其中，四川省巴中市人民检察院部门预算（含部门预算项目）绩效自评得分为91分，绩效自评综述：2024年，市检察院</w:t>
      </w:r>
      <w:r>
        <w:rPr>
          <w:rFonts w:hint="default"/>
          <w:lang w:val="zh-CN" w:eastAsia="zh-CN"/>
        </w:rPr>
        <w:t>预算编制科学规范、预算执行有序高效、财务管理严格合规、资产管理规范有序、项目绩效目标基本实现，财政资金使用效益良好，圆满完成了年度各项检察工作任务</w:t>
      </w:r>
      <w:r>
        <w:rPr>
          <w:rFonts w:hint="eastAsia"/>
          <w:lang w:val="en-US" w:eastAsia="zh-CN"/>
        </w:rPr>
        <w:t>。绩效自评报告详见附件。</w:t>
      </w:r>
      <w:bookmarkStart w:id="79" w:name="_Toc15377225"/>
      <w:bookmarkStart w:id="80" w:name="_Toc15396613"/>
    </w:p>
    <w:p w14:paraId="07D69C2D">
      <w:pPr>
        <w:pStyle w:val="3"/>
        <w:bidi w:val="0"/>
        <w:rPr>
          <w:rFonts w:hint="eastAsia" w:ascii="Times New Roman" w:hAnsi="Times New Roman"/>
          <w:b w:val="0"/>
          <w:bCs w:val="0"/>
        </w:rPr>
      </w:pPr>
      <w:bookmarkStart w:id="81" w:name="_Toc1846498702"/>
      <w:r>
        <w:rPr>
          <w:rFonts w:hint="eastAsia" w:ascii="Times New Roman" w:hAnsi="Times New Roman"/>
          <w:b w:val="0"/>
          <w:bCs w:val="0"/>
        </w:rPr>
        <w:t>第</w:t>
      </w:r>
      <w:r>
        <w:rPr>
          <w:rFonts w:hint="eastAsia" w:ascii="Times New Roman" w:hAnsi="Times New Roman"/>
          <w:b w:val="0"/>
          <w:bCs w:val="0"/>
          <w:lang w:eastAsia="zh-CN"/>
        </w:rPr>
        <w:t>三</w:t>
      </w:r>
      <w:r>
        <w:rPr>
          <w:rFonts w:hint="eastAsia" w:ascii="Times New Roman" w:hAnsi="Times New Roman"/>
          <w:b w:val="0"/>
          <w:bCs w:val="0"/>
        </w:rPr>
        <w:t>部分</w:t>
      </w:r>
      <w:r>
        <w:rPr>
          <w:rFonts w:hint="eastAsia" w:ascii="Times New Roman" w:hAnsi="Times New Roman"/>
          <w:b w:val="0"/>
          <w:bCs w:val="0"/>
          <w:lang w:val="en-US" w:eastAsia="zh-CN"/>
        </w:rPr>
        <w:t xml:space="preserve">  </w:t>
      </w:r>
      <w:r>
        <w:rPr>
          <w:rFonts w:hint="eastAsia" w:ascii="Times New Roman" w:hAnsi="Times New Roman"/>
          <w:b w:val="0"/>
          <w:bCs w:val="0"/>
        </w:rPr>
        <w:t>名词解释</w:t>
      </w:r>
      <w:bookmarkEnd w:id="79"/>
      <w:bookmarkEnd w:id="80"/>
      <w:bookmarkEnd w:id="81"/>
    </w:p>
    <w:p w14:paraId="0D89CB05">
      <w:pPr>
        <w:bidi w:val="0"/>
        <w:rPr>
          <w:rFonts w:hint="eastAsia"/>
          <w:lang w:val="en-US" w:eastAsia="zh-CN"/>
        </w:rPr>
      </w:pPr>
      <w:r>
        <w:rPr>
          <w:rFonts w:hint="eastAsia"/>
          <w:lang w:val="en-US" w:eastAsia="zh-CN"/>
        </w:rPr>
        <w:t>1.财政拨款收入：指单位从同级财政部门取得的财政预算资金。</w:t>
      </w:r>
    </w:p>
    <w:p w14:paraId="186B9D52">
      <w:pPr>
        <w:bidi w:val="0"/>
        <w:rPr>
          <w:rFonts w:hint="eastAsia"/>
          <w:lang w:val="en-US" w:eastAsia="zh-CN"/>
        </w:rPr>
      </w:pPr>
      <w:r>
        <w:rPr>
          <w:rFonts w:hint="eastAsia"/>
          <w:lang w:val="en-US" w:eastAsia="zh-CN"/>
        </w:rPr>
        <w:t>2.事业收入：指事业单位开展专业业务活动及辅助活动取得的收入。</w:t>
      </w:r>
    </w:p>
    <w:p w14:paraId="5A7BD33B">
      <w:pPr>
        <w:bidi w:val="0"/>
        <w:rPr>
          <w:rFonts w:hint="eastAsia"/>
          <w:lang w:val="en-US" w:eastAsia="zh-CN"/>
        </w:rPr>
      </w:pPr>
      <w:r>
        <w:rPr>
          <w:rFonts w:hint="eastAsia"/>
          <w:lang w:val="en-US" w:eastAsia="zh-CN"/>
        </w:rPr>
        <w:t>3.经营收入：指事业单位在专业业务活动及其辅助活动之外开展非独立核算经营活动取得的收入。</w:t>
      </w:r>
    </w:p>
    <w:p w14:paraId="734D6B88">
      <w:pPr>
        <w:bidi w:val="0"/>
        <w:rPr>
          <w:rFonts w:hint="eastAsia"/>
          <w:lang w:val="en-US" w:eastAsia="zh-CN"/>
        </w:rPr>
      </w:pPr>
      <w:r>
        <w:rPr>
          <w:rFonts w:hint="eastAsia"/>
          <w:lang w:val="en-US" w:eastAsia="zh-CN"/>
        </w:rPr>
        <w:t xml:space="preserve">4.其他收入：指单位取得的除上述收入以外的各项收入。 </w:t>
      </w:r>
    </w:p>
    <w:p w14:paraId="4D190403">
      <w:pPr>
        <w:bidi w:val="0"/>
        <w:rPr>
          <w:rFonts w:hint="eastAsia"/>
          <w:lang w:val="en-US" w:eastAsia="zh-CN"/>
        </w:rPr>
      </w:pPr>
      <w:r>
        <w:rPr>
          <w:rFonts w:hint="eastAsia"/>
          <w:lang w:val="en-US" w:eastAsia="zh-CN"/>
        </w:rPr>
        <w:t xml:space="preserve">5.使用非财政拨款结余（含专用结余）：指事业单位使用以前年度积累的非财政拨款结余弥补当年收支差额的金额。 </w:t>
      </w:r>
    </w:p>
    <w:p w14:paraId="24CC40E8">
      <w:pPr>
        <w:bidi w:val="0"/>
        <w:rPr>
          <w:rFonts w:hint="eastAsia"/>
          <w:lang w:val="en-US" w:eastAsia="zh-CN"/>
        </w:rPr>
      </w:pPr>
      <w:r>
        <w:rPr>
          <w:rFonts w:hint="eastAsia"/>
          <w:lang w:val="en-US" w:eastAsia="zh-CN"/>
        </w:rPr>
        <w:t xml:space="preserve">6.年初结转和结余：指以前年度尚未完成、结转到本年按有关规定继续使用的资金。 </w:t>
      </w:r>
    </w:p>
    <w:p w14:paraId="6A845543">
      <w:pPr>
        <w:bidi w:val="0"/>
        <w:rPr>
          <w:rFonts w:hint="eastAsia"/>
          <w:lang w:val="en-US" w:eastAsia="zh-CN"/>
        </w:rPr>
      </w:pPr>
      <w:r>
        <w:rPr>
          <w:rFonts w:hint="eastAsia"/>
          <w:lang w:val="en-US" w:eastAsia="zh-CN"/>
        </w:rPr>
        <w:t>7.结余分配：指事业单位按照会计制度规定缴纳的所得税、提取的专用结余以及转入非财政拨款结余的金额等。</w:t>
      </w:r>
    </w:p>
    <w:p w14:paraId="3E6468B7">
      <w:pPr>
        <w:bidi w:val="0"/>
        <w:rPr>
          <w:rFonts w:hint="eastAsia"/>
          <w:lang w:val="en-US" w:eastAsia="zh-CN"/>
        </w:rPr>
      </w:pPr>
      <w:r>
        <w:rPr>
          <w:rFonts w:hint="eastAsia"/>
          <w:lang w:val="en-US" w:eastAsia="zh-CN"/>
        </w:rPr>
        <w:t>8.年末结转和结余：指单位按有关规定结转到下年或以后年度继续使用的资金。</w:t>
      </w:r>
    </w:p>
    <w:p w14:paraId="0A80723C">
      <w:pPr>
        <w:ind w:firstLine="640" w:firstLineChars="200"/>
        <w:rPr>
          <w:rFonts w:hint="eastAsia" w:ascii="Times New Roman" w:hAnsi="Times New Roman" w:eastAsia="方正仿宋_GBK" w:cs="Times New Roman"/>
          <w:b w:val="0"/>
          <w:bCs w:val="0"/>
          <w:color w:val="auto"/>
          <w:kern w:val="2"/>
          <w:sz w:val="32"/>
          <w:szCs w:val="32"/>
          <w:highlight w:val="none"/>
          <w:lang w:val="en-US" w:eastAsia="zh-CN" w:bidi="ar-SA"/>
        </w:rPr>
      </w:pPr>
      <w:r>
        <w:rPr>
          <w:rFonts w:hint="eastAsia" w:ascii="Times New Roman" w:hAnsi="Times New Roman" w:eastAsia="方正仿宋_GBK" w:cs="Times New Roman"/>
          <w:b w:val="0"/>
          <w:bCs w:val="0"/>
          <w:color w:val="auto"/>
          <w:kern w:val="2"/>
          <w:sz w:val="32"/>
          <w:szCs w:val="32"/>
          <w:highlight w:val="none"/>
          <w:lang w:val="en-US" w:eastAsia="zh-CN" w:bidi="ar-SA"/>
        </w:rPr>
        <w:t>9.一般公共服务（类）纪检监察事务（款）派驻派出机构（项）：指由纪检监察部门负担的派驻各部门和单位的纪检监察人员的专项业务支出。</w:t>
      </w:r>
    </w:p>
    <w:p w14:paraId="4FF97EC8">
      <w:pPr>
        <w:pStyle w:val="27"/>
        <w:spacing w:line="560" w:lineRule="exact"/>
        <w:ind w:firstLine="640" w:firstLineChars="200"/>
        <w:rPr>
          <w:rFonts w:hint="eastAsia" w:ascii="Times New Roman" w:hAnsi="Times New Roman" w:eastAsia="方正仿宋_GBK" w:cs="Times New Roman"/>
          <w:b w:val="0"/>
          <w:bCs w:val="0"/>
          <w:color w:val="auto"/>
          <w:kern w:val="2"/>
          <w:sz w:val="32"/>
          <w:szCs w:val="32"/>
          <w:highlight w:val="none"/>
          <w:lang w:val="en-US" w:eastAsia="zh-CN" w:bidi="ar-SA"/>
        </w:rPr>
      </w:pPr>
      <w:r>
        <w:rPr>
          <w:rFonts w:hint="eastAsia" w:ascii="Times New Roman" w:hAnsi="Times New Roman" w:eastAsia="方正仿宋_GBK" w:cs="Times New Roman"/>
          <w:b w:val="0"/>
          <w:bCs w:val="0"/>
          <w:color w:val="auto"/>
          <w:kern w:val="2"/>
          <w:sz w:val="32"/>
          <w:szCs w:val="32"/>
          <w:highlight w:val="none"/>
          <w:lang w:val="en-US" w:eastAsia="zh-CN" w:bidi="ar-SA"/>
        </w:rPr>
        <w:t>10.公共安全（类）检察（款）行政运行（项）：指行政单位（包括实行公务员管理的事业单位）的基本支出。</w:t>
      </w:r>
    </w:p>
    <w:p w14:paraId="5BE9187A">
      <w:pPr>
        <w:pStyle w:val="27"/>
        <w:spacing w:line="560" w:lineRule="exact"/>
        <w:ind w:firstLine="640" w:firstLineChars="200"/>
        <w:rPr>
          <w:rFonts w:hint="eastAsia" w:ascii="Times New Roman" w:hAnsi="Times New Roman" w:eastAsia="方正仿宋_GBK" w:cs="Times New Roman"/>
          <w:b w:val="0"/>
          <w:bCs w:val="0"/>
          <w:color w:val="auto"/>
          <w:kern w:val="2"/>
          <w:sz w:val="32"/>
          <w:szCs w:val="32"/>
          <w:highlight w:val="none"/>
          <w:lang w:val="en-US" w:eastAsia="zh-CN" w:bidi="ar-SA"/>
        </w:rPr>
      </w:pPr>
      <w:r>
        <w:rPr>
          <w:rFonts w:hint="eastAsia" w:ascii="Times New Roman" w:hAnsi="Times New Roman" w:eastAsia="方正仿宋_GBK" w:cs="Times New Roman"/>
          <w:b w:val="0"/>
          <w:bCs w:val="0"/>
          <w:color w:val="auto"/>
          <w:kern w:val="2"/>
          <w:sz w:val="32"/>
          <w:szCs w:val="32"/>
          <w:highlight w:val="none"/>
          <w:lang w:val="en-US" w:eastAsia="zh-CN" w:bidi="ar-SA"/>
        </w:rPr>
        <w:t>11.公共安全（类）检察（款）一般行政管理事务（项）：指行政单位（包括实行公务员管理的事业单位）未单位设置项级科目的其他项目支出。</w:t>
      </w:r>
    </w:p>
    <w:p w14:paraId="332BEB8B">
      <w:pPr>
        <w:ind w:firstLine="640" w:firstLineChars="200"/>
        <w:rPr>
          <w:rFonts w:hint="eastAsia" w:ascii="Times New Roman" w:hAnsi="Times New Roman" w:eastAsia="方正仿宋_GBK" w:cs="Times New Roman"/>
          <w:b w:val="0"/>
          <w:bCs w:val="0"/>
          <w:color w:val="auto"/>
          <w:kern w:val="2"/>
          <w:sz w:val="32"/>
          <w:szCs w:val="32"/>
          <w:highlight w:val="none"/>
          <w:lang w:val="en-US" w:eastAsia="zh-CN" w:bidi="ar-SA"/>
        </w:rPr>
      </w:pPr>
      <w:r>
        <w:rPr>
          <w:rFonts w:hint="eastAsia" w:ascii="Times New Roman" w:hAnsi="Times New Roman" w:eastAsia="方正仿宋_GBK" w:cs="Times New Roman"/>
          <w:b w:val="0"/>
          <w:bCs w:val="0"/>
          <w:color w:val="auto"/>
          <w:kern w:val="2"/>
          <w:sz w:val="32"/>
          <w:szCs w:val="32"/>
          <w:highlight w:val="none"/>
          <w:lang w:val="en-US" w:eastAsia="zh-CN" w:bidi="ar-SA"/>
        </w:rPr>
        <w:t>12.公共安全（类）检察（款）“两房”建设（项）：指办案用房和专业技术用房及附属设施的建设和修缮支出。</w:t>
      </w:r>
    </w:p>
    <w:p w14:paraId="16DB1F5E">
      <w:pPr>
        <w:pStyle w:val="27"/>
        <w:spacing w:line="560" w:lineRule="exact"/>
        <w:ind w:firstLine="640" w:firstLineChars="200"/>
        <w:rPr>
          <w:rFonts w:hint="eastAsia" w:ascii="Times New Roman" w:hAnsi="Times New Roman" w:eastAsia="方正仿宋_GBK" w:cs="Times New Roman"/>
          <w:b w:val="0"/>
          <w:bCs w:val="0"/>
          <w:color w:val="auto"/>
          <w:kern w:val="2"/>
          <w:sz w:val="32"/>
          <w:szCs w:val="32"/>
          <w:highlight w:val="none"/>
          <w:lang w:val="en-US" w:eastAsia="zh-CN" w:bidi="ar-SA"/>
        </w:rPr>
      </w:pPr>
      <w:r>
        <w:rPr>
          <w:rFonts w:hint="eastAsia" w:ascii="Times New Roman" w:hAnsi="Times New Roman" w:eastAsia="方正仿宋_GBK" w:cs="Times New Roman"/>
          <w:b w:val="0"/>
          <w:bCs w:val="0"/>
          <w:color w:val="auto"/>
          <w:kern w:val="2"/>
          <w:sz w:val="32"/>
          <w:szCs w:val="32"/>
          <w:highlight w:val="none"/>
          <w:lang w:val="en-US" w:eastAsia="zh-CN" w:bidi="ar-SA"/>
        </w:rPr>
        <w:t>13.公共安全（类）检察（款）检察监督（项）：指检察机关依法开展法律监督工作的支出，包括侦查监督、公诉、审判监督、执行监督、民事行政监督、公益诉讼、控告申诉等。</w:t>
      </w:r>
    </w:p>
    <w:p w14:paraId="2E09259F">
      <w:pPr>
        <w:ind w:firstLine="640" w:firstLineChars="200"/>
        <w:rPr>
          <w:rFonts w:hint="eastAsia" w:ascii="Times New Roman" w:hAnsi="Times New Roman" w:eastAsia="方正仿宋_GBK" w:cs="Times New Roman"/>
          <w:b w:val="0"/>
          <w:bCs w:val="0"/>
          <w:color w:val="auto"/>
          <w:kern w:val="2"/>
          <w:sz w:val="32"/>
          <w:szCs w:val="32"/>
          <w:highlight w:val="none"/>
          <w:lang w:val="en-US" w:eastAsia="zh-CN" w:bidi="ar-SA"/>
        </w:rPr>
      </w:pPr>
      <w:r>
        <w:rPr>
          <w:rFonts w:hint="eastAsia" w:ascii="Times New Roman" w:hAnsi="Times New Roman" w:eastAsia="方正仿宋_GBK" w:cs="Times New Roman"/>
          <w:b w:val="0"/>
          <w:bCs w:val="0"/>
          <w:color w:val="auto"/>
          <w:kern w:val="2"/>
          <w:sz w:val="32"/>
          <w:szCs w:val="32"/>
          <w:highlight w:val="none"/>
          <w:lang w:val="en-US" w:eastAsia="zh-CN" w:bidi="ar-SA"/>
        </w:rPr>
        <w:t>14.公共安全（类）检察（款）事业运行（项）：指事业单位的基本支出，不包括行政单位（包括实行公务员管理的事业单位）后勤服务中心、医务室等附属事业单位。</w:t>
      </w:r>
    </w:p>
    <w:p w14:paraId="10718954">
      <w:pPr>
        <w:pStyle w:val="27"/>
        <w:spacing w:line="560" w:lineRule="exact"/>
        <w:ind w:firstLine="640" w:firstLineChars="200"/>
        <w:rPr>
          <w:rFonts w:hint="eastAsia" w:ascii="Times New Roman" w:hAnsi="Times New Roman" w:eastAsia="方正仿宋_GBK" w:cs="Times New Roman"/>
          <w:b w:val="0"/>
          <w:bCs w:val="0"/>
          <w:i w:val="0"/>
          <w:iCs w:val="0"/>
          <w:color w:val="auto"/>
          <w:kern w:val="2"/>
          <w:sz w:val="32"/>
          <w:szCs w:val="32"/>
          <w:highlight w:val="none"/>
          <w:lang w:val="en-US" w:eastAsia="zh-CN" w:bidi="ar-SA"/>
        </w:rPr>
      </w:pPr>
      <w:r>
        <w:rPr>
          <w:rFonts w:hint="eastAsia" w:ascii="Times New Roman" w:hAnsi="Times New Roman" w:eastAsia="方正仿宋_GBK" w:cs="Times New Roman"/>
          <w:b w:val="0"/>
          <w:bCs w:val="0"/>
          <w:color w:val="auto"/>
          <w:kern w:val="2"/>
          <w:sz w:val="32"/>
          <w:szCs w:val="32"/>
          <w:highlight w:val="none"/>
          <w:lang w:val="en-US" w:eastAsia="zh-CN" w:bidi="ar-SA"/>
        </w:rPr>
        <w:t>15.公</w:t>
      </w:r>
      <w:r>
        <w:rPr>
          <w:rFonts w:hint="eastAsia" w:ascii="Times New Roman" w:hAnsi="Times New Roman" w:eastAsia="方正仿宋_GBK" w:cs="Times New Roman"/>
          <w:b w:val="0"/>
          <w:bCs w:val="0"/>
          <w:i w:val="0"/>
          <w:iCs w:val="0"/>
          <w:color w:val="auto"/>
          <w:kern w:val="2"/>
          <w:sz w:val="32"/>
          <w:szCs w:val="32"/>
          <w:highlight w:val="none"/>
          <w:lang w:val="en-US" w:eastAsia="zh-CN" w:bidi="ar-SA"/>
        </w:rPr>
        <w:t>共安全（类）检察（款）其他检察支出（项）</w:t>
      </w:r>
      <w:r>
        <w:rPr>
          <w:rFonts w:hint="eastAsia" w:ascii="Times New Roman" w:hAnsi="Times New Roman" w:eastAsia="方正仿宋_GBK" w:cs="Times New Roman"/>
          <w:b w:val="0"/>
          <w:bCs w:val="0"/>
          <w:color w:val="auto"/>
          <w:kern w:val="2"/>
          <w:sz w:val="32"/>
          <w:szCs w:val="32"/>
          <w:highlight w:val="none"/>
          <w:lang w:val="en-US" w:eastAsia="zh-CN" w:bidi="ar-SA"/>
        </w:rPr>
        <w:t>：指检察机关依法开展法律监督工作的其他支出，包括检察政策理论研究费、举报控申费、司法协助费、资料费、其他支出等。</w:t>
      </w:r>
    </w:p>
    <w:p w14:paraId="3BFA4D25">
      <w:pPr>
        <w:ind w:firstLine="640" w:firstLineChars="200"/>
        <w:rPr>
          <w:rFonts w:hint="eastAsia" w:ascii="Times New Roman" w:hAnsi="Times New Roman" w:eastAsia="方正仿宋_GBK" w:cs="Times New Roman"/>
          <w:b w:val="0"/>
          <w:bCs w:val="0"/>
          <w:color w:val="auto"/>
          <w:kern w:val="2"/>
          <w:sz w:val="32"/>
          <w:szCs w:val="32"/>
          <w:highlight w:val="none"/>
          <w:lang w:val="en-US" w:eastAsia="zh-CN" w:bidi="ar-SA"/>
        </w:rPr>
      </w:pPr>
      <w:r>
        <w:rPr>
          <w:rFonts w:hint="eastAsia" w:ascii="Times New Roman" w:hAnsi="Times New Roman" w:eastAsia="方正仿宋_GBK" w:cs="Times New Roman"/>
          <w:b w:val="0"/>
          <w:bCs w:val="0"/>
          <w:color w:val="auto"/>
          <w:kern w:val="2"/>
          <w:sz w:val="32"/>
          <w:szCs w:val="32"/>
          <w:highlight w:val="none"/>
          <w:lang w:val="en-US" w:eastAsia="zh-CN" w:bidi="ar-SA"/>
        </w:rPr>
        <w:t>16.</w:t>
      </w:r>
      <w:r>
        <w:rPr>
          <w:rFonts w:hint="eastAsia" w:ascii="Times New Roman" w:hAnsi="Times New Roman" w:eastAsia="方正仿宋_GBK" w:cs="Times New Roman"/>
          <w:b w:val="0"/>
          <w:bCs w:val="0"/>
          <w:strike w:val="0"/>
          <w:dstrike w:val="0"/>
          <w:color w:val="auto"/>
          <w:kern w:val="2"/>
          <w:sz w:val="32"/>
          <w:szCs w:val="32"/>
          <w:highlight w:val="none"/>
          <w:lang w:val="en-US" w:eastAsia="zh-CN" w:bidi="ar-SA"/>
        </w:rPr>
        <w:t>社会保障和就业（类）行政事业单位养老支出（款）行政单位离退休（项）：指行政单位开支的离退休经费</w:t>
      </w:r>
      <w:r>
        <w:rPr>
          <w:rFonts w:hint="eastAsia" w:ascii="Times New Roman" w:hAnsi="Times New Roman" w:eastAsia="方正仿宋_GBK" w:cs="Times New Roman"/>
          <w:b w:val="0"/>
          <w:bCs w:val="0"/>
          <w:color w:val="auto"/>
          <w:kern w:val="2"/>
          <w:sz w:val="32"/>
          <w:szCs w:val="32"/>
          <w:highlight w:val="none"/>
          <w:lang w:val="en-US" w:eastAsia="zh-CN" w:bidi="ar-SA"/>
        </w:rPr>
        <w:t>。</w:t>
      </w:r>
    </w:p>
    <w:p w14:paraId="45A00DB4">
      <w:pPr>
        <w:ind w:firstLine="640" w:firstLineChars="200"/>
        <w:rPr>
          <w:rFonts w:hint="eastAsia" w:ascii="Times New Roman" w:hAnsi="Times New Roman" w:eastAsia="方正仿宋_GBK" w:cs="Times New Roman"/>
          <w:b w:val="0"/>
          <w:bCs w:val="0"/>
          <w:strike w:val="0"/>
          <w:dstrike w:val="0"/>
          <w:color w:val="auto"/>
          <w:kern w:val="2"/>
          <w:sz w:val="32"/>
          <w:szCs w:val="32"/>
          <w:highlight w:val="none"/>
          <w:lang w:val="en-US" w:eastAsia="zh-CN" w:bidi="ar-SA"/>
        </w:rPr>
      </w:pPr>
      <w:r>
        <w:rPr>
          <w:rFonts w:hint="eastAsia" w:ascii="Times New Roman" w:hAnsi="Times New Roman" w:eastAsia="方正仿宋_GBK" w:cs="Times New Roman"/>
          <w:b w:val="0"/>
          <w:bCs w:val="0"/>
          <w:strike w:val="0"/>
          <w:dstrike w:val="0"/>
          <w:color w:val="auto"/>
          <w:kern w:val="2"/>
          <w:sz w:val="32"/>
          <w:szCs w:val="32"/>
          <w:highlight w:val="none"/>
          <w:lang w:val="en-US" w:eastAsia="zh-CN" w:bidi="ar-SA"/>
        </w:rPr>
        <w:t>17.</w:t>
      </w:r>
      <w:r>
        <w:rPr>
          <w:rFonts w:hint="eastAsia" w:ascii="Times New Roman" w:hAnsi="Times New Roman" w:eastAsia="方正仿宋_GBK" w:cs="Times New Roman"/>
          <w:b w:val="0"/>
          <w:bCs w:val="0"/>
          <w:color w:val="auto"/>
          <w:kern w:val="2"/>
          <w:sz w:val="32"/>
          <w:szCs w:val="32"/>
          <w:highlight w:val="none"/>
          <w:lang w:val="en-US" w:eastAsia="zh-CN" w:bidi="ar-SA"/>
        </w:rPr>
        <w:t>社会保障和就业（类）行政事业单位养老支出（款）机关事业单位基本养老保险缴费支出（项）：指机关事业单位实施养老保险制度由单位缴纳的基本养老保险费支出</w:t>
      </w:r>
      <w:r>
        <w:rPr>
          <w:rFonts w:hint="eastAsia" w:ascii="Times New Roman" w:hAnsi="Times New Roman" w:eastAsia="方正仿宋_GBK" w:cs="Times New Roman"/>
          <w:b w:val="0"/>
          <w:bCs w:val="0"/>
          <w:strike w:val="0"/>
          <w:dstrike w:val="0"/>
          <w:color w:val="auto"/>
          <w:kern w:val="2"/>
          <w:sz w:val="32"/>
          <w:szCs w:val="32"/>
          <w:highlight w:val="none"/>
          <w:lang w:val="en-US" w:eastAsia="zh-CN" w:bidi="ar-SA"/>
        </w:rPr>
        <w:t>。</w:t>
      </w:r>
    </w:p>
    <w:p w14:paraId="0D1BFB62">
      <w:pPr>
        <w:ind w:firstLine="640" w:firstLineChars="200"/>
        <w:rPr>
          <w:rFonts w:hint="eastAsia" w:ascii="Times New Roman" w:hAnsi="Times New Roman" w:eastAsia="方正仿宋_GBK" w:cs="Times New Roman"/>
          <w:b w:val="0"/>
          <w:bCs w:val="0"/>
          <w:color w:val="auto"/>
          <w:kern w:val="2"/>
          <w:sz w:val="32"/>
          <w:szCs w:val="32"/>
          <w:highlight w:val="none"/>
          <w:lang w:val="en-US" w:eastAsia="zh-CN" w:bidi="ar-SA"/>
        </w:rPr>
      </w:pPr>
      <w:r>
        <w:rPr>
          <w:rFonts w:hint="eastAsia" w:ascii="Times New Roman" w:hAnsi="Times New Roman" w:eastAsia="方正仿宋_GBK" w:cs="Times New Roman"/>
          <w:b w:val="0"/>
          <w:bCs w:val="0"/>
          <w:color w:val="auto"/>
          <w:kern w:val="2"/>
          <w:sz w:val="32"/>
          <w:szCs w:val="32"/>
          <w:highlight w:val="none"/>
          <w:lang w:val="en-US" w:eastAsia="zh-CN" w:bidi="ar-SA"/>
        </w:rPr>
        <w:t>18.社会保障和就业（类）其他社会保障和就业支出（款）其他社会保障和就业支出（项）：指其他用于社会保障和就业方面的支出。</w:t>
      </w:r>
    </w:p>
    <w:p w14:paraId="7590843A">
      <w:pPr>
        <w:ind w:firstLine="640" w:firstLineChars="200"/>
        <w:rPr>
          <w:rFonts w:hint="eastAsia" w:ascii="Times New Roman" w:hAnsi="Times New Roman" w:eastAsia="方正仿宋_GBK" w:cs="Times New Roman"/>
          <w:b w:val="0"/>
          <w:bCs w:val="0"/>
          <w:color w:val="auto"/>
          <w:kern w:val="2"/>
          <w:sz w:val="32"/>
          <w:szCs w:val="32"/>
          <w:highlight w:val="none"/>
          <w:lang w:val="en-US" w:eastAsia="zh-CN" w:bidi="ar-SA"/>
        </w:rPr>
      </w:pPr>
      <w:r>
        <w:rPr>
          <w:rFonts w:hint="eastAsia" w:ascii="Times New Roman" w:hAnsi="Times New Roman" w:eastAsia="方正仿宋_GBK" w:cs="Times New Roman"/>
          <w:b w:val="0"/>
          <w:bCs w:val="0"/>
          <w:color w:val="auto"/>
          <w:kern w:val="2"/>
          <w:sz w:val="32"/>
          <w:szCs w:val="32"/>
          <w:highlight w:val="none"/>
          <w:lang w:val="en-US" w:eastAsia="zh-CN" w:bidi="ar-SA"/>
        </w:rPr>
        <w:t>19.卫生与健康（类）行政事业单位医疗（款）行政单位医疗（项）：指财政部门安排的行政单位（包括实行公务员管理的事业单位）基本医疗保险缴费经费，未参加医疗保险的行政单位的公费医疗经费，按国家享受离休人员、红军老战士待遇人员的医疗经费。</w:t>
      </w:r>
    </w:p>
    <w:p w14:paraId="0A9A6318">
      <w:pPr>
        <w:ind w:firstLine="640" w:firstLineChars="200"/>
        <w:rPr>
          <w:rFonts w:hint="eastAsia" w:ascii="Times New Roman" w:hAnsi="Times New Roman" w:eastAsia="方正仿宋_GBK" w:cs="Times New Roman"/>
          <w:b w:val="0"/>
          <w:bCs w:val="0"/>
          <w:color w:val="auto"/>
          <w:kern w:val="2"/>
          <w:sz w:val="32"/>
          <w:szCs w:val="32"/>
          <w:highlight w:val="none"/>
          <w:lang w:val="en-US" w:eastAsia="zh-CN" w:bidi="ar-SA"/>
        </w:rPr>
      </w:pPr>
      <w:r>
        <w:rPr>
          <w:rFonts w:hint="eastAsia" w:ascii="Times New Roman" w:hAnsi="Times New Roman" w:eastAsia="方正仿宋_GBK" w:cs="Times New Roman"/>
          <w:b w:val="0"/>
          <w:bCs w:val="0"/>
          <w:color w:val="auto"/>
          <w:kern w:val="2"/>
          <w:sz w:val="32"/>
          <w:szCs w:val="32"/>
          <w:highlight w:val="none"/>
          <w:lang w:val="en-US" w:eastAsia="zh-CN" w:bidi="ar-SA"/>
        </w:rPr>
        <w:t>20.卫生与健康（类）行政事业单位医疗（款）事业单位医疗（项）：指财政部门安排的事业单位基本医疗保险缴费经费，未参加医疗保险的事业单位的公费医疗经费，按国家规定享受离休人员待遇的医疗经费。</w:t>
      </w:r>
    </w:p>
    <w:p w14:paraId="383EA297">
      <w:pPr>
        <w:ind w:firstLine="640" w:firstLineChars="200"/>
        <w:rPr>
          <w:rFonts w:hint="eastAsia" w:ascii="Times New Roman" w:hAnsi="Times New Roman" w:eastAsia="方正仿宋_GBK" w:cs="Times New Roman"/>
          <w:b w:val="0"/>
          <w:bCs w:val="0"/>
          <w:color w:val="auto"/>
          <w:kern w:val="2"/>
          <w:sz w:val="32"/>
          <w:szCs w:val="32"/>
          <w:highlight w:val="none"/>
          <w:lang w:val="en-US" w:eastAsia="zh-CN" w:bidi="ar-SA"/>
        </w:rPr>
      </w:pPr>
      <w:r>
        <w:rPr>
          <w:rFonts w:hint="eastAsia" w:ascii="Times New Roman" w:hAnsi="Times New Roman" w:eastAsia="方正仿宋_GBK" w:cs="Times New Roman"/>
          <w:b w:val="0"/>
          <w:bCs w:val="0"/>
          <w:color w:val="auto"/>
          <w:kern w:val="2"/>
          <w:sz w:val="32"/>
          <w:szCs w:val="32"/>
          <w:highlight w:val="none"/>
          <w:lang w:val="en-US" w:eastAsia="zh-CN" w:bidi="ar-SA"/>
        </w:rPr>
        <w:t>21.卫生与健康（类）行政事业单位医疗（款）公务员医疗补助（项）：指财政部门安排的公务员医疗补助经费。</w:t>
      </w:r>
    </w:p>
    <w:p w14:paraId="77CBED33">
      <w:pPr>
        <w:ind w:firstLine="640" w:firstLineChars="200"/>
        <w:rPr>
          <w:rFonts w:hint="eastAsia" w:ascii="Times New Roman" w:hAnsi="Times New Roman" w:eastAsia="方正仿宋_GBK" w:cs="Times New Roman"/>
          <w:b w:val="0"/>
          <w:bCs w:val="0"/>
          <w:color w:val="auto"/>
          <w:kern w:val="2"/>
          <w:sz w:val="32"/>
          <w:szCs w:val="32"/>
          <w:highlight w:val="none"/>
          <w:lang w:val="en-US" w:eastAsia="zh-CN" w:bidi="ar-SA"/>
        </w:rPr>
      </w:pPr>
      <w:r>
        <w:rPr>
          <w:rFonts w:hint="eastAsia" w:ascii="Times New Roman" w:hAnsi="Times New Roman" w:eastAsia="方正仿宋_GBK" w:cs="Times New Roman"/>
          <w:b w:val="0"/>
          <w:bCs w:val="0"/>
          <w:color w:val="auto"/>
          <w:kern w:val="2"/>
          <w:sz w:val="32"/>
          <w:szCs w:val="32"/>
          <w:highlight w:val="none"/>
          <w:lang w:val="en-US" w:eastAsia="zh-CN" w:bidi="ar-SA"/>
        </w:rPr>
        <w:t>22.卫生与健康（类）行政事业单位医疗（款）其他行政事业单位医疗支出（项）：指其他用于行政事业单位医疗方面的支出。</w:t>
      </w:r>
    </w:p>
    <w:p w14:paraId="48A8F5BD">
      <w:pPr>
        <w:ind w:firstLine="640" w:firstLineChars="200"/>
        <w:rPr>
          <w:rFonts w:hint="eastAsia" w:ascii="Times New Roman" w:hAnsi="Times New Roman" w:eastAsia="方正仿宋_GBK" w:cs="Times New Roman"/>
          <w:b w:val="0"/>
          <w:bCs w:val="0"/>
          <w:color w:val="auto"/>
          <w:kern w:val="2"/>
          <w:sz w:val="32"/>
          <w:szCs w:val="32"/>
          <w:highlight w:val="none"/>
          <w:lang w:val="en-US" w:eastAsia="zh-CN" w:bidi="ar-SA"/>
        </w:rPr>
      </w:pPr>
      <w:r>
        <w:rPr>
          <w:rFonts w:hint="eastAsia" w:ascii="Times New Roman" w:hAnsi="Times New Roman" w:eastAsia="方正仿宋_GBK" w:cs="Times New Roman"/>
          <w:b w:val="0"/>
          <w:bCs w:val="0"/>
          <w:color w:val="auto"/>
          <w:kern w:val="2"/>
          <w:sz w:val="32"/>
          <w:szCs w:val="32"/>
          <w:highlight w:val="none"/>
          <w:lang w:val="en-US" w:eastAsia="zh-CN" w:bidi="ar-SA"/>
        </w:rPr>
        <w:t>23.住房保障（类）住房改革支出（款）住房公积金（项）：指行政事业单位按人力资源社会保障部、财政部规定的基本工资和津贴补贴以及规定比例为职工缴纳的住房公积金。</w:t>
      </w:r>
    </w:p>
    <w:p w14:paraId="695BAB7E">
      <w:pPr>
        <w:ind w:firstLine="640" w:firstLineChars="200"/>
        <w:rPr>
          <w:rFonts w:hint="eastAsia" w:ascii="Times New Roman" w:hAnsi="Times New Roman" w:eastAsia="方正仿宋_GBK" w:cs="Times New Roman"/>
          <w:b w:val="0"/>
          <w:bCs w:val="0"/>
          <w:color w:val="auto"/>
          <w:kern w:val="2"/>
          <w:sz w:val="32"/>
          <w:szCs w:val="32"/>
          <w:highlight w:val="none"/>
          <w:lang w:val="en-US" w:eastAsia="zh-CN" w:bidi="ar-SA"/>
        </w:rPr>
      </w:pPr>
      <w:r>
        <w:rPr>
          <w:rFonts w:hint="eastAsia" w:ascii="Times New Roman" w:hAnsi="Times New Roman" w:eastAsia="方正仿宋_GBK" w:cs="Times New Roman"/>
          <w:b w:val="0"/>
          <w:bCs w:val="0"/>
          <w:color w:val="auto"/>
          <w:kern w:val="2"/>
          <w:sz w:val="32"/>
          <w:szCs w:val="32"/>
          <w:highlight w:val="none"/>
          <w:lang w:val="en-US" w:eastAsia="zh-CN" w:bidi="ar-SA"/>
        </w:rPr>
        <w:t>24.基本支出：指为保障机构正常运转、完成日常工作任务而发生的人员支出和公用支出。</w:t>
      </w:r>
    </w:p>
    <w:p w14:paraId="7572836E">
      <w:pPr>
        <w:ind w:firstLine="640" w:firstLineChars="200"/>
        <w:rPr>
          <w:rFonts w:hint="eastAsia" w:ascii="Times New Roman" w:hAnsi="Times New Roman" w:eastAsia="方正仿宋_GBK" w:cs="Times New Roman"/>
          <w:b w:val="0"/>
          <w:bCs w:val="0"/>
          <w:color w:val="auto"/>
          <w:kern w:val="2"/>
          <w:sz w:val="32"/>
          <w:szCs w:val="32"/>
          <w:highlight w:val="none"/>
          <w:lang w:val="en-US" w:eastAsia="zh-CN" w:bidi="ar-SA"/>
        </w:rPr>
      </w:pPr>
      <w:r>
        <w:rPr>
          <w:rFonts w:hint="eastAsia" w:ascii="Times New Roman" w:hAnsi="Times New Roman" w:eastAsia="方正仿宋_GBK" w:cs="Times New Roman"/>
          <w:b w:val="0"/>
          <w:bCs w:val="0"/>
          <w:color w:val="auto"/>
          <w:kern w:val="2"/>
          <w:sz w:val="32"/>
          <w:szCs w:val="32"/>
          <w:highlight w:val="none"/>
          <w:lang w:val="en-US" w:eastAsia="zh-CN" w:bidi="ar-SA"/>
        </w:rPr>
        <w:t xml:space="preserve">25.项目支出：指在基本支出之外为完成特定行政任务和事业发展目标所发生的支出。 </w:t>
      </w:r>
    </w:p>
    <w:p w14:paraId="6BE72812">
      <w:pPr>
        <w:ind w:firstLine="640" w:firstLineChars="200"/>
        <w:rPr>
          <w:rFonts w:hint="eastAsia" w:ascii="Times New Roman" w:hAnsi="Times New Roman" w:eastAsia="方正仿宋_GBK" w:cs="Times New Roman"/>
          <w:b w:val="0"/>
          <w:bCs w:val="0"/>
          <w:color w:val="auto"/>
          <w:kern w:val="2"/>
          <w:sz w:val="32"/>
          <w:szCs w:val="32"/>
          <w:highlight w:val="none"/>
          <w:lang w:val="en-US" w:eastAsia="zh-CN" w:bidi="ar-SA"/>
        </w:rPr>
      </w:pPr>
      <w:r>
        <w:rPr>
          <w:rFonts w:hint="eastAsia" w:ascii="Times New Roman" w:hAnsi="Times New Roman" w:eastAsia="方正仿宋_GBK" w:cs="Times New Roman"/>
          <w:b w:val="0"/>
          <w:bCs w:val="0"/>
          <w:color w:val="auto"/>
          <w:kern w:val="2"/>
          <w:sz w:val="32"/>
          <w:szCs w:val="32"/>
          <w:highlight w:val="none"/>
          <w:lang w:val="en-US" w:eastAsia="zh-CN" w:bidi="ar-SA"/>
        </w:rPr>
        <w:t>26.经营支出：指事业单位在专业业务活动及其辅助活动之外开展非独立核算经营活动发生的支出。</w:t>
      </w:r>
    </w:p>
    <w:p w14:paraId="24F3C4E5">
      <w:pPr>
        <w:ind w:firstLine="640" w:firstLineChars="200"/>
        <w:rPr>
          <w:rFonts w:hint="eastAsia" w:ascii="Times New Roman" w:hAnsi="Times New Roman" w:eastAsia="方正仿宋_GBK" w:cs="Times New Roman"/>
          <w:b w:val="0"/>
          <w:bCs w:val="0"/>
          <w:color w:val="auto"/>
          <w:kern w:val="2"/>
          <w:sz w:val="32"/>
          <w:szCs w:val="32"/>
          <w:highlight w:val="none"/>
          <w:lang w:val="en-US" w:eastAsia="zh-CN" w:bidi="ar-SA"/>
        </w:rPr>
      </w:pPr>
      <w:r>
        <w:rPr>
          <w:rFonts w:hint="eastAsia" w:ascii="Times New Roman" w:hAnsi="Times New Roman" w:eastAsia="方正仿宋_GBK" w:cs="Times New Roman"/>
          <w:b w:val="0"/>
          <w:bCs w:val="0"/>
          <w:color w:val="auto"/>
          <w:kern w:val="2"/>
          <w:sz w:val="32"/>
          <w:szCs w:val="32"/>
          <w:highlight w:val="none"/>
          <w:lang w:val="en-US" w:eastAsia="zh-CN" w:bidi="ar-SA"/>
        </w:rPr>
        <w:t>27.“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7BD7D6C5">
      <w:pPr>
        <w:ind w:firstLine="640" w:firstLineChars="200"/>
        <w:rPr>
          <w:rFonts w:hint="eastAsia" w:ascii="Times New Roman" w:hAnsi="Times New Roman" w:eastAsia="方正仿宋_GBK" w:cs="Times New Roman"/>
          <w:b w:val="0"/>
          <w:bCs w:val="0"/>
          <w:color w:val="auto"/>
          <w:kern w:val="2"/>
          <w:sz w:val="32"/>
          <w:szCs w:val="32"/>
          <w:highlight w:val="none"/>
          <w:lang w:val="en-US" w:eastAsia="zh-CN" w:bidi="ar-SA"/>
        </w:rPr>
      </w:pPr>
      <w:r>
        <w:rPr>
          <w:rFonts w:hint="eastAsia" w:ascii="Times New Roman" w:hAnsi="Times New Roman" w:eastAsia="方正仿宋_GBK" w:cs="Times New Roman"/>
          <w:b w:val="0"/>
          <w:bCs w:val="0"/>
          <w:color w:val="auto"/>
          <w:kern w:val="2"/>
          <w:sz w:val="32"/>
          <w:szCs w:val="32"/>
          <w:highlight w:val="none"/>
          <w:lang w:val="en-US" w:eastAsia="zh-CN" w:bidi="ar-SA"/>
        </w:rPr>
        <w:t>28.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90990BC">
      <w:pPr>
        <w:spacing w:line="600" w:lineRule="exact"/>
        <w:ind w:firstLine="640"/>
        <w:rPr>
          <w:rFonts w:hint="eastAsia" w:ascii="Times New Roman" w:hAnsi="Times New Roman" w:eastAsia="仿宋_GB2312" w:cs="仿宋_GB2312"/>
          <w:b w:val="0"/>
          <w:bCs w:val="0"/>
          <w:color w:val="auto"/>
          <w:kern w:val="2"/>
          <w:sz w:val="32"/>
          <w:szCs w:val="32"/>
          <w:highlight w:val="none"/>
          <w:lang w:val="en-US" w:eastAsia="zh-CN" w:bidi="ar-SA"/>
        </w:rPr>
      </w:pPr>
    </w:p>
    <w:p w14:paraId="32016E98">
      <w:pPr>
        <w:pStyle w:val="3"/>
        <w:bidi w:val="0"/>
        <w:rPr>
          <w:rFonts w:hint="eastAsia" w:ascii="Times New Roman" w:hAnsi="Times New Roman"/>
          <w:b w:val="0"/>
          <w:bCs w:val="0"/>
          <w:lang w:eastAsia="zh-CN"/>
        </w:rPr>
      </w:pPr>
      <w:bookmarkStart w:id="82" w:name="_Toc15377226"/>
      <w:r>
        <w:rPr>
          <w:rFonts w:hint="eastAsia" w:ascii="Times New Roman" w:hAnsi="Times New Roman" w:eastAsia="仿宋_GB2312" w:cs="仿宋_GB2312"/>
          <w:b w:val="0"/>
          <w:bCs w:val="0"/>
          <w:color w:val="auto"/>
          <w:kern w:val="2"/>
          <w:szCs w:val="32"/>
          <w:highlight w:val="none"/>
          <w:lang w:val="en-US" w:eastAsia="zh-CN" w:bidi="ar-SA"/>
        </w:rPr>
        <w:br w:type="page"/>
      </w:r>
      <w:bookmarkStart w:id="83" w:name="_Toc15396614"/>
      <w:bookmarkStart w:id="84" w:name="_Toc117850989"/>
      <w:r>
        <w:rPr>
          <w:rFonts w:hint="eastAsia" w:ascii="Times New Roman" w:hAnsi="Times New Roman"/>
          <w:b w:val="0"/>
          <w:bCs w:val="0"/>
        </w:rPr>
        <w:t>第四部分</w:t>
      </w:r>
      <w:r>
        <w:rPr>
          <w:rFonts w:hint="eastAsia" w:ascii="Times New Roman" w:hAnsi="Times New Roman"/>
          <w:b w:val="0"/>
          <w:bCs w:val="0"/>
          <w:lang w:val="en-US" w:eastAsia="zh-CN"/>
        </w:rPr>
        <w:t xml:space="preserve"> </w:t>
      </w:r>
      <w:r>
        <w:rPr>
          <w:rFonts w:hint="eastAsia" w:ascii="Times New Roman" w:hAnsi="Times New Roman"/>
          <w:b w:val="0"/>
          <w:bCs w:val="0"/>
        </w:rPr>
        <w:t xml:space="preserve"> 附件</w:t>
      </w:r>
      <w:bookmarkEnd w:id="83"/>
      <w:bookmarkEnd w:id="84"/>
    </w:p>
    <w:p w14:paraId="52DBAA0F">
      <w:pPr>
        <w:keepNext w:val="0"/>
        <w:keepLines w:val="0"/>
        <w:pageBreakBefore w:val="0"/>
        <w:widowControl/>
        <w:kinsoku/>
        <w:wordWrap/>
        <w:overflowPunct/>
        <w:topLinePunct w:val="0"/>
        <w:autoSpaceDE/>
        <w:autoSpaceDN/>
        <w:bidi w:val="0"/>
        <w:spacing w:line="578" w:lineRule="exact"/>
        <w:ind w:left="0" w:leftChars="0" w:firstLine="0" w:firstLineChars="0"/>
        <w:contextualSpacing/>
        <w:jc w:val="both"/>
        <w:textAlignment w:val="auto"/>
        <w:outlineLvl w:val="9"/>
        <w:rPr>
          <w:rFonts w:hint="default" w:ascii="Times New Roman" w:hAnsi="Times New Roman" w:eastAsia="方正小标宋简体" w:cs="Times New Roman"/>
          <w:b w:val="0"/>
          <w:bCs w:val="0"/>
          <w:sz w:val="44"/>
          <w:szCs w:val="44"/>
          <w:highlight w:val="none"/>
          <w:shd w:val="clear" w:color="auto" w:fill="FFFFFF"/>
        </w:rPr>
      </w:pPr>
    </w:p>
    <w:p w14:paraId="488BC94D">
      <w:pPr>
        <w:keepNext w:val="0"/>
        <w:keepLines w:val="0"/>
        <w:pageBreakBefore w:val="0"/>
        <w:widowControl w:val="0"/>
        <w:kinsoku/>
        <w:wordWrap/>
        <w:overflowPunct w:val="0"/>
        <w:topLinePunct w:val="0"/>
        <w:autoSpaceDE/>
        <w:autoSpaceDN/>
        <w:bidi w:val="0"/>
        <w:adjustRightInd/>
        <w:snapToGrid/>
        <w:spacing w:line="552" w:lineRule="exact"/>
        <w:jc w:val="center"/>
        <w:textAlignment w:val="auto"/>
        <w:rPr>
          <w:rFonts w:hint="eastAsia" w:ascii="Times New Roman" w:hAnsi="Times New Roman" w:eastAsia="方正小标宋_GBK" w:cs="方正小标宋_GBK"/>
          <w:b w:val="0"/>
          <w:bCs w:val="0"/>
          <w:spacing w:val="-6"/>
          <w:sz w:val="44"/>
          <w:szCs w:val="44"/>
          <w:lang w:val="en-US" w:eastAsia="zh-CN"/>
        </w:rPr>
      </w:pPr>
      <w:r>
        <w:rPr>
          <w:rFonts w:hint="eastAsia" w:ascii="Times New Roman" w:hAnsi="Times New Roman" w:eastAsia="方正小标宋_GBK" w:cs="方正小标宋_GBK"/>
          <w:b w:val="0"/>
          <w:bCs w:val="0"/>
          <w:spacing w:val="-6"/>
          <w:sz w:val="44"/>
          <w:szCs w:val="44"/>
          <w:lang w:val="en-US" w:eastAsia="zh-CN"/>
        </w:rPr>
        <w:t>四川省巴中市人民检察院</w:t>
      </w:r>
    </w:p>
    <w:p w14:paraId="4B6CA2A5">
      <w:pPr>
        <w:keepNext w:val="0"/>
        <w:keepLines w:val="0"/>
        <w:pageBreakBefore w:val="0"/>
        <w:widowControl w:val="0"/>
        <w:kinsoku/>
        <w:wordWrap/>
        <w:overflowPunct w:val="0"/>
        <w:topLinePunct w:val="0"/>
        <w:autoSpaceDE/>
        <w:autoSpaceDN/>
        <w:bidi w:val="0"/>
        <w:adjustRightInd/>
        <w:snapToGrid/>
        <w:spacing w:line="552" w:lineRule="exact"/>
        <w:jc w:val="center"/>
        <w:textAlignment w:val="auto"/>
        <w:rPr>
          <w:rFonts w:hint="default" w:ascii="Times New Roman" w:hAnsi="Times New Roman" w:eastAsia="方正小标宋简体" w:cs="Times New Roman"/>
          <w:b w:val="0"/>
          <w:bCs w:val="0"/>
          <w:sz w:val="44"/>
          <w:szCs w:val="44"/>
          <w:highlight w:val="none"/>
          <w:shd w:val="clear" w:color="auto" w:fill="FFFFFF"/>
        </w:rPr>
      </w:pPr>
      <w:r>
        <w:rPr>
          <w:rFonts w:hint="eastAsia" w:ascii="Times New Roman" w:hAnsi="Times New Roman" w:eastAsia="方正小标宋_GBK" w:cs="方正小标宋_GBK"/>
          <w:b w:val="0"/>
          <w:bCs w:val="0"/>
          <w:spacing w:val="-6"/>
          <w:sz w:val="44"/>
          <w:szCs w:val="44"/>
          <w:lang w:val="en-US" w:eastAsia="zh-CN"/>
        </w:rPr>
        <w:t>2025年度部门预算绩效自评报告</w:t>
      </w:r>
    </w:p>
    <w:p w14:paraId="036172C9">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仿宋_GB2312" w:cs="Times New Roman"/>
          <w:b w:val="0"/>
          <w:bCs w:val="0"/>
          <w:sz w:val="32"/>
          <w:szCs w:val="32"/>
          <w:highlight w:val="none"/>
          <w:shd w:val="clear" w:color="auto" w:fill="FFFFFF"/>
        </w:rPr>
      </w:pPr>
      <w:r>
        <w:rPr>
          <w:rFonts w:hint="default" w:ascii="Times New Roman" w:hAnsi="Times New Roman" w:eastAsia="仿宋_GB2312" w:cs="Times New Roman"/>
          <w:b w:val="0"/>
          <w:bCs w:val="0"/>
          <w:sz w:val="32"/>
          <w:szCs w:val="32"/>
          <w:highlight w:val="none"/>
          <w:shd w:val="clear" w:color="auto" w:fill="FFFFFF"/>
        </w:rPr>
        <w:t>（报告范围包括机关和下属单位）</w:t>
      </w:r>
    </w:p>
    <w:p w14:paraId="2CAA1009">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b w:val="0"/>
          <w:bCs w:val="0"/>
          <w:color w:val="000000"/>
          <w:kern w:val="0"/>
          <w:sz w:val="24"/>
          <w:szCs w:val="32"/>
          <w:highlight w:val="none"/>
          <w:shd w:val="clear" w:color="auto" w:fill="FFFFFF"/>
        </w:rPr>
      </w:pPr>
    </w:p>
    <w:p w14:paraId="30628C5D">
      <w:pPr>
        <w:keepNext w:val="0"/>
        <w:keepLines w:val="0"/>
        <w:pageBreakBefore w:val="0"/>
        <w:widowControl w:val="0"/>
        <w:kinsoku/>
        <w:wordWrap/>
        <w:overflowPunct w:val="0"/>
        <w:topLinePunct w:val="0"/>
        <w:autoSpaceDE/>
        <w:autoSpaceDN/>
        <w:bidi w:val="0"/>
        <w:adjustRightInd w:val="0"/>
        <w:snapToGrid w:val="0"/>
        <w:spacing w:line="552" w:lineRule="exact"/>
        <w:ind w:left="0" w:firstLine="640" w:firstLineChars="200"/>
        <w:contextualSpacing/>
        <w:jc w:val="left"/>
        <w:textAlignment w:val="auto"/>
        <w:outlineLvl w:val="9"/>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color w:val="000000"/>
          <w:kern w:val="0"/>
          <w:sz w:val="32"/>
          <w:szCs w:val="32"/>
          <w:highlight w:val="none"/>
          <w:shd w:val="clear" w:color="auto" w:fill="FFFFFF"/>
          <w:lang w:val="zh-CN" w:eastAsia="zh-CN"/>
        </w:rPr>
        <w:t>一、部门（单位）基本情况</w:t>
      </w:r>
    </w:p>
    <w:p w14:paraId="6AF0B180">
      <w:pPr>
        <w:keepNext w:val="0"/>
        <w:keepLines w:val="0"/>
        <w:pageBreakBefore w:val="0"/>
        <w:widowControl w:val="0"/>
        <w:kinsoku/>
        <w:wordWrap/>
        <w:overflowPunct w:val="0"/>
        <w:topLinePunct w:val="0"/>
        <w:autoSpaceDE/>
        <w:autoSpaceDN/>
        <w:bidi w:val="0"/>
        <w:adjustRightInd/>
        <w:snapToGrid w:val="0"/>
        <w:spacing w:line="552" w:lineRule="exact"/>
        <w:ind w:firstLine="640" w:firstLineChars="200"/>
        <w:textAlignment w:val="auto"/>
        <w:rPr>
          <w:rFonts w:hint="default" w:ascii="Times New Roman" w:hAnsi="Times New Roman" w:eastAsia="方正楷体_GBK" w:cs="Times New Roman"/>
          <w:b w:val="0"/>
          <w:bCs w:val="0"/>
          <w:color w:val="000000"/>
          <w:kern w:val="0"/>
          <w:sz w:val="32"/>
          <w:szCs w:val="32"/>
          <w:highlight w:val="none"/>
          <w:shd w:val="clear" w:color="auto" w:fill="FFFFFF"/>
          <w:lang w:val="zh-CN" w:eastAsia="zh-CN"/>
        </w:rPr>
      </w:pPr>
      <w:r>
        <w:rPr>
          <w:rFonts w:hint="default" w:ascii="Times New Roman" w:hAnsi="Times New Roman" w:eastAsia="方正楷体_GBK" w:cs="Times New Roman"/>
          <w:b w:val="0"/>
          <w:bCs w:val="0"/>
          <w:color w:val="000000"/>
          <w:kern w:val="0"/>
          <w:sz w:val="32"/>
          <w:szCs w:val="32"/>
          <w:highlight w:val="none"/>
          <w:shd w:val="clear" w:color="auto" w:fill="FFFFFF"/>
          <w:lang w:val="zh-CN" w:eastAsia="zh-CN"/>
        </w:rPr>
        <w:t>（一）机构组成</w:t>
      </w:r>
    </w:p>
    <w:p w14:paraId="1825DCD2">
      <w:pPr>
        <w:keepNext w:val="0"/>
        <w:keepLines w:val="0"/>
        <w:pageBreakBefore w:val="0"/>
        <w:widowControl w:val="0"/>
        <w:kinsoku/>
        <w:wordWrap/>
        <w:overflowPunct w:val="0"/>
        <w:topLinePunct w:val="0"/>
        <w:autoSpaceDE/>
        <w:autoSpaceDN/>
        <w:bidi w:val="0"/>
        <w:adjustRightInd/>
        <w:snapToGrid w:val="0"/>
        <w:spacing w:line="552" w:lineRule="exact"/>
        <w:ind w:firstLine="640" w:firstLineChars="200"/>
        <w:textAlignment w:val="auto"/>
        <w:rPr>
          <w:rFonts w:hint="default" w:ascii="Times New Roman" w:hAnsi="Times New Roman" w:eastAsia="方正仿宋_GBK" w:cs="Times New Roman"/>
          <w:b w:val="0"/>
          <w:bCs w:val="0"/>
          <w:sz w:val="32"/>
          <w:szCs w:val="32"/>
          <w:lang w:val="zh-CN" w:eastAsia="zh-CN"/>
        </w:rPr>
      </w:pPr>
      <w:r>
        <w:rPr>
          <w:rFonts w:hint="default" w:ascii="Times New Roman" w:hAnsi="Times New Roman" w:eastAsia="方正仿宋_GBK" w:cs="Times New Roman"/>
          <w:b w:val="0"/>
          <w:bCs w:val="0"/>
          <w:sz w:val="32"/>
          <w:szCs w:val="32"/>
        </w:rPr>
        <w:t>202</w:t>
      </w:r>
      <w:r>
        <w:rPr>
          <w:rFonts w:hint="default" w:ascii="Times New Roman" w:hAnsi="Times New Roman" w:eastAsia="方正仿宋_GBK" w:cs="Times New Roman"/>
          <w:b w:val="0"/>
          <w:bCs w:val="0"/>
          <w:sz w:val="32"/>
          <w:szCs w:val="32"/>
          <w:lang w:val="en"/>
        </w:rPr>
        <w:t>5</w:t>
      </w:r>
      <w:r>
        <w:rPr>
          <w:rFonts w:hint="default" w:ascii="Times New Roman" w:hAnsi="Times New Roman" w:eastAsia="方正仿宋_GBK" w:cs="Times New Roman"/>
          <w:b w:val="0"/>
          <w:bCs w:val="0"/>
          <w:sz w:val="32"/>
          <w:szCs w:val="32"/>
        </w:rPr>
        <w:t>年，市检察院独立核算机构1个，独立编制机构2个，其中：行政机构1个，事业机构1个，较上年均无增减变化。</w:t>
      </w:r>
    </w:p>
    <w:p w14:paraId="596BC935">
      <w:pPr>
        <w:keepNext w:val="0"/>
        <w:keepLines w:val="0"/>
        <w:pageBreakBefore w:val="0"/>
        <w:widowControl w:val="0"/>
        <w:kinsoku/>
        <w:wordWrap/>
        <w:overflowPunct w:val="0"/>
        <w:topLinePunct w:val="0"/>
        <w:autoSpaceDE/>
        <w:autoSpaceDN/>
        <w:bidi w:val="0"/>
        <w:adjustRightInd/>
        <w:snapToGrid w:val="0"/>
        <w:spacing w:line="552" w:lineRule="exact"/>
        <w:ind w:firstLine="640" w:firstLineChars="200"/>
        <w:textAlignment w:val="auto"/>
        <w:rPr>
          <w:rFonts w:hint="default" w:ascii="Times New Roman" w:hAnsi="Times New Roman" w:eastAsia="方正楷体_GBK" w:cs="Times New Roman"/>
          <w:b w:val="0"/>
          <w:bCs w:val="0"/>
          <w:color w:val="000000"/>
          <w:kern w:val="0"/>
          <w:sz w:val="32"/>
          <w:szCs w:val="32"/>
          <w:highlight w:val="none"/>
          <w:shd w:val="clear" w:color="auto" w:fill="FFFFFF"/>
          <w:lang w:val="zh-CN" w:eastAsia="zh-CN"/>
        </w:rPr>
      </w:pPr>
      <w:r>
        <w:rPr>
          <w:rFonts w:hint="default" w:ascii="Times New Roman" w:hAnsi="Times New Roman" w:eastAsia="方正楷体_GBK" w:cs="Times New Roman"/>
          <w:b w:val="0"/>
          <w:bCs w:val="0"/>
          <w:color w:val="000000"/>
          <w:kern w:val="0"/>
          <w:sz w:val="32"/>
          <w:szCs w:val="32"/>
          <w:highlight w:val="none"/>
          <w:shd w:val="clear" w:color="auto" w:fill="FFFFFF"/>
          <w:lang w:val="zh-CN" w:eastAsia="zh-CN"/>
        </w:rPr>
        <w:t>（</w:t>
      </w:r>
      <w:r>
        <w:rPr>
          <w:rFonts w:hint="eastAsia" w:ascii="Times New Roman" w:hAnsi="Times New Roman" w:eastAsia="方正楷体_GBK" w:cs="Times New Roman"/>
          <w:b w:val="0"/>
          <w:bCs w:val="0"/>
          <w:color w:val="000000"/>
          <w:kern w:val="0"/>
          <w:sz w:val="32"/>
          <w:szCs w:val="32"/>
          <w:highlight w:val="none"/>
          <w:shd w:val="clear" w:color="auto" w:fill="FFFFFF"/>
          <w:lang w:val="zh-CN" w:eastAsia="zh-CN"/>
        </w:rPr>
        <w:t>二</w:t>
      </w:r>
      <w:r>
        <w:rPr>
          <w:rFonts w:hint="default" w:ascii="Times New Roman" w:hAnsi="Times New Roman" w:eastAsia="方正楷体_GBK" w:cs="Times New Roman"/>
          <w:b w:val="0"/>
          <w:bCs w:val="0"/>
          <w:color w:val="000000"/>
          <w:kern w:val="0"/>
          <w:sz w:val="32"/>
          <w:szCs w:val="32"/>
          <w:highlight w:val="none"/>
          <w:shd w:val="clear" w:color="auto" w:fill="FFFFFF"/>
          <w:lang w:val="zh-CN" w:eastAsia="zh-CN"/>
        </w:rPr>
        <w:t>）机构职能</w:t>
      </w:r>
    </w:p>
    <w:p w14:paraId="54A596F4">
      <w:pPr>
        <w:keepNext w:val="0"/>
        <w:keepLines w:val="0"/>
        <w:pageBreakBefore w:val="0"/>
        <w:widowControl w:val="0"/>
        <w:kinsoku/>
        <w:wordWrap/>
        <w:overflowPunct w:val="0"/>
        <w:topLinePunct w:val="0"/>
        <w:autoSpaceDE/>
        <w:autoSpaceDN/>
        <w:bidi w:val="0"/>
        <w:adjustRightInd/>
        <w:snapToGrid/>
        <w:spacing w:line="552" w:lineRule="exact"/>
        <w:ind w:firstLine="640" w:firstLineChars="200"/>
        <w:textAlignment w:val="auto"/>
        <w:rPr>
          <w:rFonts w:hint="default" w:ascii="Times New Roman" w:hAnsi="Times New Roman" w:eastAsia="方正仿宋_GBK" w:cs="Times New Roman"/>
          <w:b w:val="0"/>
          <w:bCs w:val="0"/>
          <w:sz w:val="32"/>
          <w:szCs w:val="32"/>
          <w:highlight w:val="none"/>
        </w:rPr>
      </w:pPr>
      <w:r>
        <w:rPr>
          <w:rFonts w:hint="default" w:ascii="Times New Roman" w:hAnsi="Times New Roman" w:eastAsia="方正仿宋_GBK" w:cs="Times New Roman"/>
          <w:b w:val="0"/>
          <w:bCs w:val="0"/>
          <w:sz w:val="32"/>
          <w:szCs w:val="32"/>
          <w:highlight w:val="none"/>
        </w:rPr>
        <w:t>1.依法对巴中市人民代表大会及其常务委员会负责并报告工作。</w:t>
      </w:r>
    </w:p>
    <w:p w14:paraId="372C173C">
      <w:pPr>
        <w:keepNext w:val="0"/>
        <w:keepLines w:val="0"/>
        <w:pageBreakBefore w:val="0"/>
        <w:widowControl w:val="0"/>
        <w:kinsoku/>
        <w:wordWrap/>
        <w:overflowPunct w:val="0"/>
        <w:topLinePunct w:val="0"/>
        <w:autoSpaceDE/>
        <w:autoSpaceDN/>
        <w:bidi w:val="0"/>
        <w:adjustRightInd/>
        <w:snapToGrid/>
        <w:spacing w:line="552" w:lineRule="exact"/>
        <w:ind w:firstLine="640" w:firstLineChars="200"/>
        <w:textAlignment w:val="auto"/>
        <w:rPr>
          <w:rFonts w:hint="default" w:ascii="Times New Roman" w:hAnsi="Times New Roman" w:eastAsia="方正仿宋_GBK" w:cs="Times New Roman"/>
          <w:b w:val="0"/>
          <w:bCs w:val="0"/>
          <w:sz w:val="32"/>
          <w:szCs w:val="32"/>
          <w:highlight w:val="none"/>
        </w:rPr>
      </w:pPr>
      <w:r>
        <w:rPr>
          <w:rFonts w:hint="default" w:ascii="Times New Roman" w:hAnsi="Times New Roman" w:eastAsia="方正仿宋_GBK" w:cs="Times New Roman"/>
          <w:b w:val="0"/>
          <w:bCs w:val="0"/>
          <w:sz w:val="32"/>
          <w:szCs w:val="32"/>
          <w:highlight w:val="none"/>
        </w:rPr>
        <w:t>2.领导全市检察机关的工作，按照高检、省院确定的工作方针，部署全市检察工作任务。</w:t>
      </w:r>
    </w:p>
    <w:p w14:paraId="318DD58C">
      <w:pPr>
        <w:keepNext w:val="0"/>
        <w:keepLines w:val="0"/>
        <w:pageBreakBefore w:val="0"/>
        <w:widowControl w:val="0"/>
        <w:kinsoku/>
        <w:wordWrap/>
        <w:overflowPunct w:val="0"/>
        <w:topLinePunct w:val="0"/>
        <w:autoSpaceDE/>
        <w:autoSpaceDN/>
        <w:bidi w:val="0"/>
        <w:adjustRightInd/>
        <w:snapToGrid/>
        <w:spacing w:line="552" w:lineRule="exact"/>
        <w:ind w:firstLine="640" w:firstLineChars="200"/>
        <w:textAlignment w:val="auto"/>
        <w:rPr>
          <w:rFonts w:hint="default" w:ascii="Times New Roman" w:hAnsi="Times New Roman" w:eastAsia="方正仿宋_GBK" w:cs="Times New Roman"/>
          <w:b w:val="0"/>
          <w:bCs w:val="0"/>
          <w:sz w:val="32"/>
          <w:szCs w:val="32"/>
          <w:highlight w:val="none"/>
        </w:rPr>
      </w:pPr>
      <w:r>
        <w:rPr>
          <w:rFonts w:hint="default" w:ascii="Times New Roman" w:hAnsi="Times New Roman" w:eastAsia="方正仿宋_GBK" w:cs="Times New Roman"/>
          <w:b w:val="0"/>
          <w:bCs w:val="0"/>
          <w:sz w:val="32"/>
          <w:szCs w:val="32"/>
          <w:highlight w:val="none"/>
        </w:rPr>
        <w:t>3.负责全市检察机关文电、会务、机要、档案、保密等工作。组织协调全市检察机关重要工作部署、重大决策的贯彻实施。承担综合性绩效考核相关工作。起草审核相关文件文稿，处理检察信息，负责领导批办事项督查工作。负责人大代表、政协委员联络工作和特约检察员的联系工作，组织指导人民监督员工作。</w:t>
      </w:r>
    </w:p>
    <w:p w14:paraId="179D1DA0">
      <w:pPr>
        <w:keepNext w:val="0"/>
        <w:keepLines w:val="0"/>
        <w:pageBreakBefore w:val="0"/>
        <w:widowControl w:val="0"/>
        <w:kinsoku/>
        <w:wordWrap/>
        <w:overflowPunct w:val="0"/>
        <w:topLinePunct w:val="0"/>
        <w:autoSpaceDE/>
        <w:autoSpaceDN/>
        <w:bidi w:val="0"/>
        <w:adjustRightInd/>
        <w:snapToGrid/>
        <w:spacing w:line="552" w:lineRule="exact"/>
        <w:ind w:firstLine="640" w:firstLineChars="200"/>
        <w:textAlignment w:val="auto"/>
        <w:rPr>
          <w:rFonts w:hint="default" w:ascii="Times New Roman" w:hAnsi="Times New Roman" w:eastAsia="方正仿宋_GBK" w:cs="Times New Roman"/>
          <w:b w:val="0"/>
          <w:bCs w:val="0"/>
          <w:sz w:val="32"/>
          <w:szCs w:val="32"/>
          <w:highlight w:val="none"/>
        </w:rPr>
      </w:pPr>
      <w:r>
        <w:rPr>
          <w:rFonts w:hint="default" w:ascii="Times New Roman" w:hAnsi="Times New Roman" w:eastAsia="方正仿宋_GBK" w:cs="Times New Roman"/>
          <w:b w:val="0"/>
          <w:bCs w:val="0"/>
          <w:sz w:val="32"/>
          <w:szCs w:val="32"/>
          <w:highlight w:val="none"/>
        </w:rPr>
        <w:t>4.负责对巴中市监察委员会移送职务犯罪案件的审查逮捕、审查起诉、出庭支持公诉、抗诉，开展相关审判监督以及相关案件的补充侦查。负责对破坏社会主义市场经济秩序犯罪案件的审查逮捕、审查起诉、出庭支持公诉、抗诉，开展相关立案监督、侦查监督、审判监督以及相关案件的补充侦查。</w:t>
      </w:r>
    </w:p>
    <w:p w14:paraId="30A490CA">
      <w:pPr>
        <w:keepNext w:val="0"/>
        <w:keepLines w:val="0"/>
        <w:pageBreakBefore w:val="0"/>
        <w:widowControl w:val="0"/>
        <w:kinsoku/>
        <w:wordWrap/>
        <w:overflowPunct w:val="0"/>
        <w:topLinePunct w:val="0"/>
        <w:autoSpaceDE/>
        <w:autoSpaceDN/>
        <w:bidi w:val="0"/>
        <w:adjustRightInd/>
        <w:snapToGrid/>
        <w:spacing w:line="552" w:lineRule="exact"/>
        <w:ind w:firstLine="640" w:firstLineChars="200"/>
        <w:textAlignment w:val="auto"/>
        <w:rPr>
          <w:rFonts w:hint="default" w:ascii="Times New Roman" w:hAnsi="Times New Roman" w:eastAsia="方正仿宋_GBK" w:cs="Times New Roman"/>
          <w:b w:val="0"/>
          <w:bCs w:val="0"/>
          <w:sz w:val="32"/>
          <w:szCs w:val="32"/>
          <w:highlight w:val="none"/>
        </w:rPr>
      </w:pPr>
      <w:r>
        <w:rPr>
          <w:rFonts w:hint="default" w:ascii="Times New Roman" w:hAnsi="Times New Roman" w:eastAsia="方正仿宋_GBK" w:cs="Times New Roman"/>
          <w:b w:val="0"/>
          <w:bCs w:val="0"/>
          <w:sz w:val="32"/>
          <w:szCs w:val="32"/>
          <w:highlight w:val="none"/>
        </w:rPr>
        <w:t>5.负责对第4项职能之外的刑事案件的审查逮捕、审查起诉、出庭支持公诉、抗诉，开展相关立案监督、侦查监督、审判监督以及相关案件的补充侦查。办理相关刑事申诉案件。</w:t>
      </w:r>
    </w:p>
    <w:p w14:paraId="31B01B6D">
      <w:pPr>
        <w:keepNext w:val="0"/>
        <w:keepLines w:val="0"/>
        <w:pageBreakBefore w:val="0"/>
        <w:widowControl w:val="0"/>
        <w:kinsoku/>
        <w:wordWrap/>
        <w:overflowPunct w:val="0"/>
        <w:topLinePunct w:val="0"/>
        <w:autoSpaceDE/>
        <w:autoSpaceDN/>
        <w:bidi w:val="0"/>
        <w:adjustRightInd/>
        <w:snapToGrid/>
        <w:spacing w:line="552" w:lineRule="exact"/>
        <w:ind w:firstLine="640" w:firstLineChars="200"/>
        <w:textAlignment w:val="auto"/>
        <w:rPr>
          <w:rFonts w:hint="default" w:ascii="Times New Roman" w:hAnsi="Times New Roman" w:eastAsia="方正仿宋_GBK" w:cs="Times New Roman"/>
          <w:b w:val="0"/>
          <w:bCs w:val="0"/>
          <w:sz w:val="32"/>
          <w:szCs w:val="32"/>
          <w:highlight w:val="none"/>
        </w:rPr>
      </w:pPr>
      <w:r>
        <w:rPr>
          <w:rFonts w:hint="default" w:ascii="Times New Roman" w:hAnsi="Times New Roman" w:eastAsia="方正仿宋_GBK" w:cs="Times New Roman"/>
          <w:b w:val="0"/>
          <w:bCs w:val="0"/>
          <w:sz w:val="32"/>
          <w:szCs w:val="32"/>
          <w:highlight w:val="none"/>
        </w:rPr>
        <w:t>6.负责对监狱、看守所、社区矫正机构等执法活动的监督，对刑事判决、裁定执行、强制医疗执行、羁押和办案期限的监督，羁押必要性审查。办理罪犯</w:t>
      </w:r>
      <w:r>
        <w:rPr>
          <w:rFonts w:hint="eastAsia" w:ascii="Times New Roman" w:hAnsi="Times New Roman" w:eastAsia="方正仿宋_GBK" w:cs="Times New Roman"/>
          <w:b w:val="0"/>
          <w:bCs w:val="0"/>
          <w:sz w:val="32"/>
          <w:szCs w:val="32"/>
          <w:highlight w:val="none"/>
          <w:lang w:eastAsia="zh-CN"/>
        </w:rPr>
        <w:t>与</w:t>
      </w:r>
      <w:r>
        <w:rPr>
          <w:rFonts w:hint="default" w:ascii="Times New Roman" w:hAnsi="Times New Roman" w:eastAsia="方正仿宋_GBK" w:cs="Times New Roman"/>
          <w:b w:val="0"/>
          <w:bCs w:val="0"/>
          <w:sz w:val="32"/>
          <w:szCs w:val="32"/>
          <w:highlight w:val="none"/>
        </w:rPr>
        <w:t>犯罪案件。负责对司法工作人员利用职权实施的非法拘禁、刑讯逼供、非法搜查等14项侵犯公民权利、损害司法公正犯罪，以及按照刑事诉讼法规定需要人民检察院直接受理的其他重大犯罪案件的侦查。</w:t>
      </w:r>
    </w:p>
    <w:p w14:paraId="1F98454F">
      <w:pPr>
        <w:keepNext w:val="0"/>
        <w:keepLines w:val="0"/>
        <w:pageBreakBefore w:val="0"/>
        <w:widowControl w:val="0"/>
        <w:kinsoku/>
        <w:wordWrap/>
        <w:overflowPunct w:val="0"/>
        <w:topLinePunct w:val="0"/>
        <w:autoSpaceDE/>
        <w:autoSpaceDN/>
        <w:bidi w:val="0"/>
        <w:adjustRightInd/>
        <w:snapToGrid/>
        <w:spacing w:line="552" w:lineRule="exact"/>
        <w:ind w:firstLine="640" w:firstLineChars="200"/>
        <w:textAlignment w:val="auto"/>
        <w:rPr>
          <w:rFonts w:hint="default" w:ascii="Times New Roman" w:hAnsi="Times New Roman" w:eastAsia="方正仿宋_GBK" w:cs="Times New Roman"/>
          <w:b w:val="0"/>
          <w:bCs w:val="0"/>
          <w:sz w:val="32"/>
          <w:szCs w:val="32"/>
          <w:highlight w:val="none"/>
        </w:rPr>
      </w:pPr>
      <w:r>
        <w:rPr>
          <w:rFonts w:hint="default" w:ascii="Times New Roman" w:hAnsi="Times New Roman" w:eastAsia="方正仿宋_GBK" w:cs="Times New Roman"/>
          <w:b w:val="0"/>
          <w:bCs w:val="0"/>
          <w:sz w:val="32"/>
          <w:szCs w:val="32"/>
          <w:highlight w:val="none"/>
        </w:rPr>
        <w:t>7.负责办理申请监督和提请抗诉的民事、行政案件的审查、抗诉。承办对巴中市中级人民法院民事、行政诉讼活动的法律监督，对审判监督程序以外的其他民事、行政审判程序中审判人员的违法行为提出检察建议，对民事执行、行政执法活动实行法律监督。开展民事支持起诉工作。办理民事、行政申诉案件。</w:t>
      </w:r>
    </w:p>
    <w:p w14:paraId="76DC5B8F">
      <w:pPr>
        <w:keepNext w:val="0"/>
        <w:keepLines w:val="0"/>
        <w:pageBreakBefore w:val="0"/>
        <w:widowControl w:val="0"/>
        <w:kinsoku/>
        <w:wordWrap/>
        <w:overflowPunct w:val="0"/>
        <w:topLinePunct w:val="0"/>
        <w:autoSpaceDE/>
        <w:autoSpaceDN/>
        <w:bidi w:val="0"/>
        <w:adjustRightInd/>
        <w:snapToGrid/>
        <w:spacing w:line="552" w:lineRule="exact"/>
        <w:ind w:firstLine="640" w:firstLineChars="200"/>
        <w:textAlignment w:val="auto"/>
        <w:rPr>
          <w:rFonts w:hint="default" w:ascii="Times New Roman" w:hAnsi="Times New Roman" w:eastAsia="方正仿宋_GBK" w:cs="Times New Roman"/>
          <w:b w:val="0"/>
          <w:bCs w:val="0"/>
          <w:sz w:val="32"/>
          <w:szCs w:val="32"/>
          <w:highlight w:val="none"/>
        </w:rPr>
      </w:pPr>
      <w:r>
        <w:rPr>
          <w:rFonts w:hint="default" w:ascii="Times New Roman" w:hAnsi="Times New Roman" w:eastAsia="方正仿宋_GBK" w:cs="Times New Roman"/>
          <w:b w:val="0"/>
          <w:bCs w:val="0"/>
          <w:sz w:val="32"/>
          <w:szCs w:val="32"/>
          <w:highlight w:val="none"/>
        </w:rPr>
        <w:t>8.负责办理破坏生态环境和资源保护、食品药品安全领域侵害众多消费者合法权益等损害社会公共利益的民事公益诉讼案件，生态环境和资源保护、食品药品安全、国有财产保护、国有土地使用权出让等领域的行政公益诉讼案件，侵害英雄烈士姓名、肖像、名誉、荣誉的公益诉讼案件。负责对巴中市中级人民法院开庭审理的公益诉讼案件，派员出席法庭，依照有关规定提出检察建议。办理公益诉讼申诉案件。</w:t>
      </w:r>
    </w:p>
    <w:p w14:paraId="7F9F7ED0">
      <w:pPr>
        <w:keepNext w:val="0"/>
        <w:keepLines w:val="0"/>
        <w:pageBreakBefore w:val="0"/>
        <w:widowControl w:val="0"/>
        <w:kinsoku/>
        <w:wordWrap/>
        <w:overflowPunct w:val="0"/>
        <w:topLinePunct w:val="0"/>
        <w:autoSpaceDE/>
        <w:autoSpaceDN/>
        <w:bidi w:val="0"/>
        <w:adjustRightInd/>
        <w:snapToGrid/>
        <w:spacing w:line="552" w:lineRule="exact"/>
        <w:ind w:firstLine="640" w:firstLineChars="200"/>
        <w:textAlignment w:val="auto"/>
        <w:rPr>
          <w:rFonts w:hint="default" w:ascii="Times New Roman" w:hAnsi="Times New Roman" w:eastAsia="方正仿宋_GBK" w:cs="Times New Roman"/>
          <w:b w:val="0"/>
          <w:bCs w:val="0"/>
          <w:sz w:val="32"/>
          <w:szCs w:val="32"/>
          <w:highlight w:val="none"/>
        </w:rPr>
      </w:pPr>
      <w:r>
        <w:rPr>
          <w:rFonts w:hint="default" w:ascii="Times New Roman" w:hAnsi="Times New Roman" w:eastAsia="方正仿宋_GBK" w:cs="Times New Roman"/>
          <w:b w:val="0"/>
          <w:bCs w:val="0"/>
          <w:sz w:val="32"/>
          <w:szCs w:val="32"/>
          <w:highlight w:val="none"/>
        </w:rPr>
        <w:t>9.负责对未成年人犯罪和侵害未成年人犯罪案件的审查逮捕、审查起诉、出庭支持公诉、抗诉，开展相关立案监督、侦查监督、审判监督以及相关案件的补充侦查。开展未成年人司法保护和预防未成年人犯罪工作。</w:t>
      </w:r>
    </w:p>
    <w:p w14:paraId="754E9940">
      <w:pPr>
        <w:keepNext w:val="0"/>
        <w:keepLines w:val="0"/>
        <w:pageBreakBefore w:val="0"/>
        <w:widowControl w:val="0"/>
        <w:kinsoku/>
        <w:wordWrap/>
        <w:overflowPunct w:val="0"/>
        <w:topLinePunct w:val="0"/>
        <w:autoSpaceDE/>
        <w:autoSpaceDN/>
        <w:bidi w:val="0"/>
        <w:adjustRightInd/>
        <w:snapToGrid/>
        <w:spacing w:line="552" w:lineRule="exact"/>
        <w:ind w:firstLine="640" w:firstLineChars="200"/>
        <w:textAlignment w:val="auto"/>
        <w:rPr>
          <w:rFonts w:hint="default" w:ascii="Times New Roman" w:hAnsi="Times New Roman" w:eastAsia="方正仿宋_GBK" w:cs="Times New Roman"/>
          <w:b w:val="0"/>
          <w:bCs w:val="0"/>
          <w:sz w:val="32"/>
          <w:szCs w:val="32"/>
          <w:highlight w:val="none"/>
        </w:rPr>
      </w:pPr>
      <w:r>
        <w:rPr>
          <w:rFonts w:hint="default" w:ascii="Times New Roman" w:hAnsi="Times New Roman" w:eastAsia="方正仿宋_GBK" w:cs="Times New Roman"/>
          <w:b w:val="0"/>
          <w:bCs w:val="0"/>
          <w:sz w:val="32"/>
          <w:szCs w:val="32"/>
          <w:highlight w:val="none"/>
        </w:rPr>
        <w:t>10.负责受理控告和申诉。承办国家赔偿案件和国家司法救助案件。</w:t>
      </w:r>
    </w:p>
    <w:p w14:paraId="746B0B12">
      <w:pPr>
        <w:keepNext w:val="0"/>
        <w:keepLines w:val="0"/>
        <w:pageBreakBefore w:val="0"/>
        <w:widowControl w:val="0"/>
        <w:kinsoku/>
        <w:wordWrap/>
        <w:overflowPunct w:val="0"/>
        <w:topLinePunct w:val="0"/>
        <w:autoSpaceDE/>
        <w:autoSpaceDN/>
        <w:bidi w:val="0"/>
        <w:adjustRightInd/>
        <w:snapToGrid/>
        <w:spacing w:line="552" w:lineRule="exact"/>
        <w:ind w:firstLine="640" w:firstLineChars="200"/>
        <w:textAlignment w:val="auto"/>
        <w:rPr>
          <w:rFonts w:hint="default" w:ascii="Times New Roman" w:hAnsi="Times New Roman" w:eastAsia="方正仿宋_GBK" w:cs="Times New Roman"/>
          <w:b w:val="0"/>
          <w:bCs w:val="0"/>
          <w:sz w:val="32"/>
          <w:szCs w:val="32"/>
          <w:highlight w:val="none"/>
        </w:rPr>
      </w:pPr>
      <w:r>
        <w:rPr>
          <w:rFonts w:hint="default" w:ascii="Times New Roman" w:hAnsi="Times New Roman" w:eastAsia="方正仿宋_GBK" w:cs="Times New Roman"/>
          <w:b w:val="0"/>
          <w:bCs w:val="0"/>
          <w:sz w:val="32"/>
          <w:szCs w:val="32"/>
          <w:highlight w:val="none"/>
        </w:rPr>
        <w:t>11.负责法律政策、检察基础理论、检察应用理论、法治建设等方面的调查研究工作。对征求意见的立法、地方立法草案进行研究，提出修改意见和建议。负责检察委员会、检察官协会、专家咨询委员会的日常工作。编辑有关检察刊物。负责司法体制改革综合协调相关工作。</w:t>
      </w:r>
    </w:p>
    <w:p w14:paraId="04D1D487">
      <w:pPr>
        <w:keepNext w:val="0"/>
        <w:keepLines w:val="0"/>
        <w:pageBreakBefore w:val="0"/>
        <w:widowControl w:val="0"/>
        <w:kinsoku/>
        <w:wordWrap/>
        <w:overflowPunct w:val="0"/>
        <w:topLinePunct w:val="0"/>
        <w:autoSpaceDE/>
        <w:autoSpaceDN/>
        <w:bidi w:val="0"/>
        <w:adjustRightInd/>
        <w:snapToGrid/>
        <w:spacing w:line="552" w:lineRule="exact"/>
        <w:ind w:firstLine="640" w:firstLineChars="200"/>
        <w:textAlignment w:val="auto"/>
        <w:rPr>
          <w:rFonts w:hint="default" w:ascii="Times New Roman" w:hAnsi="Times New Roman" w:eastAsia="方正仿宋_GBK" w:cs="Times New Roman"/>
          <w:b w:val="0"/>
          <w:bCs w:val="0"/>
          <w:sz w:val="32"/>
          <w:szCs w:val="32"/>
          <w:highlight w:val="none"/>
        </w:rPr>
      </w:pPr>
      <w:r>
        <w:rPr>
          <w:rFonts w:hint="default" w:ascii="Times New Roman" w:hAnsi="Times New Roman" w:eastAsia="方正仿宋_GBK" w:cs="Times New Roman"/>
          <w:b w:val="0"/>
          <w:bCs w:val="0"/>
          <w:sz w:val="32"/>
          <w:szCs w:val="32"/>
          <w:highlight w:val="none"/>
        </w:rPr>
        <w:t>12.负责案件的统一受理流转、办案流程监控、涉案财物管理、法律文书监管、案件信息公开，统一组织办案质量评查、业务考评和业务统计分析研判等工作。负责接待律师等诉讼参与人依法行使诉讼权利。负责业务信息化需求统筹，指导全市检察机关统一业务应用系统的应用。</w:t>
      </w:r>
    </w:p>
    <w:p w14:paraId="57338612">
      <w:pPr>
        <w:keepNext w:val="0"/>
        <w:keepLines w:val="0"/>
        <w:pageBreakBefore w:val="0"/>
        <w:widowControl w:val="0"/>
        <w:kinsoku/>
        <w:wordWrap/>
        <w:overflowPunct w:val="0"/>
        <w:topLinePunct w:val="0"/>
        <w:autoSpaceDE/>
        <w:autoSpaceDN/>
        <w:bidi w:val="0"/>
        <w:adjustRightInd/>
        <w:snapToGrid/>
        <w:spacing w:line="552" w:lineRule="exact"/>
        <w:ind w:firstLine="640" w:firstLineChars="200"/>
        <w:textAlignment w:val="auto"/>
        <w:rPr>
          <w:rFonts w:hint="default" w:ascii="Times New Roman" w:hAnsi="Times New Roman" w:eastAsia="方正仿宋_GBK" w:cs="Times New Roman"/>
          <w:b w:val="0"/>
          <w:bCs w:val="0"/>
          <w:sz w:val="32"/>
          <w:szCs w:val="32"/>
          <w:highlight w:val="none"/>
        </w:rPr>
      </w:pPr>
      <w:r>
        <w:rPr>
          <w:rFonts w:hint="default" w:ascii="Times New Roman" w:hAnsi="Times New Roman" w:eastAsia="方正仿宋_GBK" w:cs="Times New Roman"/>
          <w:b w:val="0"/>
          <w:bCs w:val="0"/>
          <w:sz w:val="32"/>
          <w:szCs w:val="32"/>
          <w:highlight w:val="none"/>
        </w:rPr>
        <w:t>13.制定实施全市检察机关财务和装备规划，编制巴中市人民检察院支出规划和部门预决算，负责本级财务管理、国有资产管理、车辆管理、政府采购等工作，负责机关安保等工作。</w:t>
      </w:r>
    </w:p>
    <w:p w14:paraId="75941097">
      <w:pPr>
        <w:keepNext w:val="0"/>
        <w:keepLines w:val="0"/>
        <w:pageBreakBefore w:val="0"/>
        <w:widowControl w:val="0"/>
        <w:kinsoku/>
        <w:wordWrap/>
        <w:overflowPunct w:val="0"/>
        <w:topLinePunct w:val="0"/>
        <w:autoSpaceDE/>
        <w:autoSpaceDN/>
        <w:bidi w:val="0"/>
        <w:adjustRightInd/>
        <w:snapToGrid/>
        <w:spacing w:line="552" w:lineRule="exact"/>
        <w:ind w:firstLine="640" w:firstLineChars="200"/>
        <w:textAlignment w:val="auto"/>
        <w:rPr>
          <w:rFonts w:hint="default" w:ascii="Times New Roman" w:hAnsi="Times New Roman" w:eastAsia="方正仿宋_GBK" w:cs="Times New Roman"/>
          <w:b w:val="0"/>
          <w:bCs w:val="0"/>
          <w:sz w:val="32"/>
          <w:szCs w:val="32"/>
          <w:highlight w:val="none"/>
        </w:rPr>
      </w:pPr>
      <w:r>
        <w:rPr>
          <w:rFonts w:hint="default" w:ascii="Times New Roman" w:hAnsi="Times New Roman" w:eastAsia="方正仿宋_GBK" w:cs="Times New Roman"/>
          <w:b w:val="0"/>
          <w:bCs w:val="0"/>
          <w:sz w:val="32"/>
          <w:szCs w:val="32"/>
          <w:highlight w:val="none"/>
        </w:rPr>
        <w:t>14.承担对全市检察机关执行法律、法规和最高人民检察院、四川省人民检察院、巴中市人民检察院的规定、决定等情况进行督察。承担内部审计工作。承担党组巡察工作领导小组日常工作。</w:t>
      </w:r>
    </w:p>
    <w:p w14:paraId="4D1B86CA">
      <w:pPr>
        <w:keepNext w:val="0"/>
        <w:keepLines w:val="0"/>
        <w:pageBreakBefore w:val="0"/>
        <w:widowControl w:val="0"/>
        <w:kinsoku/>
        <w:wordWrap/>
        <w:overflowPunct w:val="0"/>
        <w:topLinePunct w:val="0"/>
        <w:autoSpaceDE/>
        <w:autoSpaceDN/>
        <w:bidi w:val="0"/>
        <w:adjustRightInd/>
        <w:snapToGrid/>
        <w:spacing w:line="552" w:lineRule="exact"/>
        <w:ind w:firstLine="640" w:firstLineChars="200"/>
        <w:textAlignment w:val="auto"/>
        <w:rPr>
          <w:rFonts w:hint="default" w:ascii="Times New Roman" w:hAnsi="Times New Roman" w:eastAsia="方正仿宋_GBK" w:cs="Times New Roman"/>
          <w:b w:val="0"/>
          <w:bCs w:val="0"/>
          <w:sz w:val="32"/>
          <w:szCs w:val="32"/>
          <w:highlight w:val="none"/>
        </w:rPr>
      </w:pPr>
      <w:r>
        <w:rPr>
          <w:rFonts w:hint="default" w:ascii="Times New Roman" w:hAnsi="Times New Roman" w:eastAsia="方正仿宋_GBK" w:cs="Times New Roman"/>
          <w:b w:val="0"/>
          <w:bCs w:val="0"/>
          <w:sz w:val="32"/>
          <w:szCs w:val="32"/>
          <w:highlight w:val="none"/>
        </w:rPr>
        <w:t>15.负责指导全市检察技术工作，组织全市检察机关重大技术疑难案件会检。制定全市检察机关技术工作计划和业务规章制度。依职权组织全市检察技术人员的业务培训和职称评定。受理和承办各类案件的现场勘验、检验鉴定和技术性证据审查。负责全市检察信息化和智慧检察的总体规划和统筹推进。承担相关软件研制、开发、推广和维护。负责全市检察机关通信网络系统管理和维护，承担三级专线网、检察工作网、互联网等网络的建设、维护和管理。</w:t>
      </w:r>
    </w:p>
    <w:p w14:paraId="2C081A81">
      <w:pPr>
        <w:keepNext w:val="0"/>
        <w:keepLines w:val="0"/>
        <w:pageBreakBefore w:val="0"/>
        <w:widowControl w:val="0"/>
        <w:kinsoku/>
        <w:wordWrap/>
        <w:overflowPunct w:val="0"/>
        <w:topLinePunct w:val="0"/>
        <w:autoSpaceDE/>
        <w:autoSpaceDN/>
        <w:bidi w:val="0"/>
        <w:adjustRightInd/>
        <w:snapToGrid/>
        <w:spacing w:line="552" w:lineRule="exact"/>
        <w:ind w:firstLine="640" w:firstLineChars="200"/>
        <w:textAlignment w:val="auto"/>
        <w:rPr>
          <w:rFonts w:hint="default" w:ascii="Times New Roman" w:hAnsi="Times New Roman" w:eastAsia="方正仿宋_GBK" w:cs="Times New Roman"/>
          <w:b w:val="0"/>
          <w:bCs w:val="0"/>
          <w:sz w:val="32"/>
          <w:szCs w:val="32"/>
          <w:highlight w:val="none"/>
        </w:rPr>
      </w:pPr>
      <w:r>
        <w:rPr>
          <w:rFonts w:hint="default" w:ascii="Times New Roman" w:hAnsi="Times New Roman" w:eastAsia="方正仿宋_GBK" w:cs="Times New Roman"/>
          <w:b w:val="0"/>
          <w:bCs w:val="0"/>
          <w:sz w:val="32"/>
          <w:szCs w:val="32"/>
          <w:highlight w:val="none"/>
        </w:rPr>
        <w:t>16.负责全市检察机关思想政治工作、新闻宣传、舆论引导、组织人事、教育培训、离退休干部、司法警察等工作。</w:t>
      </w:r>
    </w:p>
    <w:p w14:paraId="79BA17A6">
      <w:pPr>
        <w:keepNext w:val="0"/>
        <w:keepLines w:val="0"/>
        <w:pageBreakBefore w:val="0"/>
        <w:widowControl w:val="0"/>
        <w:kinsoku/>
        <w:wordWrap/>
        <w:overflowPunct w:val="0"/>
        <w:topLinePunct w:val="0"/>
        <w:autoSpaceDE/>
        <w:autoSpaceDN/>
        <w:bidi w:val="0"/>
        <w:adjustRightInd/>
        <w:snapToGrid/>
        <w:spacing w:line="552" w:lineRule="exact"/>
        <w:ind w:firstLine="640" w:firstLineChars="200"/>
        <w:textAlignment w:val="auto"/>
        <w:rPr>
          <w:rFonts w:hint="default" w:ascii="Times New Roman" w:hAnsi="Times New Roman" w:eastAsia="方正仿宋_GBK" w:cs="Times New Roman"/>
          <w:b w:val="0"/>
          <w:bCs w:val="0"/>
          <w:sz w:val="32"/>
          <w:szCs w:val="32"/>
          <w:highlight w:val="none"/>
        </w:rPr>
      </w:pPr>
      <w:r>
        <w:rPr>
          <w:rFonts w:hint="default" w:ascii="Times New Roman" w:hAnsi="Times New Roman" w:eastAsia="方正仿宋_GBK" w:cs="Times New Roman"/>
          <w:b w:val="0"/>
          <w:bCs w:val="0"/>
          <w:sz w:val="32"/>
          <w:szCs w:val="32"/>
          <w:highlight w:val="none"/>
        </w:rPr>
        <w:t>17.协同市委主管部门管理和考核县、区人民检察院的检察长；协同县级党委管理和考核县、区人民检察院副检察长及政治处主任；报经省人民检察院检察长提请省人民代表大会常务委员会批准任免本院检察长；提请市人民代表大会常务委员会批准或不批准县、区人民检察院检察长的任免；提请市人民代表大会常务委员会任免本院的副检察长、检察委员会委员、检察员。</w:t>
      </w:r>
    </w:p>
    <w:p w14:paraId="26668306">
      <w:pPr>
        <w:keepNext w:val="0"/>
        <w:keepLines w:val="0"/>
        <w:pageBreakBefore w:val="0"/>
        <w:widowControl w:val="0"/>
        <w:kinsoku/>
        <w:wordWrap/>
        <w:overflowPunct w:val="0"/>
        <w:topLinePunct w:val="0"/>
        <w:autoSpaceDE/>
        <w:autoSpaceDN/>
        <w:bidi w:val="0"/>
        <w:adjustRightInd/>
        <w:snapToGrid/>
        <w:spacing w:line="552" w:lineRule="exact"/>
        <w:ind w:firstLine="640" w:firstLineChars="200"/>
        <w:textAlignment w:val="auto"/>
        <w:rPr>
          <w:rFonts w:hint="default" w:ascii="Times New Roman" w:hAnsi="Times New Roman" w:eastAsia="方正仿宋_GBK" w:cs="Times New Roman"/>
          <w:b w:val="0"/>
          <w:bCs w:val="0"/>
          <w:color w:val="000000"/>
          <w:kern w:val="0"/>
          <w:sz w:val="32"/>
          <w:szCs w:val="32"/>
          <w:highlight w:val="none"/>
          <w:shd w:val="clear" w:color="auto" w:fill="FFFFFF"/>
          <w:lang w:val="zh-CN" w:eastAsia="zh-CN"/>
        </w:rPr>
      </w:pPr>
      <w:r>
        <w:rPr>
          <w:rFonts w:hint="default" w:ascii="Times New Roman" w:hAnsi="Times New Roman" w:eastAsia="方正仿宋_GBK" w:cs="Times New Roman"/>
          <w:b w:val="0"/>
          <w:bCs w:val="0"/>
          <w:sz w:val="32"/>
          <w:szCs w:val="32"/>
          <w:highlight w:val="none"/>
        </w:rPr>
        <w:t>18.负责其</w:t>
      </w:r>
      <w:r>
        <w:rPr>
          <w:rFonts w:hint="eastAsia" w:cs="Times New Roman"/>
          <w:b w:val="0"/>
          <w:bCs w:val="0"/>
          <w:sz w:val="32"/>
          <w:szCs w:val="32"/>
          <w:highlight w:val="none"/>
          <w:lang w:eastAsia="zh-CN"/>
        </w:rPr>
        <w:t>他</w:t>
      </w:r>
      <w:r>
        <w:rPr>
          <w:rFonts w:hint="default" w:ascii="Times New Roman" w:hAnsi="Times New Roman" w:eastAsia="方正仿宋_GBK" w:cs="Times New Roman"/>
          <w:b w:val="0"/>
          <w:bCs w:val="0"/>
          <w:sz w:val="32"/>
          <w:szCs w:val="32"/>
          <w:highlight w:val="none"/>
        </w:rPr>
        <w:t>应当由市人民检察院承办的事项。</w:t>
      </w:r>
    </w:p>
    <w:p w14:paraId="5E7FDEB2">
      <w:pPr>
        <w:keepNext w:val="0"/>
        <w:keepLines w:val="0"/>
        <w:pageBreakBefore w:val="0"/>
        <w:widowControl w:val="0"/>
        <w:numPr>
          <w:ilvl w:val="0"/>
          <w:numId w:val="0"/>
        </w:numPr>
        <w:kinsoku/>
        <w:wordWrap/>
        <w:overflowPunct w:val="0"/>
        <w:topLinePunct w:val="0"/>
        <w:autoSpaceDE/>
        <w:autoSpaceDN/>
        <w:bidi w:val="0"/>
        <w:adjustRightInd/>
        <w:snapToGrid w:val="0"/>
        <w:spacing w:line="552" w:lineRule="exact"/>
        <w:ind w:leftChars="200"/>
        <w:textAlignment w:val="auto"/>
        <w:rPr>
          <w:rFonts w:hint="default" w:ascii="Times New Roman" w:hAnsi="Times New Roman" w:eastAsia="方正楷体_GBK" w:cs="Times New Roman"/>
          <w:b w:val="0"/>
          <w:bCs w:val="0"/>
          <w:color w:val="000000"/>
          <w:kern w:val="0"/>
          <w:sz w:val="32"/>
          <w:szCs w:val="32"/>
          <w:highlight w:val="none"/>
          <w:shd w:val="clear" w:color="auto" w:fill="FFFFFF"/>
          <w:lang w:val="zh-CN" w:eastAsia="zh-CN"/>
        </w:rPr>
      </w:pPr>
      <w:r>
        <w:rPr>
          <w:rFonts w:hint="default" w:ascii="Times New Roman" w:hAnsi="Times New Roman" w:eastAsia="方正楷体_GBK" w:cs="Times New Roman"/>
          <w:b w:val="0"/>
          <w:bCs w:val="0"/>
          <w:color w:val="000000"/>
          <w:kern w:val="0"/>
          <w:sz w:val="32"/>
          <w:szCs w:val="32"/>
          <w:highlight w:val="none"/>
          <w:shd w:val="clear" w:color="auto" w:fill="FFFFFF"/>
          <w:lang w:val="zh-CN" w:eastAsia="zh-CN"/>
        </w:rPr>
        <w:t>（</w:t>
      </w:r>
      <w:r>
        <w:rPr>
          <w:rFonts w:hint="eastAsia" w:ascii="Times New Roman" w:hAnsi="Times New Roman" w:eastAsia="方正楷体_GBK" w:cs="Times New Roman"/>
          <w:b w:val="0"/>
          <w:bCs w:val="0"/>
          <w:color w:val="000000"/>
          <w:kern w:val="0"/>
          <w:sz w:val="32"/>
          <w:szCs w:val="32"/>
          <w:highlight w:val="none"/>
          <w:shd w:val="clear" w:color="auto" w:fill="FFFFFF"/>
          <w:lang w:val="zh-CN" w:eastAsia="zh-CN"/>
        </w:rPr>
        <w:t>三</w:t>
      </w:r>
      <w:r>
        <w:rPr>
          <w:rFonts w:hint="default" w:ascii="Times New Roman" w:hAnsi="Times New Roman" w:eastAsia="方正楷体_GBK" w:cs="Times New Roman"/>
          <w:b w:val="0"/>
          <w:bCs w:val="0"/>
          <w:color w:val="000000"/>
          <w:kern w:val="0"/>
          <w:sz w:val="32"/>
          <w:szCs w:val="32"/>
          <w:highlight w:val="none"/>
          <w:shd w:val="clear" w:color="auto" w:fill="FFFFFF"/>
          <w:lang w:val="zh-CN" w:eastAsia="zh-CN"/>
        </w:rPr>
        <w:t>）人员概况</w:t>
      </w:r>
    </w:p>
    <w:p w14:paraId="4A69DD12">
      <w:pPr>
        <w:keepNext w:val="0"/>
        <w:keepLines w:val="0"/>
        <w:pageBreakBefore w:val="0"/>
        <w:widowControl w:val="0"/>
        <w:kinsoku/>
        <w:wordWrap/>
        <w:overflowPunct w:val="0"/>
        <w:topLinePunct w:val="0"/>
        <w:autoSpaceDE/>
        <w:autoSpaceDN/>
        <w:bidi w:val="0"/>
        <w:snapToGrid w:val="0"/>
        <w:spacing w:line="552" w:lineRule="exact"/>
        <w:ind w:firstLine="640" w:firstLineChars="200"/>
        <w:textAlignment w:val="auto"/>
        <w:rPr>
          <w:rFonts w:hint="eastAsia" w:ascii="Times New Roman" w:hAnsi="Times New Roman" w:eastAsia="方正仿宋_GBK" w:cs="Times New Roman"/>
          <w:b w:val="0"/>
          <w:bCs w:val="0"/>
          <w:sz w:val="32"/>
          <w:szCs w:val="32"/>
          <w:highlight w:val="none"/>
          <w:lang w:val="en-US" w:eastAsia="zh-CN"/>
        </w:rPr>
      </w:pPr>
      <w:r>
        <w:rPr>
          <w:rFonts w:hint="default" w:ascii="Times New Roman" w:hAnsi="Times New Roman" w:eastAsia="方正仿宋_GBK" w:cs="Times New Roman"/>
          <w:b w:val="0"/>
          <w:bCs w:val="0"/>
          <w:sz w:val="32"/>
          <w:szCs w:val="32"/>
          <w:highlight w:val="none"/>
          <w:lang w:val="en-US" w:eastAsia="zh-CN"/>
        </w:rPr>
        <w:t>202</w:t>
      </w:r>
      <w:r>
        <w:rPr>
          <w:rFonts w:hint="default" w:ascii="Times New Roman" w:hAnsi="Times New Roman" w:eastAsia="方正仿宋_GBK" w:cs="Times New Roman"/>
          <w:b w:val="0"/>
          <w:bCs w:val="0"/>
          <w:sz w:val="32"/>
          <w:szCs w:val="32"/>
          <w:highlight w:val="none"/>
          <w:lang w:val="en" w:eastAsia="zh-CN"/>
        </w:rPr>
        <w:t>5</w:t>
      </w:r>
      <w:r>
        <w:rPr>
          <w:rFonts w:hint="default" w:ascii="Times New Roman" w:hAnsi="Times New Roman" w:eastAsia="方正仿宋_GBK" w:cs="Times New Roman"/>
          <w:b w:val="0"/>
          <w:bCs w:val="0"/>
          <w:sz w:val="32"/>
          <w:szCs w:val="32"/>
          <w:highlight w:val="none"/>
          <w:lang w:val="en-US" w:eastAsia="zh-CN"/>
        </w:rPr>
        <w:t>年，年末实有在职在编人数79人</w:t>
      </w:r>
      <w:r>
        <w:rPr>
          <w:rFonts w:hint="eastAsia" w:ascii="Times New Roman" w:hAnsi="Times New Roman" w:eastAsia="方正仿宋_GBK" w:cs="Times New Roman"/>
          <w:b w:val="0"/>
          <w:bCs w:val="0"/>
          <w:sz w:val="32"/>
          <w:szCs w:val="32"/>
          <w:highlight w:val="none"/>
          <w:lang w:val="en-US" w:eastAsia="zh-CN"/>
        </w:rPr>
        <w:t>，较上年无变动，其中行政人员调进9人，退休4人，调离4人；事业人员调离1人。</w:t>
      </w:r>
    </w:p>
    <w:p w14:paraId="1ACC9AD5">
      <w:pPr>
        <w:keepNext w:val="0"/>
        <w:keepLines w:val="0"/>
        <w:pageBreakBefore w:val="0"/>
        <w:widowControl w:val="0"/>
        <w:kinsoku/>
        <w:wordWrap/>
        <w:overflowPunct w:val="0"/>
        <w:topLinePunct w:val="0"/>
        <w:autoSpaceDE/>
        <w:autoSpaceDN/>
        <w:bidi w:val="0"/>
        <w:adjustRightInd w:val="0"/>
        <w:snapToGrid w:val="0"/>
        <w:spacing w:line="552" w:lineRule="exact"/>
        <w:ind w:firstLine="640" w:firstLineChars="200"/>
        <w:contextualSpacing/>
        <w:jc w:val="left"/>
        <w:textAlignment w:val="auto"/>
        <w:outlineLvl w:val="9"/>
        <w:rPr>
          <w:rFonts w:hint="default" w:ascii="Times New Roman" w:hAnsi="Times New Roman" w:eastAsia="方正黑体_GBK" w:cs="Times New Roman"/>
          <w:b w:val="0"/>
          <w:bCs w:val="0"/>
          <w:color w:val="000000"/>
          <w:kern w:val="0"/>
          <w:sz w:val="32"/>
          <w:szCs w:val="32"/>
          <w:highlight w:val="none"/>
          <w:shd w:val="clear" w:color="auto" w:fill="FFFFFF"/>
        </w:rPr>
      </w:pPr>
      <w:r>
        <w:rPr>
          <w:rFonts w:hint="default" w:ascii="Times New Roman" w:hAnsi="Times New Roman" w:eastAsia="方正黑体_GBK" w:cs="Times New Roman"/>
          <w:b w:val="0"/>
          <w:bCs w:val="0"/>
          <w:color w:val="000000"/>
          <w:kern w:val="0"/>
          <w:sz w:val="32"/>
          <w:szCs w:val="32"/>
          <w:highlight w:val="none"/>
          <w:shd w:val="clear" w:color="auto" w:fill="FFFFFF"/>
        </w:rPr>
        <w:t>二、</w:t>
      </w:r>
      <w:r>
        <w:rPr>
          <w:rFonts w:hint="default" w:ascii="Times New Roman" w:hAnsi="Times New Roman" w:eastAsia="方正黑体_GBK" w:cs="Times New Roman"/>
          <w:b w:val="0"/>
          <w:bCs w:val="0"/>
          <w:color w:val="000000"/>
          <w:kern w:val="0"/>
          <w:sz w:val="32"/>
          <w:szCs w:val="32"/>
          <w:highlight w:val="none"/>
          <w:shd w:val="clear" w:color="auto" w:fill="FFFFFF"/>
          <w:lang w:eastAsia="zh-CN"/>
        </w:rPr>
        <w:t>部门</w:t>
      </w:r>
      <w:r>
        <w:rPr>
          <w:rFonts w:hint="default" w:ascii="Times New Roman" w:hAnsi="Times New Roman" w:eastAsia="方正黑体_GBK" w:cs="Times New Roman"/>
          <w:b w:val="0"/>
          <w:bCs w:val="0"/>
          <w:color w:val="000000"/>
          <w:kern w:val="0"/>
          <w:sz w:val="32"/>
          <w:szCs w:val="32"/>
          <w:highlight w:val="none"/>
          <w:shd w:val="clear" w:color="auto" w:fill="FFFFFF"/>
        </w:rPr>
        <w:t>资金收支情况</w:t>
      </w:r>
    </w:p>
    <w:p w14:paraId="2450F39D">
      <w:pPr>
        <w:keepNext w:val="0"/>
        <w:keepLines w:val="0"/>
        <w:pageBreakBefore w:val="0"/>
        <w:widowControl w:val="0"/>
        <w:kinsoku/>
        <w:wordWrap/>
        <w:overflowPunct w:val="0"/>
        <w:topLinePunct w:val="0"/>
        <w:autoSpaceDE/>
        <w:autoSpaceDN/>
        <w:bidi w:val="0"/>
        <w:adjustRightInd/>
        <w:snapToGrid w:val="0"/>
        <w:spacing w:line="552" w:lineRule="exact"/>
        <w:ind w:firstLine="640" w:firstLineChars="200"/>
        <w:textAlignment w:val="auto"/>
        <w:rPr>
          <w:rFonts w:hint="default" w:ascii="Times New Roman" w:hAnsi="Times New Roman" w:eastAsia="方正楷体_GBK" w:cs="Times New Roman"/>
          <w:b w:val="0"/>
          <w:bCs w:val="0"/>
          <w:color w:val="000000"/>
          <w:kern w:val="0"/>
          <w:sz w:val="32"/>
          <w:szCs w:val="32"/>
          <w:highlight w:val="none"/>
          <w:shd w:val="clear" w:color="auto" w:fill="FFFFFF"/>
          <w:lang w:val="zh-CN" w:eastAsia="zh-CN"/>
        </w:rPr>
      </w:pPr>
      <w:r>
        <w:rPr>
          <w:rFonts w:hint="default" w:ascii="Times New Roman" w:hAnsi="Times New Roman" w:eastAsia="方正楷体_GBK" w:cs="Times New Roman"/>
          <w:b w:val="0"/>
          <w:bCs w:val="0"/>
          <w:color w:val="000000"/>
          <w:kern w:val="0"/>
          <w:sz w:val="32"/>
          <w:szCs w:val="32"/>
          <w:highlight w:val="none"/>
          <w:shd w:val="clear" w:color="auto" w:fill="FFFFFF"/>
          <w:lang w:val="zh-CN" w:eastAsia="zh-CN"/>
        </w:rPr>
        <w:t>（一）收入情况</w:t>
      </w:r>
    </w:p>
    <w:p w14:paraId="4E2934D7">
      <w:pPr>
        <w:keepNext w:val="0"/>
        <w:keepLines w:val="0"/>
        <w:pageBreakBefore w:val="0"/>
        <w:widowControl w:val="0"/>
        <w:kinsoku/>
        <w:wordWrap/>
        <w:overflowPunct w:val="0"/>
        <w:topLinePunct w:val="0"/>
        <w:autoSpaceDE/>
        <w:autoSpaceDN/>
        <w:bidi w:val="0"/>
        <w:adjustRightInd/>
        <w:snapToGrid w:val="0"/>
        <w:spacing w:line="552" w:lineRule="exact"/>
        <w:ind w:firstLine="640" w:firstLineChars="200"/>
        <w:textAlignment w:val="auto"/>
        <w:rPr>
          <w:rFonts w:hint="default" w:ascii="Times New Roman" w:hAnsi="Times New Roman" w:eastAsia="方正仿宋_GBK" w:cs="Times New Roman"/>
          <w:b w:val="0"/>
          <w:bCs w:val="0"/>
          <w:color w:val="auto"/>
          <w:sz w:val="32"/>
          <w:szCs w:val="32"/>
          <w:highlight w:val="none"/>
          <w:lang w:val="en-US" w:eastAsia="en-US"/>
        </w:rPr>
      </w:pPr>
      <w:r>
        <w:rPr>
          <w:rFonts w:hint="default" w:ascii="Times New Roman" w:hAnsi="Times New Roman" w:eastAsia="方正仿宋_GBK" w:cs="Times New Roman"/>
          <w:b w:val="0"/>
          <w:bCs w:val="0"/>
          <w:sz w:val="32"/>
          <w:szCs w:val="32"/>
          <w:highlight w:val="none"/>
          <w:lang w:val="en-US" w:eastAsia="zh-CN"/>
        </w:rPr>
        <w:t>202</w:t>
      </w:r>
      <w:r>
        <w:rPr>
          <w:rFonts w:hint="default" w:ascii="Times New Roman" w:hAnsi="Times New Roman" w:eastAsia="方正仿宋_GBK" w:cs="Times New Roman"/>
          <w:b w:val="0"/>
          <w:bCs w:val="0"/>
          <w:sz w:val="32"/>
          <w:szCs w:val="32"/>
          <w:highlight w:val="none"/>
          <w:lang w:val="en" w:eastAsia="zh-CN"/>
        </w:rPr>
        <w:t>5</w:t>
      </w:r>
      <w:r>
        <w:rPr>
          <w:rFonts w:hint="default" w:ascii="Times New Roman" w:hAnsi="Times New Roman" w:eastAsia="方正仿宋_GBK" w:cs="Times New Roman"/>
          <w:b w:val="0"/>
          <w:bCs w:val="0"/>
          <w:sz w:val="32"/>
          <w:szCs w:val="32"/>
          <w:highlight w:val="none"/>
          <w:lang w:val="en-US" w:eastAsia="zh-CN"/>
        </w:rPr>
        <w:t>年全年预算收入</w:t>
      </w:r>
      <w:r>
        <w:rPr>
          <w:rFonts w:hint="default" w:ascii="Times New Roman" w:hAnsi="Times New Roman" w:eastAsia="方正仿宋_GBK" w:cs="Times New Roman"/>
          <w:b w:val="0"/>
          <w:bCs w:val="0"/>
          <w:sz w:val="32"/>
          <w:szCs w:val="32"/>
          <w:highlight w:val="none"/>
          <w:lang w:val="en" w:eastAsia="zh-CN"/>
        </w:rPr>
        <w:t>3118.43</w:t>
      </w:r>
      <w:r>
        <w:rPr>
          <w:rFonts w:hint="default" w:ascii="Times New Roman" w:hAnsi="Times New Roman" w:eastAsia="方正仿宋_GBK" w:cs="Times New Roman"/>
          <w:b w:val="0"/>
          <w:bCs w:val="0"/>
          <w:sz w:val="32"/>
          <w:szCs w:val="32"/>
          <w:highlight w:val="none"/>
          <w:lang w:val="en-US" w:eastAsia="zh-CN"/>
        </w:rPr>
        <w:t>万元，其中：财政拨款收入3118.</w:t>
      </w:r>
      <w:r>
        <w:rPr>
          <w:rFonts w:hint="default" w:ascii="Times New Roman" w:hAnsi="Times New Roman" w:eastAsia="方正仿宋_GBK" w:cs="Times New Roman"/>
          <w:b w:val="0"/>
          <w:bCs w:val="0"/>
          <w:sz w:val="32"/>
          <w:szCs w:val="32"/>
          <w:highlight w:val="none"/>
          <w:lang w:val="en" w:eastAsia="zh-CN"/>
        </w:rPr>
        <w:t>4</w:t>
      </w:r>
      <w:r>
        <w:rPr>
          <w:rFonts w:hint="default" w:ascii="Times New Roman" w:hAnsi="Times New Roman" w:eastAsia="方正仿宋_GBK" w:cs="Times New Roman"/>
          <w:b w:val="0"/>
          <w:bCs w:val="0"/>
          <w:sz w:val="32"/>
          <w:szCs w:val="32"/>
          <w:highlight w:val="none"/>
          <w:lang w:val="en-US" w:eastAsia="zh-CN"/>
        </w:rPr>
        <w:t>3万元，占预算收入的100%。较上年</w:t>
      </w:r>
      <w:r>
        <w:rPr>
          <w:rFonts w:hint="eastAsia" w:ascii="Times New Roman" w:hAnsi="Times New Roman" w:eastAsia="方正仿宋_GBK" w:cs="Times New Roman"/>
          <w:b w:val="0"/>
          <w:bCs w:val="0"/>
          <w:sz w:val="32"/>
          <w:szCs w:val="32"/>
          <w:highlight w:val="none"/>
          <w:lang w:val="en-US" w:eastAsia="zh-CN"/>
        </w:rPr>
        <w:t>增加</w:t>
      </w:r>
      <w:r>
        <w:rPr>
          <w:rFonts w:hint="default" w:ascii="Times New Roman" w:hAnsi="Times New Roman" w:eastAsia="方正仿宋_GBK" w:cs="Times New Roman"/>
          <w:b w:val="0"/>
          <w:bCs w:val="0"/>
          <w:sz w:val="32"/>
          <w:szCs w:val="32"/>
          <w:highlight w:val="none"/>
          <w:lang w:val="en" w:eastAsia="zh-CN"/>
        </w:rPr>
        <w:t>12.26</w:t>
      </w:r>
      <w:r>
        <w:rPr>
          <w:rFonts w:hint="default" w:ascii="Times New Roman" w:hAnsi="Times New Roman" w:eastAsia="方正仿宋_GBK" w:cs="Times New Roman"/>
          <w:b w:val="0"/>
          <w:bCs w:val="0"/>
          <w:sz w:val="32"/>
          <w:szCs w:val="32"/>
          <w:highlight w:val="none"/>
          <w:lang w:val="en-US" w:eastAsia="zh-CN"/>
        </w:rPr>
        <w:t>万元，</w:t>
      </w:r>
      <w:r>
        <w:rPr>
          <w:rFonts w:hint="eastAsia" w:ascii="Times New Roman" w:hAnsi="Times New Roman" w:eastAsia="方正仿宋_GBK" w:cs="Times New Roman"/>
          <w:b w:val="0"/>
          <w:bCs w:val="0"/>
          <w:sz w:val="32"/>
          <w:szCs w:val="32"/>
          <w:highlight w:val="none"/>
          <w:lang w:val="en-US" w:eastAsia="zh-CN"/>
        </w:rPr>
        <w:t>增长</w:t>
      </w:r>
      <w:r>
        <w:rPr>
          <w:rFonts w:hint="default" w:ascii="Times New Roman" w:hAnsi="Times New Roman" w:eastAsia="方正仿宋_GBK" w:cs="Times New Roman"/>
          <w:b w:val="0"/>
          <w:bCs w:val="0"/>
          <w:sz w:val="32"/>
          <w:szCs w:val="32"/>
          <w:highlight w:val="none"/>
          <w:lang w:val="en" w:eastAsia="zh-CN"/>
        </w:rPr>
        <w:t>4</w:t>
      </w:r>
      <w:r>
        <w:rPr>
          <w:rFonts w:hint="default" w:ascii="Times New Roman" w:hAnsi="Times New Roman" w:eastAsia="方正仿宋_GBK" w:cs="Times New Roman"/>
          <w:b w:val="0"/>
          <w:bCs w:val="0"/>
          <w:sz w:val="32"/>
          <w:szCs w:val="32"/>
          <w:highlight w:val="none"/>
          <w:lang w:val="en-US" w:eastAsia="zh-CN"/>
        </w:rPr>
        <w:t>.</w:t>
      </w:r>
      <w:r>
        <w:rPr>
          <w:rFonts w:hint="default" w:ascii="Times New Roman" w:hAnsi="Times New Roman" w:eastAsia="方正仿宋_GBK" w:cs="Times New Roman"/>
          <w:b w:val="0"/>
          <w:bCs w:val="0"/>
          <w:sz w:val="32"/>
          <w:szCs w:val="32"/>
          <w:highlight w:val="none"/>
          <w:lang w:val="en" w:eastAsia="zh-CN"/>
        </w:rPr>
        <w:t>01</w:t>
      </w:r>
      <w:r>
        <w:rPr>
          <w:rFonts w:hint="default" w:ascii="Times New Roman" w:hAnsi="Times New Roman" w:eastAsia="方正仿宋_GBK" w:cs="Times New Roman"/>
          <w:b w:val="0"/>
          <w:bCs w:val="0"/>
          <w:sz w:val="32"/>
          <w:szCs w:val="32"/>
          <w:highlight w:val="none"/>
          <w:lang w:val="en-US" w:eastAsia="zh-CN"/>
        </w:rPr>
        <w:t>%。</w:t>
      </w:r>
      <w:r>
        <w:rPr>
          <w:rFonts w:hint="default" w:ascii="Times New Roman" w:hAnsi="Times New Roman" w:eastAsia="方正仿宋_GBK" w:cs="Times New Roman"/>
          <w:b w:val="0"/>
          <w:bCs w:val="0"/>
          <w:color w:val="auto"/>
          <w:sz w:val="32"/>
          <w:szCs w:val="32"/>
          <w:highlight w:val="none"/>
          <w:lang w:val="en-US" w:eastAsia="zh-CN"/>
        </w:rPr>
        <w:t>变动原因是</w:t>
      </w:r>
      <w:r>
        <w:rPr>
          <w:rFonts w:hint="eastAsia"/>
          <w:b w:val="0"/>
          <w:bCs w:val="0"/>
          <w:lang w:val="en-US" w:eastAsia="zh-CN"/>
        </w:rPr>
        <w:t>项目经费增加</w:t>
      </w:r>
      <w:r>
        <w:rPr>
          <w:rFonts w:hint="default" w:ascii="Times New Roman" w:hAnsi="Times New Roman" w:eastAsia="方正仿宋_GBK" w:cs="Times New Roman"/>
          <w:b w:val="0"/>
          <w:bCs w:val="0"/>
          <w:color w:val="auto"/>
          <w:sz w:val="32"/>
          <w:szCs w:val="32"/>
          <w:highlight w:val="none"/>
          <w:lang w:val="en-US" w:eastAsia="zh-CN"/>
        </w:rPr>
        <w:t>。</w:t>
      </w:r>
    </w:p>
    <w:p w14:paraId="5514CB67">
      <w:pPr>
        <w:keepNext w:val="0"/>
        <w:keepLines w:val="0"/>
        <w:pageBreakBefore w:val="0"/>
        <w:widowControl w:val="0"/>
        <w:kinsoku/>
        <w:wordWrap/>
        <w:overflowPunct w:val="0"/>
        <w:topLinePunct w:val="0"/>
        <w:autoSpaceDE/>
        <w:autoSpaceDN/>
        <w:bidi w:val="0"/>
        <w:adjustRightInd/>
        <w:snapToGrid w:val="0"/>
        <w:spacing w:line="552" w:lineRule="exact"/>
        <w:ind w:firstLine="640" w:firstLineChars="200"/>
        <w:textAlignment w:val="auto"/>
        <w:rPr>
          <w:rFonts w:hint="default" w:ascii="Times New Roman" w:hAnsi="Times New Roman" w:eastAsia="方正楷体_GBK" w:cs="Times New Roman"/>
          <w:b w:val="0"/>
          <w:bCs w:val="0"/>
          <w:color w:val="000000"/>
          <w:kern w:val="0"/>
          <w:sz w:val="32"/>
          <w:szCs w:val="32"/>
          <w:highlight w:val="none"/>
          <w:shd w:val="clear" w:color="auto" w:fill="FFFFFF"/>
          <w:lang w:val="en-US" w:eastAsia="zh-CN"/>
        </w:rPr>
      </w:pPr>
      <w:r>
        <w:rPr>
          <w:rFonts w:hint="default" w:ascii="Times New Roman" w:hAnsi="Times New Roman" w:eastAsia="方正楷体_GBK" w:cs="Times New Roman"/>
          <w:b w:val="0"/>
          <w:bCs w:val="0"/>
          <w:color w:val="000000"/>
          <w:kern w:val="0"/>
          <w:sz w:val="32"/>
          <w:szCs w:val="32"/>
          <w:highlight w:val="none"/>
          <w:shd w:val="clear" w:color="auto" w:fill="FFFFFF"/>
          <w:lang w:val="zh-CN" w:eastAsia="zh-CN"/>
        </w:rPr>
        <w:t>（</w:t>
      </w:r>
      <w:r>
        <w:rPr>
          <w:rFonts w:hint="eastAsia" w:ascii="Times New Roman" w:hAnsi="Times New Roman" w:eastAsia="方正楷体_GBK" w:cs="Times New Roman"/>
          <w:b w:val="0"/>
          <w:bCs w:val="0"/>
          <w:color w:val="000000"/>
          <w:kern w:val="0"/>
          <w:sz w:val="32"/>
          <w:szCs w:val="32"/>
          <w:highlight w:val="none"/>
          <w:shd w:val="clear" w:color="auto" w:fill="FFFFFF"/>
          <w:lang w:val="zh-CN" w:eastAsia="zh-CN"/>
        </w:rPr>
        <w:t>二</w:t>
      </w:r>
      <w:r>
        <w:rPr>
          <w:rFonts w:hint="default" w:ascii="Times New Roman" w:hAnsi="Times New Roman" w:eastAsia="方正楷体_GBK" w:cs="Times New Roman"/>
          <w:b w:val="0"/>
          <w:bCs w:val="0"/>
          <w:color w:val="000000"/>
          <w:kern w:val="0"/>
          <w:sz w:val="32"/>
          <w:szCs w:val="32"/>
          <w:highlight w:val="none"/>
          <w:shd w:val="clear" w:color="auto" w:fill="FFFFFF"/>
          <w:lang w:val="zh-CN" w:eastAsia="zh-CN"/>
        </w:rPr>
        <w:t>）支出情况</w:t>
      </w:r>
    </w:p>
    <w:p w14:paraId="37890B8F">
      <w:pPr>
        <w:keepNext w:val="0"/>
        <w:keepLines w:val="0"/>
        <w:pageBreakBefore w:val="0"/>
        <w:widowControl w:val="0"/>
        <w:numPr>
          <w:ilvl w:val="0"/>
          <w:numId w:val="0"/>
        </w:numPr>
        <w:kinsoku/>
        <w:wordWrap/>
        <w:overflowPunct w:val="0"/>
        <w:topLinePunct w:val="0"/>
        <w:autoSpaceDE/>
        <w:autoSpaceDN/>
        <w:bidi w:val="0"/>
        <w:adjustRightInd w:val="0"/>
        <w:snapToGrid w:val="0"/>
        <w:spacing w:line="552" w:lineRule="exact"/>
        <w:ind w:firstLine="640" w:firstLineChars="200"/>
        <w:contextualSpacing/>
        <w:jc w:val="both"/>
        <w:textAlignment w:val="auto"/>
        <w:outlineLvl w:val="9"/>
        <w:rPr>
          <w:rFonts w:hint="default" w:ascii="Times New Roman" w:hAnsi="Times New Roman" w:eastAsia="方正仿宋_GBK" w:cs="Times New Roman"/>
          <w:b w:val="0"/>
          <w:bCs w:val="0"/>
          <w:color w:val="auto"/>
          <w:sz w:val="32"/>
          <w:szCs w:val="32"/>
          <w:highlight w:val="none"/>
          <w:lang w:val="en" w:eastAsia="zh-CN"/>
        </w:rPr>
      </w:pPr>
      <w:r>
        <w:rPr>
          <w:rFonts w:hint="default" w:ascii="Times New Roman" w:hAnsi="Times New Roman" w:eastAsia="方正仿宋_GBK" w:cs="Times New Roman"/>
          <w:b w:val="0"/>
          <w:bCs w:val="0"/>
          <w:sz w:val="32"/>
          <w:szCs w:val="32"/>
          <w:highlight w:val="none"/>
          <w:lang w:val="en-US" w:eastAsia="zh-CN"/>
        </w:rPr>
        <w:t>202</w:t>
      </w:r>
      <w:r>
        <w:rPr>
          <w:rFonts w:hint="default" w:ascii="Times New Roman" w:hAnsi="Times New Roman" w:eastAsia="方正仿宋_GBK" w:cs="Times New Roman"/>
          <w:b w:val="0"/>
          <w:bCs w:val="0"/>
          <w:sz w:val="32"/>
          <w:szCs w:val="32"/>
          <w:highlight w:val="none"/>
          <w:lang w:val="en" w:eastAsia="zh-CN"/>
        </w:rPr>
        <w:t>5</w:t>
      </w:r>
      <w:r>
        <w:rPr>
          <w:rFonts w:hint="default" w:ascii="Times New Roman" w:hAnsi="Times New Roman" w:eastAsia="方正仿宋_GBK" w:cs="Times New Roman"/>
          <w:b w:val="0"/>
          <w:bCs w:val="0"/>
          <w:sz w:val="32"/>
          <w:szCs w:val="32"/>
          <w:highlight w:val="none"/>
          <w:lang w:val="en-US" w:eastAsia="zh-CN"/>
        </w:rPr>
        <w:t>年全年预算支出</w:t>
      </w:r>
      <w:r>
        <w:rPr>
          <w:rFonts w:hint="default" w:ascii="Times New Roman" w:hAnsi="Times New Roman" w:eastAsia="方正仿宋_GBK" w:cs="Times New Roman"/>
          <w:b w:val="0"/>
          <w:bCs w:val="0"/>
          <w:sz w:val="32"/>
          <w:szCs w:val="32"/>
          <w:highlight w:val="none"/>
          <w:lang w:val="en" w:eastAsia="zh-CN"/>
        </w:rPr>
        <w:t>3118.43</w:t>
      </w:r>
      <w:r>
        <w:rPr>
          <w:rFonts w:hint="default" w:ascii="Times New Roman" w:hAnsi="Times New Roman" w:eastAsia="方正仿宋_GBK" w:cs="Times New Roman"/>
          <w:b w:val="0"/>
          <w:bCs w:val="0"/>
          <w:sz w:val="32"/>
          <w:szCs w:val="32"/>
          <w:highlight w:val="none"/>
          <w:lang w:val="en-US" w:eastAsia="zh-CN"/>
        </w:rPr>
        <w:t>万元，其中：基本支出25</w:t>
      </w:r>
      <w:r>
        <w:rPr>
          <w:rFonts w:hint="default" w:ascii="Times New Roman" w:hAnsi="Times New Roman" w:eastAsia="方正仿宋_GBK" w:cs="Times New Roman"/>
          <w:b w:val="0"/>
          <w:bCs w:val="0"/>
          <w:sz w:val="32"/>
          <w:szCs w:val="32"/>
          <w:highlight w:val="none"/>
          <w:lang w:val="en" w:eastAsia="zh-CN"/>
        </w:rPr>
        <w:t>10</w:t>
      </w:r>
      <w:r>
        <w:rPr>
          <w:rFonts w:hint="default" w:ascii="Times New Roman" w:hAnsi="Times New Roman" w:eastAsia="方正仿宋_GBK" w:cs="Times New Roman"/>
          <w:b w:val="0"/>
          <w:bCs w:val="0"/>
          <w:sz w:val="32"/>
          <w:szCs w:val="32"/>
          <w:highlight w:val="none"/>
          <w:lang w:val="en-US" w:eastAsia="zh-CN"/>
        </w:rPr>
        <w:t>.</w:t>
      </w:r>
      <w:r>
        <w:rPr>
          <w:rFonts w:hint="default" w:ascii="Times New Roman" w:hAnsi="Times New Roman" w:eastAsia="方正仿宋_GBK" w:cs="Times New Roman"/>
          <w:b w:val="0"/>
          <w:bCs w:val="0"/>
          <w:sz w:val="32"/>
          <w:szCs w:val="32"/>
          <w:highlight w:val="none"/>
          <w:lang w:val="en" w:eastAsia="zh-CN"/>
        </w:rPr>
        <w:t>2</w:t>
      </w:r>
      <w:r>
        <w:rPr>
          <w:rFonts w:hint="default" w:ascii="Times New Roman" w:hAnsi="Times New Roman" w:eastAsia="方正仿宋_GBK" w:cs="Times New Roman"/>
          <w:b w:val="0"/>
          <w:bCs w:val="0"/>
          <w:sz w:val="32"/>
          <w:szCs w:val="32"/>
          <w:highlight w:val="none"/>
          <w:lang w:val="en-US" w:eastAsia="zh-CN"/>
        </w:rPr>
        <w:t>万元，较上年</w:t>
      </w:r>
      <w:r>
        <w:rPr>
          <w:rFonts w:hint="eastAsia" w:ascii="Times New Roman" w:hAnsi="Times New Roman" w:eastAsia="方正仿宋_GBK" w:cs="Times New Roman"/>
          <w:b w:val="0"/>
          <w:bCs w:val="0"/>
          <w:sz w:val="32"/>
          <w:szCs w:val="32"/>
          <w:highlight w:val="none"/>
          <w:lang w:val="en-US" w:eastAsia="zh-CN"/>
        </w:rPr>
        <w:t>下降</w:t>
      </w:r>
      <w:r>
        <w:rPr>
          <w:rFonts w:hint="default" w:ascii="Times New Roman" w:hAnsi="Times New Roman" w:eastAsia="方正仿宋_GBK" w:cs="Times New Roman"/>
          <w:b w:val="0"/>
          <w:bCs w:val="0"/>
          <w:sz w:val="32"/>
          <w:szCs w:val="32"/>
          <w:highlight w:val="none"/>
          <w:lang w:val="en" w:eastAsia="zh-CN"/>
        </w:rPr>
        <w:t>2.49%</w:t>
      </w:r>
      <w:r>
        <w:rPr>
          <w:rFonts w:hint="default" w:ascii="Times New Roman" w:hAnsi="Times New Roman" w:eastAsia="方正仿宋_GBK" w:cs="Times New Roman"/>
          <w:b w:val="0"/>
          <w:bCs w:val="0"/>
          <w:sz w:val="32"/>
          <w:szCs w:val="32"/>
          <w:highlight w:val="none"/>
          <w:lang w:val="en-US" w:eastAsia="zh-CN"/>
        </w:rPr>
        <w:t>；项目支出</w:t>
      </w:r>
      <w:r>
        <w:rPr>
          <w:rFonts w:hint="default" w:ascii="Times New Roman" w:hAnsi="Times New Roman" w:eastAsia="方正仿宋_GBK" w:cs="Times New Roman"/>
          <w:b w:val="0"/>
          <w:bCs w:val="0"/>
          <w:sz w:val="32"/>
          <w:szCs w:val="32"/>
          <w:highlight w:val="none"/>
          <w:lang w:val="en" w:eastAsia="zh-CN"/>
        </w:rPr>
        <w:t>608</w:t>
      </w:r>
      <w:r>
        <w:rPr>
          <w:rFonts w:hint="default" w:ascii="Times New Roman" w:hAnsi="Times New Roman" w:eastAsia="方正仿宋_GBK" w:cs="Times New Roman"/>
          <w:b w:val="0"/>
          <w:bCs w:val="0"/>
          <w:sz w:val="32"/>
          <w:szCs w:val="32"/>
          <w:highlight w:val="none"/>
          <w:lang w:val="en-US" w:eastAsia="zh-CN"/>
        </w:rPr>
        <w:t>.</w:t>
      </w:r>
      <w:r>
        <w:rPr>
          <w:rFonts w:hint="default" w:ascii="Times New Roman" w:hAnsi="Times New Roman" w:eastAsia="方正仿宋_GBK" w:cs="Times New Roman"/>
          <w:b w:val="0"/>
          <w:bCs w:val="0"/>
          <w:sz w:val="32"/>
          <w:szCs w:val="32"/>
          <w:highlight w:val="none"/>
          <w:lang w:val="en" w:eastAsia="zh-CN"/>
        </w:rPr>
        <w:t>23</w:t>
      </w:r>
      <w:r>
        <w:rPr>
          <w:rFonts w:hint="default" w:ascii="Times New Roman" w:hAnsi="Times New Roman" w:eastAsia="方正仿宋_GBK" w:cs="Times New Roman"/>
          <w:b w:val="0"/>
          <w:bCs w:val="0"/>
          <w:sz w:val="32"/>
          <w:szCs w:val="32"/>
          <w:highlight w:val="none"/>
          <w:lang w:val="en-US" w:eastAsia="zh-CN"/>
        </w:rPr>
        <w:t>万元，较上年</w:t>
      </w:r>
      <w:r>
        <w:rPr>
          <w:rFonts w:hint="eastAsia" w:ascii="Times New Roman" w:hAnsi="Times New Roman" w:eastAsia="方正仿宋_GBK" w:cs="Times New Roman"/>
          <w:b w:val="0"/>
          <w:bCs w:val="0"/>
          <w:sz w:val="32"/>
          <w:szCs w:val="32"/>
          <w:highlight w:val="none"/>
          <w:lang w:val="en-US" w:eastAsia="zh-CN"/>
        </w:rPr>
        <w:t>增长</w:t>
      </w:r>
      <w:r>
        <w:rPr>
          <w:rFonts w:hint="default" w:ascii="Times New Roman" w:hAnsi="Times New Roman" w:eastAsia="方正仿宋_GBK" w:cs="Times New Roman"/>
          <w:b w:val="0"/>
          <w:bCs w:val="0"/>
          <w:sz w:val="32"/>
          <w:szCs w:val="32"/>
          <w:highlight w:val="none"/>
          <w:lang w:val="en" w:eastAsia="zh-CN"/>
        </w:rPr>
        <w:t>43.51%</w:t>
      </w:r>
      <w:r>
        <w:rPr>
          <w:rFonts w:hint="eastAsia" w:ascii="Times New Roman" w:hAnsi="Times New Roman" w:eastAsia="方正仿宋_GBK" w:cs="Times New Roman"/>
          <w:b w:val="0"/>
          <w:bCs w:val="0"/>
          <w:sz w:val="32"/>
          <w:szCs w:val="32"/>
          <w:highlight w:val="none"/>
          <w:lang w:val="en" w:eastAsia="zh-CN"/>
        </w:rPr>
        <w:t>。</w:t>
      </w:r>
      <w:r>
        <w:rPr>
          <w:rFonts w:hint="default" w:ascii="Times New Roman" w:hAnsi="Times New Roman" w:eastAsia="方正仿宋_GBK" w:cs="Times New Roman"/>
          <w:b w:val="0"/>
          <w:bCs w:val="0"/>
          <w:color w:val="auto"/>
          <w:sz w:val="32"/>
          <w:szCs w:val="32"/>
          <w:lang w:val="en-US" w:eastAsia="zh-CN"/>
        </w:rPr>
        <w:t>支出变动原因是</w:t>
      </w:r>
      <w:r>
        <w:rPr>
          <w:rFonts w:hint="eastAsia" w:cs="Times New Roman"/>
          <w:b w:val="0"/>
          <w:bCs w:val="0"/>
          <w:color w:val="auto"/>
          <w:sz w:val="32"/>
          <w:szCs w:val="32"/>
          <w:lang w:val="en-US" w:eastAsia="zh-CN"/>
        </w:rPr>
        <w:t>单位项目数量增多，资金投入加大，故</w:t>
      </w:r>
      <w:r>
        <w:rPr>
          <w:rFonts w:hint="eastAsia"/>
          <w:b w:val="0"/>
          <w:bCs w:val="0"/>
          <w:lang w:val="en-US" w:eastAsia="zh-CN"/>
        </w:rPr>
        <w:t>项目支出总额增加</w:t>
      </w:r>
      <w:r>
        <w:rPr>
          <w:rFonts w:hint="eastAsia" w:ascii="Times New Roman" w:hAnsi="Times New Roman" w:eastAsia="仿宋_GB2312" w:cs="Times New Roman"/>
          <w:b w:val="0"/>
          <w:bCs w:val="0"/>
          <w:color w:val="auto"/>
          <w:sz w:val="32"/>
          <w:szCs w:val="32"/>
          <w:lang w:val="en-US" w:eastAsia="zh-CN"/>
        </w:rPr>
        <w:t>。</w:t>
      </w:r>
    </w:p>
    <w:p w14:paraId="4BF6F7BC">
      <w:pPr>
        <w:keepNext w:val="0"/>
        <w:keepLines w:val="0"/>
        <w:pageBreakBefore w:val="0"/>
        <w:widowControl w:val="0"/>
        <w:numPr>
          <w:ilvl w:val="0"/>
          <w:numId w:val="0"/>
        </w:numPr>
        <w:kinsoku/>
        <w:wordWrap/>
        <w:overflowPunct w:val="0"/>
        <w:topLinePunct w:val="0"/>
        <w:autoSpaceDE/>
        <w:autoSpaceDN/>
        <w:bidi w:val="0"/>
        <w:adjustRightInd w:val="0"/>
        <w:snapToGrid w:val="0"/>
        <w:spacing w:line="552" w:lineRule="exact"/>
        <w:ind w:firstLine="640" w:firstLineChars="200"/>
        <w:contextualSpacing/>
        <w:jc w:val="both"/>
        <w:textAlignment w:val="auto"/>
        <w:outlineLvl w:val="9"/>
        <w:rPr>
          <w:rFonts w:hint="default" w:ascii="Times New Roman" w:hAnsi="Times New Roman" w:eastAsia="方正仿宋_GBK" w:cs="Times New Roman"/>
          <w:b w:val="0"/>
          <w:bCs w:val="0"/>
          <w:sz w:val="32"/>
          <w:szCs w:val="32"/>
          <w:highlight w:val="none"/>
          <w:lang w:val="en-US" w:eastAsia="zh-CN"/>
        </w:rPr>
      </w:pPr>
      <w:r>
        <w:rPr>
          <w:rFonts w:hint="default" w:ascii="Times New Roman" w:hAnsi="Times New Roman" w:eastAsia="方正仿宋_GBK" w:cs="Times New Roman"/>
          <w:b w:val="0"/>
          <w:bCs w:val="0"/>
          <w:sz w:val="32"/>
          <w:szCs w:val="32"/>
          <w:highlight w:val="none"/>
          <w:lang w:val="en-US" w:eastAsia="zh-CN"/>
        </w:rPr>
        <w:t>202</w:t>
      </w:r>
      <w:r>
        <w:rPr>
          <w:rFonts w:hint="default" w:ascii="Times New Roman" w:hAnsi="Times New Roman" w:eastAsia="方正仿宋_GBK" w:cs="Times New Roman"/>
          <w:b w:val="0"/>
          <w:bCs w:val="0"/>
          <w:sz w:val="32"/>
          <w:szCs w:val="32"/>
          <w:highlight w:val="none"/>
          <w:lang w:val="en" w:eastAsia="zh-CN"/>
        </w:rPr>
        <w:t>5</w:t>
      </w:r>
      <w:r>
        <w:rPr>
          <w:rFonts w:hint="default" w:ascii="Times New Roman" w:hAnsi="Times New Roman" w:eastAsia="方正仿宋_GBK" w:cs="Times New Roman"/>
          <w:b w:val="0"/>
          <w:bCs w:val="0"/>
          <w:sz w:val="32"/>
          <w:szCs w:val="32"/>
          <w:highlight w:val="none"/>
          <w:lang w:val="en-US" w:eastAsia="zh-CN"/>
        </w:rPr>
        <w:t>年全年预算支出</w:t>
      </w:r>
      <w:r>
        <w:rPr>
          <w:rFonts w:hint="default" w:ascii="Times New Roman" w:hAnsi="Times New Roman" w:eastAsia="方正仿宋_GBK" w:cs="Times New Roman"/>
          <w:b w:val="0"/>
          <w:bCs w:val="0"/>
          <w:sz w:val="32"/>
          <w:szCs w:val="32"/>
          <w:highlight w:val="none"/>
          <w:lang w:val="en" w:eastAsia="zh-CN"/>
        </w:rPr>
        <w:t>3118.43</w:t>
      </w:r>
      <w:r>
        <w:rPr>
          <w:rFonts w:hint="default" w:ascii="Times New Roman" w:hAnsi="Times New Roman" w:eastAsia="方正仿宋_GBK" w:cs="Times New Roman"/>
          <w:b w:val="0"/>
          <w:bCs w:val="0"/>
          <w:sz w:val="32"/>
          <w:szCs w:val="32"/>
          <w:highlight w:val="none"/>
          <w:lang w:val="en-US" w:eastAsia="zh-CN"/>
        </w:rPr>
        <w:t>万元中：工资福利支出</w:t>
      </w:r>
      <w:r>
        <w:rPr>
          <w:rFonts w:hint="default" w:ascii="Times New Roman" w:hAnsi="Times New Roman" w:eastAsia="方正仿宋_GBK" w:cs="Times New Roman"/>
          <w:b w:val="0"/>
          <w:bCs w:val="0"/>
          <w:sz w:val="32"/>
          <w:szCs w:val="32"/>
          <w:highlight w:val="none"/>
          <w:lang w:val="en" w:eastAsia="zh-CN"/>
        </w:rPr>
        <w:t>1977</w:t>
      </w:r>
      <w:r>
        <w:rPr>
          <w:rFonts w:hint="default" w:ascii="Times New Roman" w:hAnsi="Times New Roman" w:eastAsia="方正仿宋_GBK" w:cs="Times New Roman"/>
          <w:b w:val="0"/>
          <w:bCs w:val="0"/>
          <w:sz w:val="32"/>
          <w:szCs w:val="32"/>
          <w:highlight w:val="none"/>
          <w:lang w:val="en-US" w:eastAsia="zh-CN"/>
        </w:rPr>
        <w:t>.</w:t>
      </w:r>
      <w:r>
        <w:rPr>
          <w:rFonts w:hint="default" w:ascii="Times New Roman" w:hAnsi="Times New Roman" w:eastAsia="方正仿宋_GBK" w:cs="Times New Roman"/>
          <w:b w:val="0"/>
          <w:bCs w:val="0"/>
          <w:sz w:val="32"/>
          <w:szCs w:val="32"/>
          <w:highlight w:val="none"/>
          <w:lang w:val="en" w:eastAsia="zh-CN"/>
        </w:rPr>
        <w:t>30</w:t>
      </w:r>
      <w:r>
        <w:rPr>
          <w:rFonts w:hint="default" w:ascii="Times New Roman" w:hAnsi="Times New Roman" w:eastAsia="方正仿宋_GBK" w:cs="Times New Roman"/>
          <w:b w:val="0"/>
          <w:bCs w:val="0"/>
          <w:sz w:val="32"/>
          <w:szCs w:val="32"/>
          <w:highlight w:val="none"/>
          <w:lang w:val="en-US" w:eastAsia="zh-CN"/>
        </w:rPr>
        <w:t>万元，较上年</w:t>
      </w:r>
      <w:r>
        <w:rPr>
          <w:rFonts w:hint="eastAsia" w:ascii="Times New Roman" w:hAnsi="Times New Roman" w:eastAsia="仿宋_GB2312" w:cs="Times New Roman"/>
          <w:b w:val="0"/>
          <w:bCs w:val="0"/>
          <w:sz w:val="32"/>
          <w:szCs w:val="32"/>
          <w:highlight w:val="none"/>
          <w:lang w:val="en-US" w:eastAsia="zh-CN"/>
        </w:rPr>
        <w:t>下</w:t>
      </w:r>
      <w:r>
        <w:rPr>
          <w:rFonts w:hint="eastAsia" w:ascii="Times New Roman" w:hAnsi="Times New Roman" w:eastAsia="方正仿宋_GBK" w:cs="Times New Roman"/>
          <w:b w:val="0"/>
          <w:bCs w:val="0"/>
          <w:color w:val="auto"/>
          <w:sz w:val="32"/>
          <w:szCs w:val="32"/>
          <w:highlight w:val="none"/>
          <w:lang w:val="en-US" w:eastAsia="zh-CN"/>
        </w:rPr>
        <w:t>降4%</w:t>
      </w:r>
      <w:r>
        <w:rPr>
          <w:rFonts w:hint="default" w:ascii="Times New Roman" w:hAnsi="Times New Roman" w:eastAsia="方正仿宋_GBK" w:cs="Times New Roman"/>
          <w:b w:val="0"/>
          <w:bCs w:val="0"/>
          <w:color w:val="auto"/>
          <w:sz w:val="32"/>
          <w:szCs w:val="32"/>
          <w:highlight w:val="none"/>
          <w:lang w:val="en-US" w:eastAsia="zh-CN"/>
        </w:rPr>
        <w:t>；</w:t>
      </w:r>
      <w:r>
        <w:rPr>
          <w:rFonts w:hint="default" w:ascii="Times New Roman" w:hAnsi="Times New Roman" w:eastAsia="方正仿宋_GBK" w:cs="Times New Roman"/>
          <w:b w:val="0"/>
          <w:bCs w:val="0"/>
          <w:sz w:val="32"/>
          <w:szCs w:val="32"/>
          <w:highlight w:val="none"/>
          <w:lang w:val="en-US" w:eastAsia="zh-CN"/>
        </w:rPr>
        <w:t>商品和服务支出</w:t>
      </w:r>
      <w:r>
        <w:rPr>
          <w:rFonts w:hint="default" w:ascii="Times New Roman" w:hAnsi="Times New Roman" w:eastAsia="方正仿宋_GBK" w:cs="Times New Roman"/>
          <w:b w:val="0"/>
          <w:bCs w:val="0"/>
          <w:sz w:val="32"/>
          <w:szCs w:val="32"/>
          <w:highlight w:val="none"/>
          <w:lang w:val="en" w:eastAsia="zh-CN"/>
        </w:rPr>
        <w:t>855</w:t>
      </w:r>
      <w:r>
        <w:rPr>
          <w:rFonts w:hint="default" w:ascii="Times New Roman" w:hAnsi="Times New Roman" w:eastAsia="方正仿宋_GBK" w:cs="Times New Roman"/>
          <w:b w:val="0"/>
          <w:bCs w:val="0"/>
          <w:sz w:val="32"/>
          <w:szCs w:val="32"/>
          <w:highlight w:val="none"/>
          <w:lang w:val="en-US" w:eastAsia="zh-CN"/>
        </w:rPr>
        <w:t>.</w:t>
      </w:r>
      <w:r>
        <w:rPr>
          <w:rFonts w:hint="default" w:ascii="Times New Roman" w:hAnsi="Times New Roman" w:eastAsia="方正仿宋_GBK" w:cs="Times New Roman"/>
          <w:b w:val="0"/>
          <w:bCs w:val="0"/>
          <w:sz w:val="32"/>
          <w:szCs w:val="32"/>
          <w:highlight w:val="none"/>
          <w:lang w:val="en" w:eastAsia="zh-CN"/>
        </w:rPr>
        <w:t>40</w:t>
      </w:r>
      <w:r>
        <w:rPr>
          <w:rFonts w:hint="default" w:ascii="Times New Roman" w:hAnsi="Times New Roman" w:eastAsia="方正仿宋_GBK" w:cs="Times New Roman"/>
          <w:b w:val="0"/>
          <w:bCs w:val="0"/>
          <w:sz w:val="32"/>
          <w:szCs w:val="32"/>
          <w:highlight w:val="none"/>
          <w:lang w:val="en-US" w:eastAsia="zh-CN"/>
        </w:rPr>
        <w:t>万元，较上年</w:t>
      </w:r>
      <w:r>
        <w:rPr>
          <w:rFonts w:hint="eastAsia" w:ascii="Times New Roman" w:hAnsi="Times New Roman" w:eastAsia="仿宋_GB2312" w:cs="Times New Roman"/>
          <w:b w:val="0"/>
          <w:bCs w:val="0"/>
          <w:sz w:val="32"/>
          <w:szCs w:val="32"/>
          <w:highlight w:val="none"/>
          <w:lang w:val="en-US" w:eastAsia="zh-CN"/>
        </w:rPr>
        <w:t>增长</w:t>
      </w:r>
      <w:r>
        <w:rPr>
          <w:rFonts w:hint="eastAsia" w:ascii="Times New Roman" w:hAnsi="Times New Roman" w:eastAsia="方正仿宋_GBK" w:cs="Times New Roman"/>
          <w:b w:val="0"/>
          <w:bCs w:val="0"/>
          <w:color w:val="auto"/>
          <w:sz w:val="32"/>
          <w:szCs w:val="32"/>
          <w:highlight w:val="none"/>
          <w:lang w:val="en-US" w:eastAsia="zh-CN"/>
        </w:rPr>
        <w:t>19%，</w:t>
      </w:r>
      <w:r>
        <w:rPr>
          <w:rFonts w:hint="default" w:ascii="Times New Roman" w:hAnsi="Times New Roman" w:eastAsia="方正仿宋_GBK" w:cs="Times New Roman"/>
          <w:b w:val="0"/>
          <w:bCs w:val="0"/>
          <w:color w:val="auto"/>
          <w:sz w:val="32"/>
          <w:szCs w:val="32"/>
          <w:highlight w:val="none"/>
          <w:lang w:val="en-US" w:eastAsia="zh-CN"/>
        </w:rPr>
        <w:t>支</w:t>
      </w:r>
      <w:r>
        <w:rPr>
          <w:rFonts w:hint="default" w:ascii="Times New Roman" w:hAnsi="Times New Roman" w:eastAsia="方正仿宋_GBK" w:cs="Times New Roman"/>
          <w:b w:val="0"/>
          <w:bCs w:val="0"/>
          <w:color w:val="auto"/>
          <w:sz w:val="32"/>
          <w:szCs w:val="32"/>
          <w:lang w:val="en-US" w:eastAsia="zh-CN"/>
        </w:rPr>
        <w:t>出变动原因是：</w:t>
      </w:r>
      <w:r>
        <w:rPr>
          <w:rFonts w:hint="default" w:ascii="Times New Roman" w:hAnsi="Times New Roman" w:eastAsia="方正仿宋_GBK" w:cs="Times New Roman"/>
          <w:b w:val="0"/>
          <w:bCs w:val="0"/>
          <w:color w:val="auto"/>
          <w:sz w:val="32"/>
          <w:szCs w:val="32"/>
          <w:lang w:val="en" w:eastAsia="zh-CN"/>
        </w:rPr>
        <w:t>2025</w:t>
      </w:r>
      <w:r>
        <w:rPr>
          <w:rFonts w:hint="eastAsia" w:ascii="Times New Roman" w:hAnsi="Times New Roman" w:eastAsia="方正仿宋_GBK" w:cs="Times New Roman"/>
          <w:b w:val="0"/>
          <w:bCs w:val="0"/>
          <w:color w:val="auto"/>
          <w:sz w:val="32"/>
          <w:szCs w:val="32"/>
          <w:lang w:val="en" w:eastAsia="zh-CN"/>
        </w:rPr>
        <w:t>年新购进</w:t>
      </w:r>
      <w:r>
        <w:rPr>
          <w:rFonts w:hint="default" w:ascii="Times New Roman" w:hAnsi="Times New Roman" w:eastAsia="方正仿宋_GBK" w:cs="Times New Roman"/>
          <w:b w:val="0"/>
          <w:bCs w:val="0"/>
          <w:color w:val="auto"/>
          <w:sz w:val="32"/>
          <w:szCs w:val="32"/>
          <w:lang w:val="en" w:eastAsia="zh-CN"/>
        </w:rPr>
        <w:t>LED</w:t>
      </w:r>
      <w:r>
        <w:rPr>
          <w:rFonts w:hint="eastAsia" w:ascii="Times New Roman" w:hAnsi="Times New Roman" w:eastAsia="方正仿宋_GBK" w:cs="Times New Roman"/>
          <w:b w:val="0"/>
          <w:bCs w:val="0"/>
          <w:color w:val="auto"/>
          <w:sz w:val="32"/>
          <w:szCs w:val="32"/>
          <w:lang w:val="en" w:eastAsia="zh-CN"/>
        </w:rPr>
        <w:t>显示屏和碎纸机等货物，导致支出增加</w:t>
      </w:r>
      <w:r>
        <w:rPr>
          <w:rFonts w:hint="default" w:ascii="Times New Roman" w:hAnsi="Times New Roman" w:eastAsia="方正仿宋_GBK" w:cs="Times New Roman"/>
          <w:b w:val="0"/>
          <w:bCs w:val="0"/>
          <w:sz w:val="32"/>
          <w:szCs w:val="32"/>
          <w:highlight w:val="none"/>
          <w:lang w:val="en-US" w:eastAsia="zh-CN"/>
        </w:rPr>
        <w:t>；对个人和家庭的补助1</w:t>
      </w:r>
      <w:r>
        <w:rPr>
          <w:rFonts w:hint="default" w:ascii="Times New Roman" w:hAnsi="Times New Roman" w:eastAsia="方正仿宋_GBK" w:cs="Times New Roman"/>
          <w:b w:val="0"/>
          <w:bCs w:val="0"/>
          <w:sz w:val="32"/>
          <w:szCs w:val="32"/>
          <w:highlight w:val="none"/>
          <w:lang w:val="en" w:eastAsia="zh-CN"/>
        </w:rPr>
        <w:t>18</w:t>
      </w:r>
      <w:r>
        <w:rPr>
          <w:rFonts w:hint="default" w:ascii="Times New Roman" w:hAnsi="Times New Roman" w:eastAsia="方正仿宋_GBK" w:cs="Times New Roman"/>
          <w:b w:val="0"/>
          <w:bCs w:val="0"/>
          <w:sz w:val="32"/>
          <w:szCs w:val="32"/>
          <w:highlight w:val="none"/>
          <w:lang w:val="en-US" w:eastAsia="zh-CN"/>
        </w:rPr>
        <w:t>.</w:t>
      </w:r>
      <w:r>
        <w:rPr>
          <w:rFonts w:hint="default" w:ascii="Times New Roman" w:hAnsi="Times New Roman" w:eastAsia="方正仿宋_GBK" w:cs="Times New Roman"/>
          <w:b w:val="0"/>
          <w:bCs w:val="0"/>
          <w:sz w:val="32"/>
          <w:szCs w:val="32"/>
          <w:highlight w:val="none"/>
          <w:lang w:val="en" w:eastAsia="zh-CN"/>
        </w:rPr>
        <w:t>87</w:t>
      </w:r>
      <w:r>
        <w:rPr>
          <w:rFonts w:hint="default" w:ascii="Times New Roman" w:hAnsi="Times New Roman" w:eastAsia="方正仿宋_GBK" w:cs="Times New Roman"/>
          <w:b w:val="0"/>
          <w:bCs w:val="0"/>
          <w:sz w:val="32"/>
          <w:szCs w:val="32"/>
          <w:highlight w:val="none"/>
          <w:lang w:val="en-US" w:eastAsia="zh-CN"/>
        </w:rPr>
        <w:t>万元，较上年</w:t>
      </w:r>
      <w:r>
        <w:rPr>
          <w:rFonts w:hint="eastAsia" w:ascii="Times New Roman" w:hAnsi="Times New Roman" w:eastAsia="仿宋_GB2312" w:cs="Times New Roman"/>
          <w:b w:val="0"/>
          <w:bCs w:val="0"/>
          <w:sz w:val="32"/>
          <w:szCs w:val="32"/>
          <w:highlight w:val="none"/>
          <w:lang w:val="en-US" w:eastAsia="zh-CN"/>
        </w:rPr>
        <w:t>下</w:t>
      </w:r>
      <w:r>
        <w:rPr>
          <w:rFonts w:hint="eastAsia" w:ascii="Times New Roman" w:hAnsi="Times New Roman" w:eastAsia="方正仿宋_GBK" w:cs="Times New Roman"/>
          <w:b w:val="0"/>
          <w:bCs w:val="0"/>
          <w:color w:val="auto"/>
          <w:sz w:val="32"/>
          <w:szCs w:val="32"/>
          <w:highlight w:val="none"/>
          <w:lang w:val="en-US" w:eastAsia="zh-CN"/>
        </w:rPr>
        <w:t>降7%</w:t>
      </w:r>
      <w:r>
        <w:rPr>
          <w:rFonts w:hint="default" w:ascii="Times New Roman" w:hAnsi="Times New Roman" w:eastAsia="方正仿宋_GBK" w:cs="Times New Roman"/>
          <w:b w:val="0"/>
          <w:bCs w:val="0"/>
          <w:color w:val="auto"/>
          <w:sz w:val="32"/>
          <w:szCs w:val="32"/>
          <w:highlight w:val="none"/>
          <w:lang w:val="en-US" w:eastAsia="zh-CN"/>
        </w:rPr>
        <w:t>；资</w:t>
      </w:r>
      <w:r>
        <w:rPr>
          <w:rFonts w:hint="default" w:ascii="Times New Roman" w:hAnsi="Times New Roman" w:eastAsia="方正仿宋_GBK" w:cs="Times New Roman"/>
          <w:b w:val="0"/>
          <w:bCs w:val="0"/>
          <w:sz w:val="32"/>
          <w:szCs w:val="32"/>
          <w:highlight w:val="none"/>
          <w:lang w:val="en-US" w:eastAsia="zh-CN"/>
        </w:rPr>
        <w:t>本性支出</w:t>
      </w:r>
      <w:r>
        <w:rPr>
          <w:rFonts w:hint="default" w:ascii="Times New Roman" w:hAnsi="Times New Roman" w:eastAsia="方正仿宋_GBK" w:cs="Times New Roman"/>
          <w:b w:val="0"/>
          <w:bCs w:val="0"/>
          <w:sz w:val="32"/>
          <w:szCs w:val="32"/>
          <w:highlight w:val="none"/>
          <w:lang w:val="en" w:eastAsia="zh-CN"/>
        </w:rPr>
        <w:t>166</w:t>
      </w:r>
      <w:r>
        <w:rPr>
          <w:rFonts w:hint="default" w:ascii="Times New Roman" w:hAnsi="Times New Roman" w:eastAsia="方正仿宋_GBK" w:cs="Times New Roman"/>
          <w:b w:val="0"/>
          <w:bCs w:val="0"/>
          <w:sz w:val="32"/>
          <w:szCs w:val="32"/>
          <w:highlight w:val="none"/>
          <w:lang w:val="en-US" w:eastAsia="zh-CN"/>
        </w:rPr>
        <w:t>.</w:t>
      </w:r>
      <w:r>
        <w:rPr>
          <w:rFonts w:hint="default" w:ascii="Times New Roman" w:hAnsi="Times New Roman" w:eastAsia="方正仿宋_GBK" w:cs="Times New Roman"/>
          <w:b w:val="0"/>
          <w:bCs w:val="0"/>
          <w:sz w:val="32"/>
          <w:szCs w:val="32"/>
          <w:highlight w:val="none"/>
          <w:lang w:val="en" w:eastAsia="zh-CN"/>
        </w:rPr>
        <w:t>86</w:t>
      </w:r>
      <w:r>
        <w:rPr>
          <w:rFonts w:hint="default" w:ascii="Times New Roman" w:hAnsi="Times New Roman" w:eastAsia="方正仿宋_GBK" w:cs="Times New Roman"/>
          <w:b w:val="0"/>
          <w:bCs w:val="0"/>
          <w:sz w:val="32"/>
          <w:szCs w:val="32"/>
          <w:highlight w:val="none"/>
          <w:lang w:val="en-US" w:eastAsia="zh-CN"/>
        </w:rPr>
        <w:t>万元，较上年</w:t>
      </w:r>
      <w:r>
        <w:rPr>
          <w:rFonts w:hint="eastAsia" w:ascii="Times New Roman" w:hAnsi="Times New Roman" w:eastAsia="仿宋_GB2312" w:cs="Times New Roman"/>
          <w:b w:val="0"/>
          <w:bCs w:val="0"/>
          <w:sz w:val="32"/>
          <w:szCs w:val="32"/>
          <w:highlight w:val="none"/>
          <w:lang w:val="en-US" w:eastAsia="zh-CN"/>
        </w:rPr>
        <w:t>增长</w:t>
      </w:r>
      <w:r>
        <w:rPr>
          <w:rFonts w:hint="eastAsia" w:ascii="Times New Roman" w:hAnsi="Times New Roman" w:eastAsia="方正仿宋_GBK" w:cs="Times New Roman"/>
          <w:b w:val="0"/>
          <w:bCs w:val="0"/>
          <w:sz w:val="32"/>
          <w:szCs w:val="32"/>
          <w:highlight w:val="none"/>
          <w:lang w:val="en-US" w:eastAsia="zh-CN"/>
        </w:rPr>
        <w:t>107%</w:t>
      </w:r>
      <w:r>
        <w:rPr>
          <w:rFonts w:hint="eastAsia" w:ascii="Times New Roman" w:hAnsi="Times New Roman" w:eastAsia="仿宋_GB2312" w:cs="Times New Roman"/>
          <w:b w:val="0"/>
          <w:bCs w:val="0"/>
          <w:sz w:val="32"/>
          <w:szCs w:val="32"/>
          <w:highlight w:val="none"/>
          <w:lang w:val="en-US" w:eastAsia="zh-CN"/>
        </w:rPr>
        <w:t>，</w:t>
      </w:r>
      <w:r>
        <w:rPr>
          <w:rFonts w:hint="default" w:ascii="Times New Roman" w:hAnsi="Times New Roman" w:eastAsia="方正仿宋_GBK" w:cs="Times New Roman"/>
          <w:b w:val="0"/>
          <w:bCs w:val="0"/>
          <w:color w:val="auto"/>
          <w:sz w:val="32"/>
          <w:szCs w:val="32"/>
          <w:lang w:val="en-US" w:eastAsia="zh-CN"/>
        </w:rPr>
        <w:t>支出变动原因是：</w:t>
      </w:r>
      <w:r>
        <w:rPr>
          <w:rFonts w:hint="default" w:ascii="Times New Roman" w:hAnsi="Times New Roman" w:eastAsia="方正仿宋_GBK" w:cs="Times New Roman"/>
          <w:b w:val="0"/>
          <w:bCs w:val="0"/>
          <w:color w:val="auto"/>
          <w:sz w:val="32"/>
          <w:szCs w:val="32"/>
          <w:lang w:val="en" w:eastAsia="zh-CN"/>
        </w:rPr>
        <w:t>2025</w:t>
      </w:r>
      <w:r>
        <w:rPr>
          <w:rFonts w:hint="eastAsia" w:ascii="Times New Roman" w:hAnsi="Times New Roman" w:eastAsia="方正仿宋_GBK" w:cs="Times New Roman"/>
          <w:b w:val="0"/>
          <w:bCs w:val="0"/>
          <w:color w:val="auto"/>
          <w:sz w:val="32"/>
          <w:szCs w:val="32"/>
          <w:lang w:val="en" w:eastAsia="zh-CN"/>
        </w:rPr>
        <w:t>年政府采购了公益诉讼检测实验室和电子数据实验室建设项目</w:t>
      </w:r>
      <w:r>
        <w:rPr>
          <w:rFonts w:hint="default" w:ascii="Times New Roman" w:hAnsi="Times New Roman" w:eastAsia="方正仿宋_GBK" w:cs="Times New Roman"/>
          <w:b w:val="0"/>
          <w:bCs w:val="0"/>
          <w:sz w:val="32"/>
          <w:szCs w:val="32"/>
          <w:highlight w:val="none"/>
          <w:lang w:val="en-US" w:eastAsia="zh-CN"/>
        </w:rPr>
        <w:t>。</w:t>
      </w:r>
    </w:p>
    <w:p w14:paraId="0B27CE4D">
      <w:pPr>
        <w:keepNext w:val="0"/>
        <w:keepLines w:val="0"/>
        <w:pageBreakBefore w:val="0"/>
        <w:widowControl w:val="0"/>
        <w:numPr>
          <w:ilvl w:val="0"/>
          <w:numId w:val="0"/>
        </w:numPr>
        <w:kinsoku/>
        <w:wordWrap/>
        <w:overflowPunct w:val="0"/>
        <w:topLinePunct w:val="0"/>
        <w:autoSpaceDE/>
        <w:autoSpaceDN/>
        <w:bidi w:val="0"/>
        <w:adjustRightInd w:val="0"/>
        <w:snapToGrid w:val="0"/>
        <w:spacing w:line="552" w:lineRule="exact"/>
        <w:ind w:leftChars="200"/>
        <w:contextualSpacing/>
        <w:jc w:val="left"/>
        <w:textAlignment w:val="auto"/>
        <w:outlineLvl w:val="9"/>
        <w:rPr>
          <w:rFonts w:hint="default" w:ascii="Times New Roman" w:hAnsi="Times New Roman" w:cs="Times New Roman"/>
          <w:b w:val="0"/>
          <w:bCs w:val="0"/>
          <w:color w:val="auto"/>
          <w:lang w:val="en-US" w:eastAsia="zh-CN"/>
        </w:rPr>
      </w:pPr>
      <w:r>
        <w:rPr>
          <w:rFonts w:hint="eastAsia" w:ascii="Times New Roman" w:hAnsi="Times New Roman" w:eastAsia="方正楷体_GBK" w:cs="Times New Roman"/>
          <w:b w:val="0"/>
          <w:bCs w:val="0"/>
          <w:color w:val="auto"/>
          <w:kern w:val="0"/>
          <w:sz w:val="32"/>
          <w:szCs w:val="32"/>
          <w:shd w:val="clear" w:color="auto" w:fill="FFFFFF"/>
          <w:lang w:val="zh-CN" w:eastAsia="zh-CN"/>
        </w:rPr>
        <w:t>（三）</w:t>
      </w:r>
      <w:r>
        <w:rPr>
          <w:rFonts w:hint="default" w:ascii="Times New Roman" w:hAnsi="Times New Roman" w:eastAsia="方正楷体_GBK" w:cs="Times New Roman"/>
          <w:b w:val="0"/>
          <w:bCs w:val="0"/>
          <w:color w:val="auto"/>
          <w:kern w:val="0"/>
          <w:sz w:val="32"/>
          <w:szCs w:val="32"/>
          <w:shd w:val="clear" w:color="auto" w:fill="FFFFFF"/>
          <w:lang w:val="zh-CN" w:eastAsia="zh-CN"/>
        </w:rPr>
        <w:t>结余分配和结转结余情况</w:t>
      </w:r>
    </w:p>
    <w:p w14:paraId="772C8B3F">
      <w:pPr>
        <w:keepNext w:val="0"/>
        <w:keepLines w:val="0"/>
        <w:pageBreakBefore w:val="0"/>
        <w:widowControl w:val="0"/>
        <w:numPr>
          <w:ilvl w:val="0"/>
          <w:numId w:val="0"/>
        </w:numPr>
        <w:kinsoku/>
        <w:wordWrap/>
        <w:overflowPunct w:val="0"/>
        <w:topLinePunct w:val="0"/>
        <w:autoSpaceDE/>
        <w:autoSpaceDN/>
        <w:bidi w:val="0"/>
        <w:adjustRightInd w:val="0"/>
        <w:snapToGrid w:val="0"/>
        <w:spacing w:line="552" w:lineRule="exact"/>
        <w:ind w:firstLine="640" w:firstLineChars="200"/>
        <w:contextualSpacing/>
        <w:jc w:val="left"/>
        <w:textAlignment w:val="auto"/>
        <w:outlineLvl w:val="9"/>
        <w:rPr>
          <w:rFonts w:hint="default" w:ascii="Times New Roman" w:hAnsi="Times New Roman" w:cs="Times New Roman"/>
          <w:highlight w:val="none"/>
          <w:lang w:val="en-US" w:eastAsia="zh-CN"/>
        </w:rPr>
      </w:pPr>
      <w:r>
        <w:rPr>
          <w:rFonts w:hint="default" w:ascii="Times New Roman" w:hAnsi="Times New Roman" w:eastAsia="方正仿宋_GBK" w:cs="Times New Roman"/>
          <w:b w:val="0"/>
          <w:bCs w:val="0"/>
          <w:color w:val="auto"/>
          <w:sz w:val="32"/>
          <w:szCs w:val="32"/>
          <w:highlight w:val="none"/>
          <w:lang w:val="en-US" w:eastAsia="zh-CN"/>
        </w:rPr>
        <w:t>202</w:t>
      </w:r>
      <w:r>
        <w:rPr>
          <w:rFonts w:hint="default" w:ascii="Times New Roman" w:hAnsi="Times New Roman" w:eastAsia="方正仿宋_GBK" w:cs="Times New Roman"/>
          <w:b w:val="0"/>
          <w:bCs w:val="0"/>
          <w:color w:val="auto"/>
          <w:sz w:val="32"/>
          <w:szCs w:val="32"/>
          <w:highlight w:val="none"/>
          <w:lang w:val="en" w:eastAsia="zh-CN"/>
        </w:rPr>
        <w:t>5</w:t>
      </w:r>
      <w:r>
        <w:rPr>
          <w:rFonts w:hint="default" w:ascii="Times New Roman" w:hAnsi="Times New Roman" w:eastAsia="方正仿宋_GBK" w:cs="Times New Roman"/>
          <w:b w:val="0"/>
          <w:bCs w:val="0"/>
          <w:color w:val="auto"/>
          <w:sz w:val="32"/>
          <w:szCs w:val="32"/>
          <w:highlight w:val="none"/>
          <w:lang w:val="en-US" w:eastAsia="zh-CN"/>
        </w:rPr>
        <w:t>年巴中市检察院</w:t>
      </w:r>
      <w:r>
        <w:rPr>
          <w:rFonts w:hint="eastAsia" w:cs="Times New Roman"/>
          <w:b w:val="0"/>
          <w:bCs w:val="0"/>
          <w:color w:val="auto"/>
          <w:sz w:val="32"/>
          <w:szCs w:val="32"/>
          <w:highlight w:val="none"/>
          <w:lang w:val="en-US" w:eastAsia="zh-CN"/>
        </w:rPr>
        <w:t>无</w:t>
      </w:r>
      <w:r>
        <w:rPr>
          <w:rFonts w:hint="default" w:ascii="Times New Roman" w:hAnsi="Times New Roman" w:eastAsia="方正仿宋_GBK" w:cs="Times New Roman"/>
          <w:b w:val="0"/>
          <w:bCs w:val="0"/>
          <w:color w:val="auto"/>
          <w:sz w:val="32"/>
          <w:szCs w:val="32"/>
          <w:highlight w:val="none"/>
          <w:lang w:val="en-US" w:eastAsia="zh-CN"/>
        </w:rPr>
        <w:t>结转</w:t>
      </w:r>
      <w:r>
        <w:rPr>
          <w:rFonts w:hint="eastAsia" w:cs="Times New Roman"/>
          <w:highlight w:val="none"/>
          <w:lang w:val="en-US" w:eastAsia="zh-CN"/>
        </w:rPr>
        <w:t>、</w:t>
      </w:r>
      <w:r>
        <w:rPr>
          <w:rFonts w:hint="eastAsia" w:ascii="Times New Roman" w:hAnsi="Times New Roman" w:cs="Times New Roman"/>
          <w:highlight w:val="none"/>
          <w:lang w:val="en-US" w:eastAsia="zh-CN"/>
        </w:rPr>
        <w:t>结余资金</w:t>
      </w:r>
      <w:r>
        <w:rPr>
          <w:rFonts w:hint="default" w:ascii="Times New Roman" w:hAnsi="Times New Roman" w:cs="Times New Roman"/>
          <w:highlight w:val="none"/>
          <w:lang w:val="en-US" w:eastAsia="zh-CN"/>
        </w:rPr>
        <w:t>。</w:t>
      </w:r>
    </w:p>
    <w:p w14:paraId="44C520F0">
      <w:pPr>
        <w:keepNext w:val="0"/>
        <w:keepLines w:val="0"/>
        <w:pageBreakBefore w:val="0"/>
        <w:widowControl w:val="0"/>
        <w:kinsoku/>
        <w:wordWrap/>
        <w:overflowPunct w:val="0"/>
        <w:topLinePunct w:val="0"/>
        <w:autoSpaceDE/>
        <w:autoSpaceDN/>
        <w:bidi w:val="0"/>
        <w:adjustRightInd w:val="0"/>
        <w:snapToGrid w:val="0"/>
        <w:spacing w:line="552" w:lineRule="exact"/>
        <w:ind w:firstLine="640" w:firstLineChars="200"/>
        <w:contextualSpacing/>
        <w:jc w:val="left"/>
        <w:textAlignment w:val="auto"/>
        <w:rPr>
          <w:rFonts w:hint="default" w:ascii="Times New Roman" w:hAnsi="Times New Roman" w:eastAsia="方正黑体_GBK" w:cs="Times New Roman"/>
          <w:b w:val="0"/>
          <w:bCs w:val="0"/>
          <w:i w:val="0"/>
          <w:iCs w:val="0"/>
          <w:color w:val="000000"/>
          <w:kern w:val="0"/>
          <w:sz w:val="32"/>
          <w:szCs w:val="32"/>
          <w:highlight w:val="none"/>
          <w:shd w:val="clear" w:color="auto" w:fill="FFFFFF"/>
        </w:rPr>
      </w:pPr>
      <w:r>
        <w:rPr>
          <w:rFonts w:hint="default" w:ascii="Times New Roman" w:hAnsi="Times New Roman" w:eastAsia="方正黑体_GBK" w:cs="Times New Roman"/>
          <w:b w:val="0"/>
          <w:bCs w:val="0"/>
          <w:i w:val="0"/>
          <w:iCs w:val="0"/>
          <w:color w:val="000000"/>
          <w:kern w:val="0"/>
          <w:sz w:val="32"/>
          <w:szCs w:val="32"/>
          <w:highlight w:val="none"/>
          <w:shd w:val="clear" w:color="auto" w:fill="FFFFFF"/>
        </w:rPr>
        <w:t>三、部门</w:t>
      </w:r>
      <w:r>
        <w:rPr>
          <w:rFonts w:hint="default" w:ascii="Times New Roman" w:hAnsi="Times New Roman" w:eastAsia="方正黑体_GBK" w:cs="Times New Roman"/>
          <w:b w:val="0"/>
          <w:bCs w:val="0"/>
          <w:i w:val="0"/>
          <w:iCs w:val="0"/>
          <w:color w:val="000000"/>
          <w:kern w:val="0"/>
          <w:sz w:val="32"/>
          <w:szCs w:val="32"/>
          <w:highlight w:val="none"/>
          <w:shd w:val="clear" w:color="auto" w:fill="FFFFFF"/>
          <w:lang w:eastAsia="zh-CN"/>
        </w:rPr>
        <w:t>预算</w:t>
      </w:r>
      <w:r>
        <w:rPr>
          <w:rFonts w:hint="default" w:ascii="Times New Roman" w:hAnsi="Times New Roman" w:eastAsia="方正黑体_GBK" w:cs="Times New Roman"/>
          <w:b w:val="0"/>
          <w:bCs w:val="0"/>
          <w:i w:val="0"/>
          <w:iCs w:val="0"/>
          <w:color w:val="000000"/>
          <w:kern w:val="0"/>
          <w:sz w:val="32"/>
          <w:szCs w:val="32"/>
          <w:highlight w:val="none"/>
          <w:shd w:val="clear" w:color="auto" w:fill="FFFFFF"/>
        </w:rPr>
        <w:t>绩效</w:t>
      </w:r>
      <w:r>
        <w:rPr>
          <w:rFonts w:hint="default" w:ascii="Times New Roman" w:hAnsi="Times New Roman" w:eastAsia="方正黑体_GBK" w:cs="Times New Roman"/>
          <w:b w:val="0"/>
          <w:bCs w:val="0"/>
          <w:i w:val="0"/>
          <w:iCs w:val="0"/>
          <w:color w:val="000000"/>
          <w:kern w:val="0"/>
          <w:sz w:val="32"/>
          <w:szCs w:val="32"/>
          <w:highlight w:val="none"/>
          <w:shd w:val="clear" w:color="auto" w:fill="FFFFFF"/>
          <w:lang w:eastAsia="zh-CN"/>
        </w:rPr>
        <w:t>分析</w:t>
      </w:r>
    </w:p>
    <w:p w14:paraId="2EFDF396">
      <w:pPr>
        <w:keepNext w:val="0"/>
        <w:keepLines w:val="0"/>
        <w:pageBreakBefore w:val="0"/>
        <w:widowControl w:val="0"/>
        <w:kinsoku/>
        <w:wordWrap/>
        <w:overflowPunct w:val="0"/>
        <w:topLinePunct w:val="0"/>
        <w:autoSpaceDE/>
        <w:autoSpaceDN/>
        <w:bidi w:val="0"/>
        <w:adjustRightInd w:val="0"/>
        <w:snapToGrid w:val="0"/>
        <w:spacing w:line="552" w:lineRule="exact"/>
        <w:ind w:left="0" w:firstLine="640" w:firstLineChars="200"/>
        <w:contextualSpacing/>
        <w:jc w:val="left"/>
        <w:textAlignment w:val="auto"/>
        <w:outlineLvl w:val="9"/>
        <w:rPr>
          <w:rFonts w:hint="default" w:ascii="Times New Roman" w:hAnsi="Times New Roman" w:eastAsia="方正仿宋_GBK" w:cs="Times New Roman"/>
          <w:b w:val="0"/>
          <w:bCs w:val="0"/>
          <w:i w:val="0"/>
          <w:iCs w:val="0"/>
          <w:color w:val="000000"/>
          <w:kern w:val="0"/>
          <w:sz w:val="32"/>
          <w:szCs w:val="32"/>
          <w:highlight w:val="none"/>
          <w:shd w:val="clear" w:color="auto" w:fill="FFFFFF"/>
          <w:lang w:val="zh-CN" w:eastAsia="zh-CN"/>
        </w:rPr>
      </w:pPr>
      <w:r>
        <w:rPr>
          <w:rFonts w:hint="default" w:ascii="Times New Roman" w:hAnsi="Times New Roman" w:eastAsia="方正楷体_GBK" w:cs="Times New Roman"/>
          <w:b w:val="0"/>
          <w:bCs w:val="0"/>
          <w:i w:val="0"/>
          <w:iCs w:val="0"/>
          <w:color w:val="000000"/>
          <w:kern w:val="0"/>
          <w:sz w:val="32"/>
          <w:szCs w:val="32"/>
          <w:highlight w:val="none"/>
          <w:shd w:val="clear" w:color="auto" w:fill="FFFFFF"/>
          <w:lang w:val="zh-CN" w:eastAsia="zh-CN"/>
        </w:rPr>
        <w:t>（一）部门预算总体绩效分析</w:t>
      </w:r>
    </w:p>
    <w:p w14:paraId="34B87097">
      <w:pPr>
        <w:keepNext w:val="0"/>
        <w:keepLines w:val="0"/>
        <w:pageBreakBefore w:val="0"/>
        <w:widowControl w:val="0"/>
        <w:numPr>
          <w:ilvl w:val="0"/>
          <w:numId w:val="0"/>
        </w:numPr>
        <w:kinsoku/>
        <w:wordWrap/>
        <w:overflowPunct w:val="0"/>
        <w:topLinePunct w:val="0"/>
        <w:autoSpaceDE/>
        <w:autoSpaceDN/>
        <w:bidi w:val="0"/>
        <w:adjustRightInd w:val="0"/>
        <w:snapToGrid w:val="0"/>
        <w:spacing w:line="552" w:lineRule="exact"/>
        <w:ind w:leftChars="200"/>
        <w:contextualSpacing/>
        <w:jc w:val="left"/>
        <w:textAlignment w:val="auto"/>
        <w:rPr>
          <w:rFonts w:hint="default" w:ascii="Times New Roman" w:hAnsi="Times New Roman" w:eastAsia="方正仿宋_GBK" w:cs="Times New Roman"/>
          <w:b w:val="0"/>
          <w:bCs w:val="0"/>
          <w:i w:val="0"/>
          <w:iCs w:val="0"/>
          <w:color w:val="000000"/>
          <w:kern w:val="0"/>
          <w:sz w:val="32"/>
          <w:szCs w:val="32"/>
          <w:highlight w:val="none"/>
          <w:shd w:val="clear" w:color="auto" w:fill="FFFFFF"/>
          <w:lang w:val="zh-CN" w:eastAsia="zh-CN"/>
        </w:rPr>
      </w:pPr>
      <w:r>
        <w:rPr>
          <w:rFonts w:hint="default" w:ascii="Times New Roman" w:hAnsi="Times New Roman" w:eastAsia="方正仿宋_GBK" w:cs="Times New Roman"/>
          <w:b w:val="0"/>
          <w:bCs w:val="0"/>
          <w:i w:val="0"/>
          <w:iCs w:val="0"/>
          <w:color w:val="000000"/>
          <w:kern w:val="0"/>
          <w:sz w:val="32"/>
          <w:szCs w:val="32"/>
          <w:highlight w:val="none"/>
          <w:shd w:val="clear" w:color="auto" w:fill="FFFFFF"/>
          <w:lang w:val="zh-CN" w:eastAsia="zh-CN"/>
        </w:rPr>
        <w:t>1.履职效能</w:t>
      </w:r>
    </w:p>
    <w:p w14:paraId="4ECF66BC">
      <w:pPr>
        <w:keepNext w:val="0"/>
        <w:keepLines w:val="0"/>
        <w:pageBreakBefore w:val="0"/>
        <w:widowControl w:val="0"/>
        <w:kinsoku/>
        <w:wordWrap/>
        <w:overflowPunct w:val="0"/>
        <w:topLinePunct w:val="0"/>
        <w:autoSpaceDE/>
        <w:autoSpaceDN/>
        <w:bidi w:val="0"/>
        <w:adjustRightInd w:val="0"/>
        <w:snapToGrid w:val="0"/>
        <w:spacing w:line="552" w:lineRule="exact"/>
        <w:ind w:left="0" w:firstLine="640" w:firstLineChars="200"/>
        <w:contextualSpacing/>
        <w:jc w:val="both"/>
        <w:textAlignment w:val="auto"/>
        <w:rPr>
          <w:rFonts w:hint="default" w:ascii="Times New Roman" w:hAnsi="Times New Roman" w:eastAsia="方正仿宋_GBK" w:cs="Times New Roman"/>
          <w:b w:val="0"/>
          <w:bCs w:val="0"/>
          <w:i w:val="0"/>
          <w:iCs w:val="0"/>
          <w:color w:val="auto"/>
          <w:kern w:val="0"/>
          <w:sz w:val="32"/>
          <w:szCs w:val="32"/>
          <w:highlight w:val="none"/>
          <w:shd w:val="clear" w:color="auto" w:fill="FFFFFF"/>
          <w:lang w:val="en-US" w:eastAsia="zh-CN"/>
        </w:rPr>
      </w:pPr>
      <w:r>
        <w:rPr>
          <w:rFonts w:hint="default" w:ascii="Times New Roman" w:hAnsi="Times New Roman" w:eastAsia="方正仿宋_GBK" w:cs="Times New Roman"/>
          <w:b w:val="0"/>
          <w:bCs w:val="0"/>
          <w:i w:val="0"/>
          <w:iCs w:val="0"/>
          <w:color w:val="auto"/>
          <w:kern w:val="0"/>
          <w:sz w:val="32"/>
          <w:szCs w:val="32"/>
          <w:highlight w:val="none"/>
          <w:shd w:val="clear" w:color="auto" w:fill="FFFFFF"/>
          <w:lang w:val="en-US" w:eastAsia="zh-CN"/>
        </w:rPr>
        <w:t>巴中市人民检察院履行职能</w:t>
      </w:r>
      <w:r>
        <w:rPr>
          <w:rFonts w:hint="eastAsia" w:ascii="Times New Roman" w:hAnsi="Times New Roman" w:eastAsia="方正仿宋_GBK" w:cs="Times New Roman"/>
          <w:b w:val="0"/>
          <w:bCs w:val="0"/>
          <w:i w:val="0"/>
          <w:iCs w:val="0"/>
          <w:color w:val="auto"/>
          <w:kern w:val="0"/>
          <w:sz w:val="32"/>
          <w:szCs w:val="32"/>
          <w:highlight w:val="none"/>
          <w:shd w:val="clear" w:color="auto" w:fill="FFFFFF"/>
          <w:lang w:val="en-US" w:eastAsia="zh-CN"/>
        </w:rPr>
        <w:t>包括</w:t>
      </w:r>
      <w:r>
        <w:rPr>
          <w:rFonts w:hint="default" w:ascii="Times New Roman" w:hAnsi="Times New Roman" w:eastAsia="方正仿宋_GBK" w:cs="Times New Roman"/>
          <w:b w:val="0"/>
          <w:bCs w:val="0"/>
          <w:i w:val="0"/>
          <w:iCs w:val="0"/>
          <w:color w:val="auto"/>
          <w:kern w:val="0"/>
          <w:sz w:val="32"/>
          <w:szCs w:val="32"/>
          <w:highlight w:val="none"/>
          <w:shd w:val="clear" w:color="auto" w:fill="FFFFFF"/>
          <w:lang w:val="zh-CN" w:eastAsia="zh-CN" w:bidi="ar-SA"/>
        </w:rPr>
        <w:t>办理群众信访数履职效果</w:t>
      </w:r>
      <w:r>
        <w:rPr>
          <w:rFonts w:hint="default" w:ascii="Times New Roman" w:hAnsi="Times New Roman" w:eastAsia="方正仿宋_GBK" w:cs="Times New Roman"/>
          <w:b w:val="0"/>
          <w:bCs w:val="0"/>
          <w:i w:val="0"/>
          <w:iCs w:val="0"/>
          <w:color w:val="auto"/>
          <w:kern w:val="0"/>
          <w:sz w:val="32"/>
          <w:szCs w:val="32"/>
          <w:highlight w:val="none"/>
          <w:shd w:val="clear" w:color="auto" w:fill="FFFFFF"/>
          <w:lang w:val="en-US" w:eastAsia="zh-CN" w:bidi="ar-SA"/>
        </w:rPr>
        <w:t>职能、</w:t>
      </w:r>
      <w:r>
        <w:rPr>
          <w:rFonts w:hint="default" w:ascii="Times New Roman" w:hAnsi="Times New Roman" w:eastAsia="方正仿宋_GBK" w:cs="Times New Roman"/>
          <w:b w:val="0"/>
          <w:bCs w:val="0"/>
          <w:i w:val="0"/>
          <w:iCs w:val="0"/>
          <w:color w:val="auto"/>
          <w:kern w:val="0"/>
          <w:sz w:val="32"/>
          <w:szCs w:val="32"/>
          <w:highlight w:val="none"/>
          <w:shd w:val="clear" w:color="auto" w:fill="FFFFFF"/>
          <w:lang w:val="zh-CN" w:eastAsia="zh-CN" w:bidi="ar-SA"/>
        </w:rPr>
        <w:t>立案办理公益诉讼案件数</w:t>
      </w:r>
      <w:r>
        <w:rPr>
          <w:rFonts w:hint="default" w:ascii="Times New Roman" w:hAnsi="Times New Roman" w:eastAsia="方正仿宋_GBK" w:cs="Times New Roman"/>
          <w:b w:val="0"/>
          <w:bCs w:val="0"/>
          <w:i w:val="0"/>
          <w:iCs w:val="0"/>
          <w:color w:val="auto"/>
          <w:kern w:val="0"/>
          <w:sz w:val="32"/>
          <w:szCs w:val="32"/>
          <w:highlight w:val="none"/>
          <w:shd w:val="clear" w:color="auto" w:fill="FFFFFF"/>
          <w:lang w:val="en-US" w:eastAsia="zh-CN" w:bidi="ar-SA"/>
        </w:rPr>
        <w:t>职能、</w:t>
      </w:r>
      <w:r>
        <w:rPr>
          <w:rFonts w:hint="default" w:ascii="Times New Roman" w:hAnsi="Times New Roman" w:eastAsia="方正仿宋_GBK" w:cs="Times New Roman"/>
          <w:b w:val="0"/>
          <w:bCs w:val="0"/>
          <w:color w:val="auto"/>
          <w:sz w:val="32"/>
          <w:szCs w:val="32"/>
          <w:highlight w:val="none"/>
          <w:lang w:val="en-US" w:eastAsia="zh-CN"/>
        </w:rPr>
        <w:t>办理</w:t>
      </w:r>
      <w:r>
        <w:rPr>
          <w:rFonts w:hint="eastAsia" w:cs="Times New Roman"/>
          <w:b w:val="0"/>
          <w:bCs w:val="0"/>
          <w:color w:val="auto"/>
          <w:sz w:val="32"/>
          <w:szCs w:val="32"/>
          <w:highlight w:val="none"/>
          <w:lang w:val="en-US" w:eastAsia="zh-CN"/>
        </w:rPr>
        <w:t>其他</w:t>
      </w:r>
      <w:r>
        <w:rPr>
          <w:rFonts w:hint="default" w:ascii="Times New Roman" w:hAnsi="Times New Roman" w:eastAsia="方正仿宋_GBK" w:cs="Times New Roman"/>
          <w:b w:val="0"/>
          <w:bCs w:val="0"/>
          <w:color w:val="auto"/>
          <w:sz w:val="32"/>
          <w:szCs w:val="32"/>
          <w:highlight w:val="none"/>
          <w:lang w:val="en-US" w:eastAsia="zh-CN"/>
        </w:rPr>
        <w:t>各类案件</w:t>
      </w:r>
      <w:r>
        <w:rPr>
          <w:rFonts w:hint="eastAsia" w:ascii="Times New Roman" w:hAnsi="Times New Roman" w:eastAsia="方正仿宋_GBK" w:cs="Times New Roman"/>
          <w:b w:val="0"/>
          <w:bCs w:val="0"/>
          <w:color w:val="auto"/>
          <w:sz w:val="32"/>
          <w:szCs w:val="32"/>
          <w:highlight w:val="none"/>
          <w:lang w:val="en-US" w:eastAsia="zh-CN"/>
        </w:rPr>
        <w:t>等</w:t>
      </w:r>
      <w:r>
        <w:rPr>
          <w:rFonts w:hint="default" w:ascii="Times New Roman" w:hAnsi="Times New Roman" w:eastAsia="方正仿宋_GBK" w:cs="Times New Roman"/>
          <w:b w:val="0"/>
          <w:bCs w:val="0"/>
          <w:i w:val="0"/>
          <w:iCs w:val="0"/>
          <w:color w:val="auto"/>
          <w:kern w:val="0"/>
          <w:sz w:val="32"/>
          <w:szCs w:val="32"/>
          <w:highlight w:val="none"/>
          <w:shd w:val="clear" w:color="auto" w:fill="FFFFFF"/>
          <w:lang w:val="en-US" w:eastAsia="zh-CN" w:bidi="ar-SA"/>
        </w:rPr>
        <w:t>，具体如下：</w:t>
      </w:r>
    </w:p>
    <w:p w14:paraId="4FE5D8EC">
      <w:pPr>
        <w:keepNext w:val="0"/>
        <w:keepLines w:val="0"/>
        <w:pageBreakBefore w:val="0"/>
        <w:widowControl w:val="0"/>
        <w:numPr>
          <w:ilvl w:val="0"/>
          <w:numId w:val="0"/>
        </w:numPr>
        <w:kinsoku/>
        <w:wordWrap/>
        <w:overflowPunct w:val="0"/>
        <w:topLinePunct w:val="0"/>
        <w:autoSpaceDE/>
        <w:autoSpaceDN/>
        <w:bidi w:val="0"/>
        <w:adjustRightInd/>
        <w:snapToGrid/>
        <w:spacing w:line="552" w:lineRule="exact"/>
        <w:ind w:left="0" w:leftChars="0" w:firstLine="640" w:firstLineChars="200"/>
        <w:textAlignment w:val="auto"/>
        <w:rPr>
          <w:rFonts w:hint="default" w:ascii="Times New Roman" w:hAnsi="Times New Roman" w:eastAsia="方正仿宋_GBK" w:cs="Times New Roman"/>
          <w:b w:val="0"/>
          <w:bCs w:val="0"/>
          <w:color w:val="auto"/>
          <w:sz w:val="32"/>
          <w:szCs w:val="32"/>
          <w:highlight w:val="none"/>
          <w:lang w:val="zh-CN" w:eastAsia="zh-CN"/>
        </w:rPr>
      </w:pPr>
      <w:r>
        <w:rPr>
          <w:rFonts w:hint="eastAsia" w:ascii="Times New Roman" w:hAnsi="Times New Roman" w:eastAsia="方正仿宋_GBK" w:cs="Times New Roman"/>
          <w:b w:val="0"/>
          <w:bCs w:val="0"/>
          <w:color w:val="auto"/>
          <w:sz w:val="32"/>
          <w:szCs w:val="32"/>
          <w:highlight w:val="none"/>
          <w:lang w:val="en" w:eastAsia="zh-CN"/>
        </w:rPr>
        <w:t>（</w:t>
      </w:r>
      <w:r>
        <w:rPr>
          <w:rFonts w:hint="default" w:ascii="Times New Roman" w:hAnsi="Times New Roman" w:eastAsia="方正仿宋_GBK" w:cs="Times New Roman"/>
          <w:b w:val="0"/>
          <w:bCs w:val="0"/>
          <w:color w:val="auto"/>
          <w:sz w:val="32"/>
          <w:szCs w:val="32"/>
          <w:highlight w:val="none"/>
          <w:lang w:val="en" w:eastAsia="zh-CN"/>
        </w:rPr>
        <w:t>1</w:t>
      </w:r>
      <w:r>
        <w:rPr>
          <w:rFonts w:hint="eastAsia" w:ascii="Times New Roman" w:hAnsi="Times New Roman" w:eastAsia="方正仿宋_GBK" w:cs="Times New Roman"/>
          <w:b w:val="0"/>
          <w:bCs w:val="0"/>
          <w:color w:val="auto"/>
          <w:sz w:val="32"/>
          <w:szCs w:val="32"/>
          <w:highlight w:val="none"/>
          <w:lang w:val="en" w:eastAsia="zh-CN"/>
        </w:rPr>
        <w:t>）</w:t>
      </w:r>
      <w:r>
        <w:rPr>
          <w:rFonts w:hint="default" w:ascii="Times New Roman" w:hAnsi="Times New Roman" w:eastAsia="方正仿宋_GBK" w:cs="Times New Roman"/>
          <w:b w:val="0"/>
          <w:bCs w:val="0"/>
          <w:color w:val="auto"/>
          <w:sz w:val="32"/>
          <w:szCs w:val="32"/>
          <w:highlight w:val="none"/>
          <w:lang w:val="zh-CN" w:eastAsia="zh-CN"/>
        </w:rPr>
        <w:t>办理群众信访数履职效果。积极推进检察环节信访工作法治化，促进“息诉罢访”。以“如我在诉”落实“群众信访件件有回复”要求，妥善处理信访案件</w:t>
      </w:r>
      <w:r>
        <w:rPr>
          <w:rFonts w:hint="default" w:ascii="Times New Roman" w:hAnsi="Times New Roman" w:eastAsia="方正仿宋_GBK" w:cs="Times New Roman"/>
          <w:b w:val="0"/>
          <w:bCs w:val="0"/>
          <w:color w:val="auto"/>
          <w:sz w:val="32"/>
          <w:szCs w:val="32"/>
          <w:highlight w:val="none"/>
          <w:lang w:val="en" w:eastAsia="zh-CN"/>
        </w:rPr>
        <w:t>105</w:t>
      </w:r>
      <w:r>
        <w:rPr>
          <w:rFonts w:hint="default" w:ascii="Times New Roman" w:hAnsi="Times New Roman" w:eastAsia="方正仿宋_GBK" w:cs="Times New Roman"/>
          <w:b w:val="0"/>
          <w:bCs w:val="0"/>
          <w:color w:val="auto"/>
          <w:sz w:val="32"/>
          <w:szCs w:val="32"/>
          <w:highlight w:val="none"/>
          <w:lang w:val="zh-CN" w:eastAsia="zh-CN"/>
        </w:rPr>
        <w:t>件。</w:t>
      </w:r>
      <w:r>
        <w:rPr>
          <w:rFonts w:hint="default" w:ascii="Times New Roman" w:hAnsi="Times New Roman" w:eastAsia="方正仿宋_GBK" w:cs="Times New Roman"/>
          <w:b w:val="0"/>
          <w:bCs w:val="0"/>
          <w:color w:val="auto"/>
          <w:spacing w:val="0"/>
          <w:sz w:val="32"/>
          <w:szCs w:val="32"/>
          <w:highlight w:val="none"/>
          <w:lang w:val="en-US" w:eastAsia="zh-CN"/>
        </w:rPr>
        <w:t>加强信访矛盾源头防范，做实“件件有回复”</w:t>
      </w:r>
      <w:r>
        <w:rPr>
          <w:rFonts w:hint="default" w:ascii="Times New Roman" w:hAnsi="Times New Roman" w:eastAsia="方正仿宋_GBK" w:cs="Times New Roman"/>
          <w:b w:val="0"/>
          <w:bCs w:val="0"/>
          <w:color w:val="auto"/>
          <w:sz w:val="32"/>
          <w:szCs w:val="32"/>
          <w:highlight w:val="none"/>
          <w:lang w:val="zh-CN" w:eastAsia="zh-CN"/>
        </w:rPr>
        <w:t>彰显司法温情。</w:t>
      </w:r>
    </w:p>
    <w:p w14:paraId="303E7791">
      <w:pPr>
        <w:keepNext w:val="0"/>
        <w:keepLines w:val="0"/>
        <w:pageBreakBefore w:val="0"/>
        <w:widowControl w:val="0"/>
        <w:numPr>
          <w:ilvl w:val="0"/>
          <w:numId w:val="0"/>
        </w:numPr>
        <w:kinsoku/>
        <w:wordWrap/>
        <w:overflowPunct w:val="0"/>
        <w:topLinePunct w:val="0"/>
        <w:autoSpaceDE/>
        <w:autoSpaceDN/>
        <w:bidi w:val="0"/>
        <w:adjustRightInd/>
        <w:snapToGrid/>
        <w:spacing w:line="552" w:lineRule="exact"/>
        <w:ind w:left="0" w:leftChars="0" w:firstLine="640" w:firstLineChars="200"/>
        <w:textAlignment w:val="auto"/>
        <w:rPr>
          <w:rFonts w:hint="default" w:ascii="Times New Roman" w:hAnsi="Times New Roman" w:eastAsia="方正仿宋_GBK" w:cs="Times New Roman"/>
          <w:b w:val="0"/>
          <w:bCs w:val="0"/>
          <w:color w:val="auto"/>
          <w:sz w:val="32"/>
          <w:szCs w:val="32"/>
          <w:highlight w:val="none"/>
          <w:lang w:val="zh-CN" w:eastAsia="zh-CN"/>
        </w:rPr>
      </w:pPr>
      <w:r>
        <w:rPr>
          <w:rFonts w:hint="eastAsia" w:ascii="Times New Roman" w:hAnsi="Times New Roman" w:eastAsia="方正仿宋_GBK" w:cs="Times New Roman"/>
          <w:b w:val="0"/>
          <w:bCs w:val="0"/>
          <w:color w:val="auto"/>
          <w:sz w:val="32"/>
          <w:szCs w:val="32"/>
          <w:highlight w:val="none"/>
          <w:lang w:val="en" w:eastAsia="zh-CN"/>
        </w:rPr>
        <w:t>（</w:t>
      </w:r>
      <w:r>
        <w:rPr>
          <w:rFonts w:hint="default" w:ascii="Times New Roman" w:hAnsi="Times New Roman" w:eastAsia="方正仿宋_GBK" w:cs="Times New Roman"/>
          <w:b w:val="0"/>
          <w:bCs w:val="0"/>
          <w:color w:val="auto"/>
          <w:sz w:val="32"/>
          <w:szCs w:val="32"/>
          <w:highlight w:val="none"/>
          <w:lang w:val="en" w:eastAsia="zh-CN"/>
        </w:rPr>
        <w:t>2</w:t>
      </w:r>
      <w:r>
        <w:rPr>
          <w:rFonts w:hint="eastAsia" w:ascii="Times New Roman" w:hAnsi="Times New Roman" w:eastAsia="方正仿宋_GBK" w:cs="Times New Roman"/>
          <w:b w:val="0"/>
          <w:bCs w:val="0"/>
          <w:color w:val="auto"/>
          <w:sz w:val="32"/>
          <w:szCs w:val="32"/>
          <w:highlight w:val="none"/>
          <w:lang w:val="en" w:eastAsia="zh-CN"/>
        </w:rPr>
        <w:t>）</w:t>
      </w:r>
      <w:r>
        <w:rPr>
          <w:rFonts w:hint="default" w:ascii="Times New Roman" w:hAnsi="Times New Roman" w:eastAsia="方正仿宋_GBK" w:cs="Times New Roman"/>
          <w:b w:val="0"/>
          <w:bCs w:val="0"/>
          <w:color w:val="auto"/>
          <w:sz w:val="32"/>
          <w:szCs w:val="32"/>
          <w:highlight w:val="none"/>
          <w:lang w:val="zh-CN" w:eastAsia="zh-CN"/>
        </w:rPr>
        <w:t>立案办理公益诉讼案件数。</w:t>
      </w:r>
      <w:r>
        <w:rPr>
          <w:rFonts w:hint="default" w:ascii="Times New Roman" w:hAnsi="Times New Roman" w:eastAsia="方正仿宋_GBK" w:cs="Times New Roman"/>
          <w:b w:val="0"/>
          <w:bCs w:val="0"/>
          <w:color w:val="auto"/>
          <w:spacing w:val="0"/>
          <w:sz w:val="32"/>
          <w:szCs w:val="32"/>
          <w:highlight w:val="none"/>
          <w:lang w:val="en-US" w:eastAsia="zh-CN"/>
        </w:rPr>
        <w:t>围绕“4+11”法定领域开展公益诉讼，坚持诉前建议和提起诉讼相结合，</w:t>
      </w:r>
      <w:r>
        <w:rPr>
          <w:rFonts w:hint="default" w:ascii="Times New Roman" w:hAnsi="Times New Roman" w:eastAsia="方正仿宋_GBK" w:cs="Times New Roman"/>
          <w:b w:val="0"/>
          <w:bCs w:val="0"/>
          <w:color w:val="auto"/>
          <w:sz w:val="32"/>
          <w:szCs w:val="32"/>
          <w:highlight w:val="none"/>
          <w:lang w:val="zh-CN" w:eastAsia="zh-CN"/>
        </w:rPr>
        <w:t>强化系统思维，坚持审前程序和提起诉讼双管齐下，办理公益诉讼案件</w:t>
      </w:r>
      <w:r>
        <w:rPr>
          <w:rFonts w:hint="default" w:ascii="Times New Roman" w:hAnsi="Times New Roman" w:eastAsia="方正仿宋_GBK" w:cs="Times New Roman"/>
          <w:b w:val="0"/>
          <w:bCs w:val="0"/>
          <w:color w:val="auto"/>
          <w:sz w:val="32"/>
          <w:szCs w:val="32"/>
          <w:highlight w:val="none"/>
          <w:lang w:val="en" w:eastAsia="zh-CN"/>
        </w:rPr>
        <w:t>5</w:t>
      </w:r>
      <w:r>
        <w:rPr>
          <w:rFonts w:hint="default" w:ascii="Times New Roman" w:hAnsi="Times New Roman" w:eastAsia="方正仿宋_GBK" w:cs="Times New Roman"/>
          <w:b w:val="0"/>
          <w:bCs w:val="0"/>
          <w:color w:val="auto"/>
          <w:sz w:val="32"/>
          <w:szCs w:val="32"/>
          <w:highlight w:val="none"/>
          <w:lang w:val="zh-CN" w:eastAsia="zh-CN"/>
        </w:rPr>
        <w:t>件。</w:t>
      </w:r>
    </w:p>
    <w:p w14:paraId="7B0C6BAF">
      <w:pPr>
        <w:keepNext w:val="0"/>
        <w:keepLines w:val="0"/>
        <w:pageBreakBefore w:val="0"/>
        <w:widowControl w:val="0"/>
        <w:numPr>
          <w:ilvl w:val="0"/>
          <w:numId w:val="0"/>
        </w:numPr>
        <w:kinsoku/>
        <w:wordWrap/>
        <w:overflowPunct w:val="0"/>
        <w:topLinePunct w:val="0"/>
        <w:autoSpaceDE/>
        <w:autoSpaceDN/>
        <w:bidi w:val="0"/>
        <w:adjustRightInd/>
        <w:snapToGrid/>
        <w:spacing w:line="552" w:lineRule="exact"/>
        <w:ind w:left="0" w:leftChars="0" w:firstLine="640" w:firstLineChars="200"/>
        <w:textAlignment w:val="auto"/>
        <w:rPr>
          <w:rFonts w:hint="default" w:ascii="Times New Roman" w:hAnsi="Times New Roman" w:eastAsia="方正仿宋_GBK" w:cs="Times New Roman"/>
          <w:b w:val="0"/>
          <w:bCs w:val="0"/>
          <w:color w:val="auto"/>
          <w:sz w:val="32"/>
          <w:szCs w:val="32"/>
          <w:highlight w:val="none"/>
          <w:lang w:val="zh-CN" w:eastAsia="zh-CN"/>
        </w:rPr>
      </w:pPr>
      <w:r>
        <w:rPr>
          <w:rFonts w:hint="eastAsia" w:ascii="Times New Roman" w:hAnsi="Times New Roman" w:eastAsia="方正仿宋_GBK" w:cs="Times New Roman"/>
          <w:b w:val="0"/>
          <w:bCs w:val="0"/>
          <w:color w:val="auto"/>
          <w:sz w:val="32"/>
          <w:szCs w:val="32"/>
          <w:highlight w:val="none"/>
          <w:lang w:val="en" w:eastAsia="zh-CN"/>
        </w:rPr>
        <w:t>（</w:t>
      </w:r>
      <w:r>
        <w:rPr>
          <w:rFonts w:hint="default" w:ascii="Times New Roman" w:hAnsi="Times New Roman" w:eastAsia="方正仿宋_GBK" w:cs="Times New Roman"/>
          <w:b w:val="0"/>
          <w:bCs w:val="0"/>
          <w:color w:val="auto"/>
          <w:sz w:val="32"/>
          <w:szCs w:val="32"/>
          <w:highlight w:val="none"/>
          <w:lang w:val="en" w:eastAsia="zh-CN"/>
        </w:rPr>
        <w:t>3</w:t>
      </w:r>
      <w:r>
        <w:rPr>
          <w:rFonts w:hint="eastAsia" w:ascii="Times New Roman" w:hAnsi="Times New Roman" w:eastAsia="方正仿宋_GBK" w:cs="Times New Roman"/>
          <w:b w:val="0"/>
          <w:bCs w:val="0"/>
          <w:color w:val="auto"/>
          <w:sz w:val="32"/>
          <w:szCs w:val="32"/>
          <w:highlight w:val="none"/>
          <w:lang w:val="en" w:eastAsia="zh-CN"/>
        </w:rPr>
        <w:t>）</w:t>
      </w:r>
      <w:r>
        <w:rPr>
          <w:rFonts w:hint="default" w:ascii="Times New Roman" w:hAnsi="Times New Roman" w:eastAsia="方正仿宋_GBK" w:cs="Times New Roman"/>
          <w:b w:val="0"/>
          <w:bCs w:val="0"/>
          <w:color w:val="auto"/>
          <w:sz w:val="32"/>
          <w:szCs w:val="32"/>
          <w:highlight w:val="none"/>
          <w:lang w:val="en-US" w:eastAsia="zh-CN"/>
        </w:rPr>
        <w:t>办理</w:t>
      </w:r>
      <w:r>
        <w:rPr>
          <w:rFonts w:hint="eastAsia" w:cs="Times New Roman"/>
          <w:b w:val="0"/>
          <w:bCs w:val="0"/>
          <w:color w:val="auto"/>
          <w:sz w:val="32"/>
          <w:szCs w:val="32"/>
          <w:highlight w:val="none"/>
          <w:lang w:val="en-US" w:eastAsia="zh-CN"/>
        </w:rPr>
        <w:t>其他</w:t>
      </w:r>
      <w:r>
        <w:rPr>
          <w:rFonts w:hint="default" w:ascii="Times New Roman" w:hAnsi="Times New Roman" w:eastAsia="方正仿宋_GBK" w:cs="Times New Roman"/>
          <w:b w:val="0"/>
          <w:bCs w:val="0"/>
          <w:color w:val="auto"/>
          <w:sz w:val="32"/>
          <w:szCs w:val="32"/>
          <w:highlight w:val="none"/>
          <w:lang w:val="en-US" w:eastAsia="zh-CN"/>
        </w:rPr>
        <w:t>各类案件</w:t>
      </w:r>
      <w:r>
        <w:rPr>
          <w:rFonts w:hint="default" w:ascii="Times New Roman" w:hAnsi="Times New Roman" w:eastAsia="方正仿宋_GBK" w:cs="Times New Roman"/>
          <w:b w:val="0"/>
          <w:bCs w:val="0"/>
          <w:color w:val="auto"/>
          <w:sz w:val="32"/>
          <w:szCs w:val="32"/>
          <w:highlight w:val="none"/>
          <w:lang w:val="zh-CN" w:eastAsia="zh-CN"/>
        </w:rPr>
        <w:t>。贯彻总体国家安全观，严厉打击危害国家安全、政治安全、公共安全和人民群众生命财产安全的犯罪，推进更高水平的平安巴中建设，案件件数</w:t>
      </w:r>
      <w:r>
        <w:rPr>
          <w:rFonts w:hint="default" w:ascii="Times New Roman" w:hAnsi="Times New Roman" w:eastAsia="方正仿宋_GBK" w:cs="Times New Roman"/>
          <w:b w:val="0"/>
          <w:bCs w:val="0"/>
          <w:color w:val="auto"/>
          <w:sz w:val="32"/>
          <w:szCs w:val="32"/>
          <w:highlight w:val="none"/>
          <w:lang w:val="en-US" w:eastAsia="zh-CN"/>
        </w:rPr>
        <w:t>1</w:t>
      </w:r>
      <w:r>
        <w:rPr>
          <w:rFonts w:hint="default" w:ascii="Times New Roman" w:hAnsi="Times New Roman" w:eastAsia="方正仿宋_GBK" w:cs="Times New Roman"/>
          <w:b w:val="0"/>
          <w:bCs w:val="0"/>
          <w:color w:val="auto"/>
          <w:sz w:val="32"/>
          <w:szCs w:val="32"/>
          <w:highlight w:val="none"/>
          <w:lang w:val="en" w:eastAsia="zh-CN"/>
        </w:rPr>
        <w:t>4</w:t>
      </w:r>
      <w:r>
        <w:rPr>
          <w:rFonts w:hint="default" w:ascii="Times New Roman" w:hAnsi="Times New Roman" w:eastAsia="方正仿宋_GBK" w:cs="Times New Roman"/>
          <w:b w:val="0"/>
          <w:bCs w:val="0"/>
          <w:color w:val="auto"/>
          <w:sz w:val="32"/>
          <w:szCs w:val="32"/>
          <w:highlight w:val="none"/>
          <w:lang w:val="en-US" w:eastAsia="zh-CN"/>
        </w:rPr>
        <w:t>8</w:t>
      </w:r>
      <w:r>
        <w:rPr>
          <w:rFonts w:hint="default" w:ascii="Times New Roman" w:hAnsi="Times New Roman" w:eastAsia="方正仿宋_GBK" w:cs="Times New Roman"/>
          <w:b w:val="0"/>
          <w:bCs w:val="0"/>
          <w:color w:val="auto"/>
          <w:sz w:val="32"/>
          <w:szCs w:val="32"/>
          <w:highlight w:val="none"/>
          <w:lang w:val="zh-CN" w:eastAsia="zh-CN"/>
        </w:rPr>
        <w:t>件，遏制了犯罪上升势头，重拳惩治毒品犯罪。常态化开展扫黑除恶斗争，办理的谢某某等人组织、领导</w:t>
      </w:r>
      <w:r>
        <w:rPr>
          <w:rFonts w:hint="eastAsia" w:ascii="Times New Roman" w:hAnsi="Times New Roman" w:eastAsia="方正仿宋_GBK" w:cs="方正仿宋_GBK"/>
          <w:b w:val="0"/>
          <w:bCs w:val="0"/>
          <w:color w:val="auto"/>
          <w:sz w:val="32"/>
          <w:szCs w:val="32"/>
          <w:highlight w:val="none"/>
          <w:lang w:val="zh-CN" w:eastAsia="zh-CN"/>
        </w:rPr>
        <w:t>黑社会性质组织案获评全省十大典型案例。坚持宽严相济，最大限度减少社会的对立面。坚持“治罪”与“治理”并重，建立轻罪案件“一站式”办理中心，推行“轻案快办”</w:t>
      </w:r>
      <w:r>
        <w:rPr>
          <w:rFonts w:hint="default" w:ascii="Times New Roman" w:hAnsi="Times New Roman" w:eastAsia="方正仿宋_GBK" w:cs="Times New Roman"/>
          <w:b w:val="0"/>
          <w:bCs w:val="0"/>
          <w:color w:val="auto"/>
          <w:sz w:val="32"/>
          <w:szCs w:val="32"/>
          <w:highlight w:val="none"/>
          <w:lang w:val="zh-CN" w:eastAsia="zh-CN"/>
        </w:rPr>
        <w:t>新模式，实现公正、高效司法。</w:t>
      </w:r>
    </w:p>
    <w:p w14:paraId="0CC1F6AC">
      <w:pPr>
        <w:keepNext w:val="0"/>
        <w:keepLines w:val="0"/>
        <w:pageBreakBefore w:val="0"/>
        <w:widowControl w:val="0"/>
        <w:numPr>
          <w:ilvl w:val="0"/>
          <w:numId w:val="0"/>
        </w:numPr>
        <w:kinsoku/>
        <w:wordWrap/>
        <w:overflowPunct w:val="0"/>
        <w:topLinePunct w:val="0"/>
        <w:autoSpaceDE/>
        <w:autoSpaceDN/>
        <w:bidi w:val="0"/>
        <w:adjustRightInd w:val="0"/>
        <w:snapToGrid w:val="0"/>
        <w:spacing w:line="552" w:lineRule="exact"/>
        <w:ind w:leftChars="200"/>
        <w:contextualSpacing/>
        <w:jc w:val="left"/>
        <w:textAlignment w:val="auto"/>
        <w:rPr>
          <w:rFonts w:hint="default" w:ascii="Times New Roman" w:hAnsi="Times New Roman" w:eastAsia="方正仿宋_GBK" w:cs="Times New Roman"/>
          <w:b w:val="0"/>
          <w:bCs w:val="0"/>
          <w:i w:val="0"/>
          <w:iCs w:val="0"/>
          <w:color w:val="000000"/>
          <w:kern w:val="0"/>
          <w:sz w:val="32"/>
          <w:szCs w:val="32"/>
          <w:highlight w:val="none"/>
          <w:shd w:val="clear" w:color="auto" w:fill="FFFFFF"/>
          <w:lang w:val="en-US" w:eastAsia="zh-CN"/>
        </w:rPr>
      </w:pPr>
      <w:r>
        <w:rPr>
          <w:rFonts w:hint="default" w:ascii="Times New Roman" w:hAnsi="Times New Roman" w:eastAsia="方正仿宋_GBK" w:cs="Times New Roman"/>
          <w:b w:val="0"/>
          <w:bCs w:val="0"/>
          <w:i w:val="0"/>
          <w:iCs w:val="0"/>
          <w:color w:val="000000"/>
          <w:kern w:val="0"/>
          <w:sz w:val="32"/>
          <w:szCs w:val="32"/>
          <w:highlight w:val="none"/>
          <w:shd w:val="clear" w:color="auto" w:fill="FFFFFF"/>
          <w:lang w:val="zh-CN" w:eastAsia="zh-CN"/>
        </w:rPr>
        <w:t>2.预算管理</w:t>
      </w:r>
    </w:p>
    <w:p w14:paraId="1BAFE34E">
      <w:pPr>
        <w:keepNext w:val="0"/>
        <w:keepLines w:val="0"/>
        <w:pageBreakBefore w:val="0"/>
        <w:widowControl w:val="0"/>
        <w:numPr>
          <w:ilvl w:val="0"/>
          <w:numId w:val="0"/>
        </w:numPr>
        <w:kinsoku/>
        <w:wordWrap/>
        <w:overflowPunct w:val="0"/>
        <w:topLinePunct w:val="0"/>
        <w:autoSpaceDE/>
        <w:autoSpaceDN/>
        <w:bidi w:val="0"/>
        <w:adjustRightInd/>
        <w:snapToGrid/>
        <w:spacing w:line="552" w:lineRule="exact"/>
        <w:ind w:left="0" w:leftChars="0" w:firstLine="640" w:firstLineChars="200"/>
        <w:textAlignment w:val="auto"/>
        <w:rPr>
          <w:rFonts w:hint="default" w:ascii="Times New Roman" w:hAnsi="Times New Roman" w:eastAsia="方正仿宋_GBK" w:cs="Times New Roman"/>
          <w:b w:val="0"/>
          <w:bCs w:val="0"/>
          <w:sz w:val="32"/>
          <w:szCs w:val="32"/>
          <w:highlight w:val="none"/>
          <w:lang w:val="zh-CN" w:eastAsia="zh-CN"/>
        </w:rPr>
      </w:pPr>
      <w:r>
        <w:rPr>
          <w:rFonts w:hint="eastAsia" w:ascii="Times New Roman" w:hAnsi="Times New Roman" w:eastAsia="方正仿宋_GBK" w:cs="Times New Roman"/>
          <w:b w:val="0"/>
          <w:bCs w:val="0"/>
          <w:sz w:val="32"/>
          <w:szCs w:val="32"/>
          <w:highlight w:val="none"/>
          <w:lang w:val="en" w:eastAsia="zh-CN"/>
        </w:rPr>
        <w:t>（</w:t>
      </w:r>
      <w:r>
        <w:rPr>
          <w:rFonts w:hint="default" w:ascii="Times New Roman" w:hAnsi="Times New Roman" w:eastAsia="方正仿宋_GBK" w:cs="Times New Roman"/>
          <w:b w:val="0"/>
          <w:bCs w:val="0"/>
          <w:sz w:val="32"/>
          <w:szCs w:val="32"/>
          <w:highlight w:val="none"/>
          <w:lang w:val="en" w:eastAsia="zh-CN"/>
        </w:rPr>
        <w:t>1</w:t>
      </w:r>
      <w:r>
        <w:rPr>
          <w:rFonts w:hint="eastAsia" w:ascii="Times New Roman" w:hAnsi="Times New Roman" w:eastAsia="方正仿宋_GBK" w:cs="Times New Roman"/>
          <w:b w:val="0"/>
          <w:bCs w:val="0"/>
          <w:sz w:val="32"/>
          <w:szCs w:val="32"/>
          <w:highlight w:val="none"/>
          <w:lang w:val="en" w:eastAsia="zh-CN"/>
        </w:rPr>
        <w:t>）</w:t>
      </w:r>
      <w:r>
        <w:rPr>
          <w:rFonts w:hint="default" w:ascii="Times New Roman" w:hAnsi="Times New Roman" w:eastAsia="方正仿宋_GBK" w:cs="Times New Roman"/>
          <w:b w:val="0"/>
          <w:bCs w:val="0"/>
          <w:sz w:val="32"/>
          <w:szCs w:val="32"/>
          <w:highlight w:val="none"/>
          <w:lang w:val="zh-CN" w:eastAsia="zh-CN"/>
        </w:rPr>
        <w:t>围绕预算编制质量。20</w:t>
      </w:r>
      <w:r>
        <w:rPr>
          <w:rFonts w:hint="eastAsia" w:ascii="Times New Roman" w:hAnsi="Times New Roman" w:eastAsia="方正仿宋_GBK" w:cs="Times New Roman"/>
          <w:b w:val="0"/>
          <w:bCs w:val="0"/>
          <w:sz w:val="32"/>
          <w:szCs w:val="32"/>
          <w:highlight w:val="none"/>
          <w:lang w:val="en-US" w:eastAsia="zh-CN"/>
        </w:rPr>
        <w:t>25</w:t>
      </w:r>
      <w:r>
        <w:rPr>
          <w:rFonts w:hint="default" w:ascii="Times New Roman" w:hAnsi="Times New Roman" w:eastAsia="方正仿宋_GBK" w:cs="Times New Roman"/>
          <w:b w:val="0"/>
          <w:bCs w:val="0"/>
          <w:sz w:val="32"/>
          <w:szCs w:val="32"/>
          <w:highlight w:val="none"/>
          <w:lang w:val="zh-CN" w:eastAsia="zh-CN"/>
        </w:rPr>
        <w:t>年度</w:t>
      </w:r>
      <w:r>
        <w:rPr>
          <w:rFonts w:hint="eastAsia" w:ascii="Times New Roman" w:hAnsi="Times New Roman" w:eastAsia="方正仿宋_GBK" w:cs="Times New Roman"/>
          <w:b w:val="0"/>
          <w:bCs w:val="0"/>
          <w:sz w:val="32"/>
          <w:szCs w:val="32"/>
          <w:highlight w:val="none"/>
          <w:lang w:val="zh-CN" w:eastAsia="zh-CN"/>
        </w:rPr>
        <w:t>市检察</w:t>
      </w:r>
      <w:r>
        <w:rPr>
          <w:rFonts w:hint="default" w:ascii="Times New Roman" w:hAnsi="Times New Roman" w:eastAsia="方正仿宋_GBK" w:cs="Times New Roman"/>
          <w:b w:val="0"/>
          <w:bCs w:val="0"/>
          <w:sz w:val="32"/>
          <w:szCs w:val="32"/>
          <w:highlight w:val="none"/>
          <w:lang w:val="zh-CN" w:eastAsia="zh-CN"/>
        </w:rPr>
        <w:t>院严格按照</w:t>
      </w:r>
      <w:r>
        <w:rPr>
          <w:rFonts w:hint="eastAsia" w:ascii="Times New Roman" w:hAnsi="Times New Roman" w:eastAsia="方正仿宋_GBK" w:cs="Times New Roman"/>
          <w:b w:val="0"/>
          <w:bCs w:val="0"/>
          <w:sz w:val="32"/>
          <w:szCs w:val="32"/>
          <w:highlight w:val="none"/>
          <w:lang w:val="zh-CN" w:eastAsia="zh-CN"/>
        </w:rPr>
        <w:t>市</w:t>
      </w:r>
      <w:r>
        <w:rPr>
          <w:rFonts w:hint="default" w:ascii="Times New Roman" w:hAnsi="Times New Roman" w:eastAsia="方正仿宋_GBK" w:cs="Times New Roman"/>
          <w:b w:val="0"/>
          <w:bCs w:val="0"/>
          <w:sz w:val="32"/>
          <w:szCs w:val="32"/>
          <w:highlight w:val="none"/>
          <w:lang w:val="zh-CN" w:eastAsia="zh-CN"/>
        </w:rPr>
        <w:t>财政部门预算编制工作要求，全面梳理年度工作任务与履职需求，依据《</w:t>
      </w:r>
      <w:r>
        <w:rPr>
          <w:rFonts w:hint="eastAsia" w:ascii="Times New Roman" w:hAnsi="Times New Roman" w:eastAsia="方正仿宋_GBK" w:cs="Times New Roman"/>
          <w:b w:val="0"/>
          <w:bCs w:val="0"/>
          <w:sz w:val="32"/>
          <w:szCs w:val="32"/>
          <w:highlight w:val="none"/>
          <w:lang w:val="zh-CN" w:eastAsia="zh-CN"/>
        </w:rPr>
        <w:t>中华人民共和国</w:t>
      </w:r>
      <w:r>
        <w:rPr>
          <w:rFonts w:hint="default" w:ascii="Times New Roman" w:hAnsi="Times New Roman" w:eastAsia="方正仿宋_GBK" w:cs="Times New Roman"/>
          <w:b w:val="0"/>
          <w:bCs w:val="0"/>
          <w:sz w:val="32"/>
          <w:szCs w:val="32"/>
          <w:highlight w:val="none"/>
          <w:lang w:val="zh-CN" w:eastAsia="zh-CN"/>
        </w:rPr>
        <w:t>预算法》及市级部门预算编制管理办法，科学编制部门年初预算。编制过程中，坚持“量入为出、统筹兼顾、保障重点、注重绩效”的原则，结合检察业务实际、上年预算执行情况及绩效评价结果，细化预算编制内容，明确各项经费使用范围、用途及测算依据，确保预算编制与年度检察工作要点、重点业务项目高度匹配，有效提升了年初预算编制的科学性与准确性，预算编制程序合规、依据充分、内容完整。</w:t>
      </w:r>
    </w:p>
    <w:p w14:paraId="6A3D4F20">
      <w:pPr>
        <w:keepNext w:val="0"/>
        <w:keepLines w:val="0"/>
        <w:pageBreakBefore w:val="0"/>
        <w:widowControl w:val="0"/>
        <w:numPr>
          <w:ilvl w:val="0"/>
          <w:numId w:val="0"/>
        </w:numPr>
        <w:kinsoku/>
        <w:wordWrap/>
        <w:overflowPunct w:val="0"/>
        <w:topLinePunct w:val="0"/>
        <w:autoSpaceDE/>
        <w:autoSpaceDN/>
        <w:bidi w:val="0"/>
        <w:adjustRightInd/>
        <w:snapToGrid/>
        <w:spacing w:line="552" w:lineRule="exact"/>
        <w:ind w:left="0" w:leftChars="0" w:firstLine="640" w:firstLineChars="200"/>
        <w:textAlignment w:val="auto"/>
        <w:rPr>
          <w:rFonts w:hint="default" w:ascii="Times New Roman" w:hAnsi="Times New Roman" w:eastAsia="方正仿宋_GBK" w:cs="Times New Roman"/>
          <w:b w:val="0"/>
          <w:bCs w:val="0"/>
          <w:sz w:val="32"/>
          <w:szCs w:val="32"/>
          <w:highlight w:val="none"/>
          <w:lang w:val="zh-CN" w:eastAsia="zh-CN"/>
        </w:rPr>
      </w:pPr>
      <w:r>
        <w:rPr>
          <w:rFonts w:hint="eastAsia" w:ascii="Times New Roman" w:hAnsi="Times New Roman" w:eastAsia="方正仿宋_GBK" w:cs="Times New Roman"/>
          <w:b w:val="0"/>
          <w:bCs w:val="0"/>
          <w:sz w:val="32"/>
          <w:szCs w:val="32"/>
          <w:highlight w:val="none"/>
          <w:lang w:val="en" w:eastAsia="zh-CN"/>
        </w:rPr>
        <w:t>（</w:t>
      </w:r>
      <w:r>
        <w:rPr>
          <w:rFonts w:hint="default" w:ascii="Times New Roman" w:hAnsi="Times New Roman" w:eastAsia="方正仿宋_GBK" w:cs="Times New Roman"/>
          <w:b w:val="0"/>
          <w:bCs w:val="0"/>
          <w:sz w:val="32"/>
          <w:szCs w:val="32"/>
          <w:highlight w:val="none"/>
          <w:lang w:val="en" w:eastAsia="zh-CN"/>
        </w:rPr>
        <w:t>2</w:t>
      </w:r>
      <w:r>
        <w:rPr>
          <w:rFonts w:hint="eastAsia" w:ascii="Times New Roman" w:hAnsi="Times New Roman" w:eastAsia="方正仿宋_GBK" w:cs="Times New Roman"/>
          <w:b w:val="0"/>
          <w:bCs w:val="0"/>
          <w:sz w:val="32"/>
          <w:szCs w:val="32"/>
          <w:highlight w:val="none"/>
          <w:lang w:val="en" w:eastAsia="zh-CN"/>
        </w:rPr>
        <w:t>）</w:t>
      </w:r>
      <w:r>
        <w:rPr>
          <w:rFonts w:hint="default" w:ascii="Times New Roman" w:hAnsi="Times New Roman" w:eastAsia="方正仿宋_GBK" w:cs="Times New Roman"/>
          <w:b w:val="0"/>
          <w:bCs w:val="0"/>
          <w:sz w:val="32"/>
          <w:szCs w:val="32"/>
          <w:highlight w:val="none"/>
          <w:lang w:val="zh-CN" w:eastAsia="zh-CN"/>
        </w:rPr>
        <w:t>支出执行进度。</w:t>
      </w:r>
      <w:r>
        <w:rPr>
          <w:rFonts w:hint="default" w:ascii="Times New Roman" w:hAnsi="Times New Roman" w:eastAsia="方正仿宋_GBK" w:cs="Times New Roman"/>
          <w:b w:val="0"/>
          <w:bCs w:val="0"/>
          <w:sz w:val="32"/>
          <w:szCs w:val="32"/>
          <w:highlight w:val="none"/>
          <w:lang w:val="en-US" w:eastAsia="zh-CN"/>
        </w:rPr>
        <w:t>市检察院</w:t>
      </w:r>
      <w:r>
        <w:rPr>
          <w:rFonts w:hint="default" w:ascii="Times New Roman" w:hAnsi="Times New Roman" w:eastAsia="方正仿宋_GBK" w:cs="Times New Roman"/>
          <w:b w:val="0"/>
          <w:bCs w:val="0"/>
          <w:sz w:val="32"/>
          <w:szCs w:val="32"/>
          <w:highlight w:val="none"/>
          <w:lang w:val="zh-CN" w:eastAsia="zh-CN"/>
        </w:rPr>
        <w:t>1至6月预算执行</w:t>
      </w:r>
      <w:r>
        <w:rPr>
          <w:rFonts w:hint="default" w:ascii="Times New Roman" w:hAnsi="Times New Roman" w:eastAsia="方正仿宋_GBK" w:cs="Times New Roman"/>
          <w:b w:val="0"/>
          <w:bCs w:val="0"/>
          <w:sz w:val="32"/>
          <w:szCs w:val="32"/>
          <w:highlight w:val="none"/>
          <w:lang w:val="en" w:eastAsia="zh-CN"/>
        </w:rPr>
        <w:t>1327.74</w:t>
      </w:r>
      <w:r>
        <w:rPr>
          <w:rFonts w:hint="default" w:ascii="Times New Roman" w:hAnsi="Times New Roman" w:eastAsia="方正仿宋_GBK" w:cs="Times New Roman"/>
          <w:b w:val="0"/>
          <w:bCs w:val="0"/>
          <w:sz w:val="32"/>
          <w:szCs w:val="32"/>
          <w:highlight w:val="none"/>
          <w:lang w:val="en-US" w:eastAsia="zh-CN"/>
        </w:rPr>
        <w:t>万元，达到全年预算进度</w:t>
      </w:r>
      <w:r>
        <w:rPr>
          <w:rFonts w:hint="default" w:ascii="Times New Roman" w:hAnsi="Times New Roman" w:eastAsia="方正仿宋_GBK" w:cs="Times New Roman"/>
          <w:b w:val="0"/>
          <w:bCs w:val="0"/>
          <w:sz w:val="32"/>
          <w:szCs w:val="32"/>
          <w:highlight w:val="none"/>
          <w:lang w:val="en" w:eastAsia="zh-CN"/>
        </w:rPr>
        <w:t>42.58</w:t>
      </w:r>
      <w:r>
        <w:rPr>
          <w:rFonts w:hint="default" w:ascii="Times New Roman" w:hAnsi="Times New Roman" w:eastAsia="方正仿宋_GBK" w:cs="Times New Roman"/>
          <w:b w:val="0"/>
          <w:bCs w:val="0"/>
          <w:sz w:val="32"/>
          <w:szCs w:val="32"/>
          <w:highlight w:val="none"/>
          <w:lang w:val="en-US" w:eastAsia="zh-CN"/>
        </w:rPr>
        <w:t>%；</w:t>
      </w:r>
      <w:r>
        <w:rPr>
          <w:rFonts w:hint="default" w:ascii="Times New Roman" w:hAnsi="Times New Roman" w:eastAsia="方正仿宋_GBK" w:cs="Times New Roman"/>
          <w:b w:val="0"/>
          <w:bCs w:val="0"/>
          <w:sz w:val="32"/>
          <w:szCs w:val="32"/>
          <w:highlight w:val="none"/>
          <w:lang w:val="zh-CN" w:eastAsia="zh-CN"/>
        </w:rPr>
        <w:t>1至10月预算执行</w:t>
      </w:r>
      <w:r>
        <w:rPr>
          <w:rFonts w:hint="default" w:ascii="Times New Roman" w:hAnsi="Times New Roman" w:eastAsia="方正仿宋_GBK" w:cs="Times New Roman"/>
          <w:b w:val="0"/>
          <w:bCs w:val="0"/>
          <w:sz w:val="32"/>
          <w:szCs w:val="32"/>
          <w:highlight w:val="none"/>
          <w:lang w:val="en" w:eastAsia="zh-CN"/>
        </w:rPr>
        <w:t>2238.70</w:t>
      </w:r>
      <w:r>
        <w:rPr>
          <w:rFonts w:hint="default" w:ascii="Times New Roman" w:hAnsi="Times New Roman" w:eastAsia="方正仿宋_GBK" w:cs="Times New Roman"/>
          <w:b w:val="0"/>
          <w:bCs w:val="0"/>
          <w:sz w:val="32"/>
          <w:szCs w:val="32"/>
          <w:highlight w:val="none"/>
          <w:lang w:val="en-US" w:eastAsia="zh-CN"/>
        </w:rPr>
        <w:t>万元，达到全年预算进度</w:t>
      </w:r>
      <w:r>
        <w:rPr>
          <w:rFonts w:hint="default" w:ascii="Times New Roman" w:hAnsi="Times New Roman" w:eastAsia="方正仿宋_GBK" w:cs="Times New Roman"/>
          <w:b w:val="0"/>
          <w:bCs w:val="0"/>
          <w:sz w:val="32"/>
          <w:szCs w:val="32"/>
          <w:highlight w:val="none"/>
          <w:lang w:val="en" w:eastAsia="zh-CN"/>
        </w:rPr>
        <w:t>71.79</w:t>
      </w:r>
      <w:r>
        <w:rPr>
          <w:rFonts w:hint="default" w:ascii="Times New Roman" w:hAnsi="Times New Roman" w:eastAsia="方正仿宋_GBK" w:cs="Times New Roman"/>
          <w:b w:val="0"/>
          <w:bCs w:val="0"/>
          <w:sz w:val="32"/>
          <w:szCs w:val="32"/>
          <w:highlight w:val="none"/>
          <w:lang w:val="en-US" w:eastAsia="zh-CN"/>
        </w:rPr>
        <w:t>%；</w:t>
      </w:r>
      <w:r>
        <w:rPr>
          <w:rFonts w:hint="default" w:ascii="Times New Roman" w:hAnsi="Times New Roman" w:eastAsia="方正仿宋_GBK" w:cs="Times New Roman"/>
          <w:b w:val="0"/>
          <w:bCs w:val="0"/>
          <w:sz w:val="32"/>
          <w:szCs w:val="32"/>
          <w:highlight w:val="none"/>
          <w:lang w:val="zh-CN" w:eastAsia="zh-CN"/>
        </w:rPr>
        <w:t>1至1</w:t>
      </w:r>
      <w:r>
        <w:rPr>
          <w:rFonts w:hint="default" w:ascii="Times New Roman" w:hAnsi="Times New Roman" w:eastAsia="方正仿宋_GBK" w:cs="Times New Roman"/>
          <w:b w:val="0"/>
          <w:bCs w:val="0"/>
          <w:sz w:val="32"/>
          <w:szCs w:val="32"/>
          <w:highlight w:val="none"/>
          <w:lang w:val="en-US" w:eastAsia="zh-CN"/>
        </w:rPr>
        <w:t>2</w:t>
      </w:r>
      <w:r>
        <w:rPr>
          <w:rFonts w:hint="default" w:ascii="Times New Roman" w:hAnsi="Times New Roman" w:eastAsia="方正仿宋_GBK" w:cs="Times New Roman"/>
          <w:b w:val="0"/>
          <w:bCs w:val="0"/>
          <w:sz w:val="32"/>
          <w:szCs w:val="32"/>
          <w:highlight w:val="none"/>
          <w:lang w:val="zh-CN" w:eastAsia="zh-CN"/>
        </w:rPr>
        <w:t>月预算执行</w:t>
      </w:r>
      <w:r>
        <w:rPr>
          <w:rFonts w:hint="default" w:ascii="Times New Roman" w:hAnsi="Times New Roman" w:eastAsia="方正仿宋_GBK" w:cs="Times New Roman"/>
          <w:b w:val="0"/>
          <w:bCs w:val="0"/>
          <w:color w:val="auto"/>
          <w:sz w:val="32"/>
          <w:szCs w:val="32"/>
          <w:lang w:val="en" w:eastAsia="zh-CN"/>
        </w:rPr>
        <w:t>3118.43</w:t>
      </w:r>
      <w:r>
        <w:rPr>
          <w:rFonts w:hint="default" w:ascii="Times New Roman" w:hAnsi="Times New Roman" w:eastAsia="方正仿宋_GBK" w:cs="Times New Roman"/>
          <w:b w:val="0"/>
          <w:bCs w:val="0"/>
          <w:sz w:val="32"/>
          <w:szCs w:val="32"/>
          <w:highlight w:val="none"/>
          <w:lang w:val="en-US" w:eastAsia="zh-CN"/>
        </w:rPr>
        <w:t>万元，达到全年预算进度100%。</w:t>
      </w:r>
      <w:r>
        <w:rPr>
          <w:rFonts w:hint="eastAsia" w:ascii="Times New Roman" w:hAnsi="Times New Roman" w:eastAsia="方正仿宋_GBK" w:cs="Times New Roman"/>
          <w:b w:val="0"/>
          <w:bCs w:val="0"/>
          <w:sz w:val="32"/>
          <w:szCs w:val="32"/>
          <w:highlight w:val="none"/>
          <w:lang w:val="en-US" w:eastAsia="zh-CN"/>
        </w:rPr>
        <w:t>2025年</w:t>
      </w:r>
      <w:r>
        <w:rPr>
          <w:rFonts w:hint="default" w:ascii="Times New Roman" w:hAnsi="Times New Roman" w:eastAsia="方正仿宋_GBK" w:cs="Times New Roman"/>
          <w:b w:val="0"/>
          <w:bCs w:val="0"/>
          <w:sz w:val="32"/>
          <w:szCs w:val="32"/>
          <w:highlight w:val="none"/>
          <w:lang w:val="en-US" w:eastAsia="zh-CN"/>
        </w:rPr>
        <w:t>市检察院</w:t>
      </w:r>
      <w:r>
        <w:rPr>
          <w:rFonts w:hint="eastAsia" w:ascii="Times New Roman" w:hAnsi="Times New Roman" w:eastAsia="方正仿宋_GBK" w:cs="Times New Roman"/>
          <w:b w:val="0"/>
          <w:bCs w:val="0"/>
          <w:sz w:val="32"/>
          <w:szCs w:val="32"/>
          <w:highlight w:val="none"/>
          <w:lang w:val="en-US" w:eastAsia="zh-CN"/>
        </w:rPr>
        <w:t>持续强化预算执行动态管理，按月梳理1-6月、1-10月预算执行进度，定期召开预算执行推进会，对重点业务经费、项目经费执行情况进行跟踪分析，针对执行进度偏慢的项目及时研判原因、制定推进措施。整体预算执行进度保持在合理区间，未出现无预算支出、超预算支出等问题，资金拨付与业务推进进度基本匹配，保障了检察业务、队伍建设、信息化建设等各项工作的有序开展。</w:t>
      </w:r>
    </w:p>
    <w:p w14:paraId="108B0A97">
      <w:pPr>
        <w:keepNext w:val="0"/>
        <w:keepLines w:val="0"/>
        <w:pageBreakBefore w:val="0"/>
        <w:widowControl w:val="0"/>
        <w:numPr>
          <w:ilvl w:val="0"/>
          <w:numId w:val="0"/>
        </w:numPr>
        <w:kinsoku/>
        <w:wordWrap/>
        <w:overflowPunct w:val="0"/>
        <w:topLinePunct w:val="0"/>
        <w:autoSpaceDE/>
        <w:autoSpaceDN/>
        <w:bidi w:val="0"/>
        <w:adjustRightInd/>
        <w:snapToGrid/>
        <w:spacing w:line="552" w:lineRule="exact"/>
        <w:ind w:left="0" w:leftChars="0" w:firstLine="640" w:firstLineChars="200"/>
        <w:textAlignment w:val="auto"/>
        <w:rPr>
          <w:rFonts w:hint="default" w:ascii="Times New Roman" w:hAnsi="Times New Roman" w:eastAsia="方正仿宋_GBK" w:cs="Times New Roman"/>
          <w:b w:val="0"/>
          <w:bCs w:val="0"/>
          <w:color w:val="auto"/>
          <w:sz w:val="32"/>
          <w:szCs w:val="32"/>
          <w:highlight w:val="none"/>
          <w:lang w:val="zh-CN" w:eastAsia="zh-CN"/>
        </w:rPr>
      </w:pPr>
      <w:r>
        <w:rPr>
          <w:rFonts w:hint="eastAsia" w:ascii="Times New Roman" w:hAnsi="Times New Roman" w:eastAsia="方正仿宋_GBK" w:cs="Times New Roman"/>
          <w:b w:val="0"/>
          <w:bCs w:val="0"/>
          <w:color w:val="auto"/>
          <w:sz w:val="32"/>
          <w:szCs w:val="32"/>
          <w:highlight w:val="none"/>
          <w:lang w:val="en" w:eastAsia="zh-CN"/>
        </w:rPr>
        <w:t>（</w:t>
      </w:r>
      <w:r>
        <w:rPr>
          <w:rFonts w:hint="default" w:ascii="Times New Roman" w:hAnsi="Times New Roman" w:eastAsia="方正仿宋_GBK" w:cs="Times New Roman"/>
          <w:b w:val="0"/>
          <w:bCs w:val="0"/>
          <w:color w:val="auto"/>
          <w:sz w:val="32"/>
          <w:szCs w:val="32"/>
          <w:highlight w:val="none"/>
          <w:lang w:val="en" w:eastAsia="zh-CN"/>
        </w:rPr>
        <w:t>3</w:t>
      </w:r>
      <w:r>
        <w:rPr>
          <w:rFonts w:hint="eastAsia" w:ascii="Times New Roman" w:hAnsi="Times New Roman" w:eastAsia="方正仿宋_GBK" w:cs="Times New Roman"/>
          <w:b w:val="0"/>
          <w:bCs w:val="0"/>
          <w:color w:val="auto"/>
          <w:sz w:val="32"/>
          <w:szCs w:val="32"/>
          <w:highlight w:val="none"/>
          <w:lang w:val="en" w:eastAsia="zh-CN"/>
        </w:rPr>
        <w:t>）</w:t>
      </w:r>
      <w:r>
        <w:rPr>
          <w:rFonts w:hint="default" w:ascii="Times New Roman" w:hAnsi="Times New Roman" w:eastAsia="方正仿宋_GBK" w:cs="Times New Roman"/>
          <w:b w:val="0"/>
          <w:bCs w:val="0"/>
          <w:color w:val="auto"/>
          <w:sz w:val="32"/>
          <w:szCs w:val="32"/>
          <w:highlight w:val="none"/>
          <w:lang w:val="zh-CN" w:eastAsia="zh-CN"/>
        </w:rPr>
        <w:t>预算年终结余</w:t>
      </w:r>
      <w:r>
        <w:rPr>
          <w:rFonts w:hint="eastAsia" w:ascii="Times New Roman" w:hAnsi="Times New Roman" w:eastAsia="方正仿宋_GBK" w:cs="Times New Roman"/>
          <w:b w:val="0"/>
          <w:bCs w:val="0"/>
          <w:color w:val="auto"/>
          <w:sz w:val="32"/>
          <w:szCs w:val="32"/>
          <w:highlight w:val="none"/>
          <w:lang w:val="zh-CN" w:eastAsia="zh-CN"/>
        </w:rPr>
        <w:t>。</w:t>
      </w:r>
      <w:r>
        <w:rPr>
          <w:rFonts w:hint="default" w:ascii="Times New Roman" w:hAnsi="Times New Roman" w:eastAsia="方正仿宋_GBK" w:cs="Times New Roman"/>
          <w:b w:val="0"/>
          <w:bCs w:val="0"/>
          <w:color w:val="auto"/>
          <w:sz w:val="32"/>
          <w:szCs w:val="32"/>
          <w:highlight w:val="none"/>
          <w:lang w:val="zh-CN" w:eastAsia="zh-CN"/>
        </w:rPr>
        <w:t>20</w:t>
      </w:r>
      <w:r>
        <w:rPr>
          <w:rFonts w:hint="eastAsia" w:ascii="Times New Roman" w:hAnsi="Times New Roman" w:eastAsia="方正仿宋_GBK" w:cs="Times New Roman"/>
          <w:b w:val="0"/>
          <w:bCs w:val="0"/>
          <w:color w:val="auto"/>
          <w:sz w:val="32"/>
          <w:szCs w:val="32"/>
          <w:highlight w:val="none"/>
          <w:lang w:val="en-US" w:eastAsia="zh-CN"/>
        </w:rPr>
        <w:t>25</w:t>
      </w:r>
      <w:r>
        <w:rPr>
          <w:rFonts w:hint="default" w:ascii="Times New Roman" w:hAnsi="Times New Roman" w:eastAsia="方正仿宋_GBK" w:cs="Times New Roman"/>
          <w:b w:val="0"/>
          <w:bCs w:val="0"/>
          <w:color w:val="auto"/>
          <w:sz w:val="32"/>
          <w:szCs w:val="32"/>
          <w:highlight w:val="none"/>
          <w:lang w:val="zh-CN" w:eastAsia="zh-CN"/>
        </w:rPr>
        <w:t>年</w:t>
      </w:r>
      <w:r>
        <w:rPr>
          <w:rFonts w:hint="default" w:ascii="Times New Roman" w:hAnsi="Times New Roman" w:eastAsia="方正仿宋_GBK" w:cs="Times New Roman"/>
          <w:b w:val="0"/>
          <w:bCs w:val="0"/>
          <w:color w:val="auto"/>
          <w:sz w:val="32"/>
          <w:szCs w:val="32"/>
          <w:highlight w:val="none"/>
          <w:lang w:val="en-US" w:eastAsia="zh-CN"/>
        </w:rPr>
        <w:t>市检察院</w:t>
      </w:r>
      <w:r>
        <w:rPr>
          <w:rFonts w:hint="default" w:ascii="Times New Roman" w:hAnsi="Times New Roman" w:eastAsia="方正仿宋_GBK" w:cs="Times New Roman"/>
          <w:b w:val="0"/>
          <w:bCs w:val="0"/>
          <w:color w:val="auto"/>
          <w:sz w:val="32"/>
          <w:szCs w:val="32"/>
          <w:highlight w:val="none"/>
          <w:lang w:val="zh-CN" w:eastAsia="zh-CN"/>
        </w:rPr>
        <w:t>严格落实财政结余资金管理相关规定，对预算执行形成的年终结余资金进行全面清理核实，分类规范处理。对因政策调整、项目延期等形成的结转资金，按规定向</w:t>
      </w:r>
      <w:r>
        <w:rPr>
          <w:rFonts w:hint="eastAsia" w:ascii="Times New Roman" w:hAnsi="Times New Roman" w:eastAsia="方正仿宋_GBK" w:cs="Times New Roman"/>
          <w:b w:val="0"/>
          <w:bCs w:val="0"/>
          <w:color w:val="auto"/>
          <w:sz w:val="32"/>
          <w:szCs w:val="32"/>
          <w:highlight w:val="none"/>
          <w:lang w:val="zh-CN" w:eastAsia="zh-CN"/>
        </w:rPr>
        <w:t>市</w:t>
      </w:r>
      <w:r>
        <w:rPr>
          <w:rFonts w:hint="default" w:ascii="Times New Roman" w:hAnsi="Times New Roman" w:eastAsia="方正仿宋_GBK" w:cs="Times New Roman"/>
          <w:b w:val="0"/>
          <w:bCs w:val="0"/>
          <w:color w:val="auto"/>
          <w:sz w:val="32"/>
          <w:szCs w:val="32"/>
          <w:highlight w:val="none"/>
          <w:lang w:val="zh-CN" w:eastAsia="zh-CN"/>
        </w:rPr>
        <w:t>财政部门申请结转使用；对已无使用需求的结余资金，按程序上缴财政。本年度整体年终结余资金规模控制在财政部门核定的合理范围内，未形成长期闲置的结余资金，实现了财政资金的高效统筹使用。</w:t>
      </w:r>
    </w:p>
    <w:p w14:paraId="1E719378">
      <w:pPr>
        <w:keepNext w:val="0"/>
        <w:keepLines w:val="0"/>
        <w:pageBreakBefore w:val="0"/>
        <w:widowControl w:val="0"/>
        <w:numPr>
          <w:ilvl w:val="0"/>
          <w:numId w:val="0"/>
        </w:numPr>
        <w:kinsoku/>
        <w:wordWrap/>
        <w:overflowPunct w:val="0"/>
        <w:topLinePunct w:val="0"/>
        <w:autoSpaceDE/>
        <w:autoSpaceDN/>
        <w:bidi w:val="0"/>
        <w:adjustRightInd/>
        <w:snapToGrid/>
        <w:spacing w:line="552" w:lineRule="exact"/>
        <w:ind w:left="0" w:leftChars="0" w:firstLine="640" w:firstLineChars="200"/>
        <w:textAlignment w:val="auto"/>
        <w:rPr>
          <w:rFonts w:hint="default" w:ascii="Times New Roman" w:hAnsi="Times New Roman" w:eastAsia="方正仿宋_GBK" w:cs="Times New Roman"/>
          <w:b w:val="0"/>
          <w:bCs w:val="0"/>
          <w:sz w:val="32"/>
          <w:szCs w:val="32"/>
          <w:highlight w:val="none"/>
          <w:lang w:val="zh-CN" w:eastAsia="zh-CN"/>
        </w:rPr>
      </w:pPr>
      <w:r>
        <w:rPr>
          <w:rFonts w:hint="eastAsia" w:ascii="Times New Roman" w:hAnsi="Times New Roman" w:eastAsia="方正仿宋_GBK" w:cs="Times New Roman"/>
          <w:b w:val="0"/>
          <w:bCs w:val="0"/>
          <w:sz w:val="32"/>
          <w:szCs w:val="32"/>
          <w:highlight w:val="none"/>
          <w:lang w:val="en" w:eastAsia="zh-CN"/>
        </w:rPr>
        <w:t>（</w:t>
      </w:r>
      <w:r>
        <w:rPr>
          <w:rFonts w:hint="default" w:ascii="Times New Roman" w:hAnsi="Times New Roman" w:eastAsia="方正仿宋_GBK" w:cs="Times New Roman"/>
          <w:b w:val="0"/>
          <w:bCs w:val="0"/>
          <w:sz w:val="32"/>
          <w:szCs w:val="32"/>
          <w:highlight w:val="none"/>
          <w:lang w:val="en" w:eastAsia="zh-CN"/>
        </w:rPr>
        <w:t>4</w:t>
      </w:r>
      <w:r>
        <w:rPr>
          <w:rFonts w:hint="eastAsia" w:ascii="Times New Roman" w:hAnsi="Times New Roman" w:eastAsia="方正仿宋_GBK" w:cs="Times New Roman"/>
          <w:b w:val="0"/>
          <w:bCs w:val="0"/>
          <w:sz w:val="32"/>
          <w:szCs w:val="32"/>
          <w:highlight w:val="none"/>
          <w:lang w:val="en" w:eastAsia="zh-CN"/>
        </w:rPr>
        <w:t>）</w:t>
      </w:r>
      <w:r>
        <w:rPr>
          <w:rFonts w:hint="default" w:ascii="Times New Roman" w:hAnsi="Times New Roman" w:eastAsia="方正仿宋_GBK" w:cs="Times New Roman"/>
          <w:b w:val="0"/>
          <w:bCs w:val="0"/>
          <w:sz w:val="32"/>
          <w:szCs w:val="32"/>
          <w:highlight w:val="none"/>
          <w:lang w:val="zh-CN" w:eastAsia="zh-CN"/>
        </w:rPr>
        <w:t>严控一般性支出。</w:t>
      </w:r>
      <w:r>
        <w:rPr>
          <w:rFonts w:hint="eastAsia" w:ascii="Times New Roman" w:hAnsi="Times New Roman" w:eastAsia="方正仿宋_GBK" w:cs="Times New Roman"/>
          <w:b w:val="0"/>
          <w:bCs w:val="0"/>
          <w:sz w:val="32"/>
          <w:szCs w:val="32"/>
          <w:highlight w:val="none"/>
          <w:lang w:val="en-US" w:eastAsia="zh-CN"/>
        </w:rPr>
        <w:t>2025年</w:t>
      </w:r>
      <w:r>
        <w:rPr>
          <w:rFonts w:hint="default" w:ascii="Times New Roman" w:hAnsi="Times New Roman" w:eastAsia="方正仿宋_GBK" w:cs="Times New Roman"/>
          <w:b w:val="0"/>
          <w:bCs w:val="0"/>
          <w:sz w:val="32"/>
          <w:szCs w:val="32"/>
          <w:highlight w:val="none"/>
          <w:lang w:val="zh-CN" w:eastAsia="zh-CN"/>
        </w:rPr>
        <w:t>市检察</w:t>
      </w:r>
      <w:r>
        <w:rPr>
          <w:rFonts w:hint="eastAsia" w:ascii="Times New Roman" w:hAnsi="Times New Roman" w:eastAsia="方正仿宋_GBK" w:cs="Times New Roman"/>
          <w:b w:val="0"/>
          <w:bCs w:val="0"/>
          <w:sz w:val="32"/>
          <w:szCs w:val="32"/>
          <w:highlight w:val="none"/>
          <w:lang w:val="zh-CN" w:eastAsia="zh-CN"/>
        </w:rPr>
        <w:t>院</w:t>
      </w:r>
      <w:r>
        <w:rPr>
          <w:rFonts w:hint="eastAsia" w:ascii="Times New Roman" w:hAnsi="Times New Roman" w:eastAsia="方正仿宋_GBK" w:cs="Times New Roman"/>
          <w:b w:val="0"/>
          <w:bCs w:val="0"/>
          <w:sz w:val="32"/>
          <w:szCs w:val="32"/>
          <w:highlight w:val="none"/>
          <w:lang w:val="en-US" w:eastAsia="zh-CN"/>
        </w:rPr>
        <w:t>严格落实中央及省市关于过“紧日子”的要求，持续压减一般性支出，重点管控“三公”经费、会议费、培训费、差旅费、办节办展经费、办公设备购置费、信息网络及软件购置更新费等一般性支出。从严审批一般性支出事项，严格执行公务接待、公务用车、因公出国（境）管理规定，精简会议培训规模，严控办公设备更新标准，无违规超标准、超范围支出一般性经费的情况，一般性支出规模较上年实现合理压减，财政资金使用效益进一步提升。</w:t>
      </w:r>
      <w:r>
        <w:rPr>
          <w:rFonts w:hint="default" w:ascii="Times New Roman" w:hAnsi="Times New Roman" w:eastAsia="方正仿宋_GBK" w:cs="Times New Roman"/>
          <w:b w:val="0"/>
          <w:bCs w:val="0"/>
          <w:sz w:val="32"/>
          <w:szCs w:val="32"/>
          <w:highlight w:val="none"/>
          <w:lang w:val="zh-CN" w:eastAsia="zh-CN"/>
        </w:rPr>
        <w:t>202</w:t>
      </w:r>
      <w:r>
        <w:rPr>
          <w:rFonts w:hint="eastAsia" w:ascii="Times New Roman" w:hAnsi="Times New Roman" w:eastAsia="方正仿宋_GBK" w:cs="Times New Roman"/>
          <w:b w:val="0"/>
          <w:bCs w:val="0"/>
          <w:sz w:val="32"/>
          <w:szCs w:val="32"/>
          <w:highlight w:val="none"/>
          <w:lang w:val="en-US" w:eastAsia="zh-CN"/>
        </w:rPr>
        <w:t>5</w:t>
      </w:r>
      <w:r>
        <w:rPr>
          <w:rFonts w:hint="default" w:ascii="Times New Roman" w:hAnsi="Times New Roman" w:eastAsia="方正仿宋_GBK" w:cs="Times New Roman"/>
          <w:b w:val="0"/>
          <w:bCs w:val="0"/>
          <w:sz w:val="32"/>
          <w:szCs w:val="32"/>
          <w:highlight w:val="none"/>
          <w:lang w:val="zh-CN" w:eastAsia="zh-CN"/>
        </w:rPr>
        <w:t>年，市检察</w:t>
      </w:r>
      <w:r>
        <w:rPr>
          <w:rFonts w:hint="eastAsia" w:cs="Times New Roman"/>
          <w:b w:val="0"/>
          <w:bCs w:val="0"/>
          <w:sz w:val="32"/>
          <w:szCs w:val="32"/>
          <w:highlight w:val="none"/>
          <w:lang w:val="zh-CN" w:eastAsia="zh-CN"/>
        </w:rPr>
        <w:t>院</w:t>
      </w:r>
      <w:r>
        <w:rPr>
          <w:rFonts w:hint="default" w:ascii="Times New Roman" w:hAnsi="Times New Roman" w:eastAsia="方正仿宋_GBK" w:cs="Times New Roman"/>
          <w:b w:val="0"/>
          <w:bCs w:val="0"/>
          <w:sz w:val="32"/>
          <w:szCs w:val="32"/>
          <w:highlight w:val="none"/>
          <w:lang w:val="zh-CN" w:eastAsia="zh-CN"/>
        </w:rPr>
        <w:t>会议费支出0.03万元</w:t>
      </w:r>
      <w:r>
        <w:rPr>
          <w:rFonts w:hint="default" w:ascii="Times New Roman" w:hAnsi="Times New Roman" w:eastAsia="方正仿宋_GBK" w:cs="Times New Roman"/>
          <w:b w:val="0"/>
          <w:bCs w:val="0"/>
          <w:sz w:val="32"/>
          <w:szCs w:val="32"/>
          <w:highlight w:val="none"/>
          <w:lang w:val="en" w:eastAsia="zh-CN"/>
        </w:rPr>
        <w:t>,</w:t>
      </w:r>
      <w:r>
        <w:rPr>
          <w:rFonts w:hint="default" w:ascii="Times New Roman" w:hAnsi="Times New Roman" w:eastAsia="方正仿宋_GBK" w:cs="Times New Roman"/>
          <w:b w:val="0"/>
          <w:bCs w:val="0"/>
          <w:sz w:val="32"/>
          <w:szCs w:val="32"/>
          <w:highlight w:val="none"/>
          <w:lang w:val="zh-CN" w:eastAsia="zh-CN"/>
        </w:rPr>
        <w:t>较上年下降71.22%</w:t>
      </w:r>
      <w:r>
        <w:rPr>
          <w:rFonts w:hint="eastAsia" w:ascii="Times New Roman" w:hAnsi="Times New Roman" w:eastAsia="方正仿宋_GBK" w:cs="Times New Roman"/>
          <w:b w:val="0"/>
          <w:bCs w:val="0"/>
          <w:sz w:val="32"/>
          <w:szCs w:val="32"/>
          <w:highlight w:val="none"/>
          <w:lang w:val="zh-CN" w:eastAsia="zh-CN"/>
        </w:rPr>
        <w:t>；</w:t>
      </w:r>
      <w:r>
        <w:rPr>
          <w:rFonts w:hint="eastAsia" w:ascii="Times New Roman" w:hAnsi="Times New Roman" w:eastAsia="方正仿宋_GBK" w:cs="Times New Roman"/>
          <w:b w:val="0"/>
          <w:bCs w:val="0"/>
          <w:sz w:val="32"/>
          <w:szCs w:val="32"/>
          <w:highlight w:val="none"/>
          <w:lang w:val="en-US" w:eastAsia="zh-CN"/>
        </w:rPr>
        <w:t>培训费支出8.7万元，较上年下降17.18%</w:t>
      </w:r>
      <w:r>
        <w:rPr>
          <w:rFonts w:hint="eastAsia" w:ascii="Times New Roman" w:hAnsi="Times New Roman" w:eastAsia="仿宋_GB2312" w:cs="Times New Roman"/>
          <w:b w:val="0"/>
          <w:bCs w:val="0"/>
          <w:sz w:val="32"/>
          <w:szCs w:val="32"/>
          <w:lang w:val="en-US" w:eastAsia="zh-CN"/>
        </w:rPr>
        <w:t>；</w:t>
      </w:r>
      <w:r>
        <w:rPr>
          <w:rFonts w:hint="eastAsia" w:ascii="Times New Roman" w:hAnsi="Times New Roman" w:eastAsia="方正仿宋_GBK" w:cs="Times New Roman"/>
          <w:b w:val="0"/>
          <w:bCs w:val="0"/>
          <w:sz w:val="32"/>
          <w:szCs w:val="32"/>
          <w:highlight w:val="none"/>
          <w:lang w:val="en-US" w:eastAsia="zh-CN"/>
        </w:rPr>
        <w:t>差旅费支出95.25万元，较上年减少25.36%</w:t>
      </w:r>
      <w:r>
        <w:rPr>
          <w:rFonts w:hint="default" w:ascii="Times New Roman" w:hAnsi="Times New Roman" w:eastAsia="方正仿宋_GBK" w:cs="Times New Roman"/>
          <w:b w:val="0"/>
          <w:bCs w:val="0"/>
          <w:sz w:val="32"/>
          <w:szCs w:val="32"/>
          <w:highlight w:val="none"/>
          <w:lang w:val="zh-CN" w:eastAsia="zh-CN"/>
        </w:rPr>
        <w:t>。下降</w:t>
      </w:r>
      <w:r>
        <w:rPr>
          <w:rFonts w:hint="default" w:ascii="Times New Roman" w:hAnsi="Times New Roman" w:eastAsia="方正仿宋_GBK" w:cs="Times New Roman"/>
          <w:b w:val="0"/>
          <w:bCs w:val="0"/>
          <w:sz w:val="32"/>
          <w:szCs w:val="32"/>
          <w:highlight w:val="none"/>
          <w:lang w:val="en-US" w:eastAsia="zh-CN"/>
        </w:rPr>
        <w:t>主要原因是：本年</w:t>
      </w:r>
      <w:r>
        <w:rPr>
          <w:rFonts w:hint="eastAsia" w:ascii="Times New Roman" w:hAnsi="Times New Roman" w:eastAsia="方正仿宋_GBK" w:cs="Times New Roman"/>
          <w:b w:val="0"/>
          <w:bCs w:val="0"/>
          <w:sz w:val="32"/>
          <w:szCs w:val="32"/>
          <w:highlight w:val="none"/>
          <w:lang w:val="en-US" w:eastAsia="zh-CN"/>
        </w:rPr>
        <w:t>进一步</w:t>
      </w:r>
      <w:r>
        <w:rPr>
          <w:rFonts w:hint="default" w:ascii="Times New Roman" w:hAnsi="Times New Roman" w:eastAsia="方正仿宋_GBK" w:cs="Times New Roman"/>
          <w:b w:val="0"/>
          <w:bCs w:val="0"/>
          <w:sz w:val="32"/>
          <w:szCs w:val="32"/>
          <w:highlight w:val="none"/>
          <w:lang w:val="en-US" w:eastAsia="zh-CN"/>
        </w:rPr>
        <w:t>厉行</w:t>
      </w:r>
      <w:r>
        <w:rPr>
          <w:rFonts w:hint="eastAsia" w:ascii="Times New Roman" w:hAnsi="Times New Roman" w:eastAsia="方正仿宋_GBK" w:cs="Times New Roman"/>
          <w:b w:val="0"/>
          <w:bCs w:val="0"/>
          <w:sz w:val="32"/>
          <w:szCs w:val="32"/>
          <w:highlight w:val="none"/>
          <w:lang w:val="en-US" w:eastAsia="zh-CN"/>
        </w:rPr>
        <w:t>勤俭</w:t>
      </w:r>
      <w:r>
        <w:rPr>
          <w:rFonts w:hint="default" w:ascii="Times New Roman" w:hAnsi="Times New Roman" w:eastAsia="方正仿宋_GBK" w:cs="Times New Roman"/>
          <w:b w:val="0"/>
          <w:bCs w:val="0"/>
          <w:sz w:val="32"/>
          <w:szCs w:val="32"/>
          <w:highlight w:val="none"/>
          <w:lang w:val="en-US" w:eastAsia="zh-CN"/>
        </w:rPr>
        <w:t>节约</w:t>
      </w:r>
      <w:r>
        <w:rPr>
          <w:rFonts w:hint="eastAsia" w:ascii="Times New Roman" w:hAnsi="Times New Roman" w:eastAsia="方正仿宋_GBK" w:cs="Times New Roman"/>
          <w:b w:val="0"/>
          <w:bCs w:val="0"/>
          <w:sz w:val="32"/>
          <w:szCs w:val="32"/>
          <w:highlight w:val="none"/>
          <w:lang w:val="en-US" w:eastAsia="zh-CN"/>
        </w:rPr>
        <w:t>制度，压减一般性支出</w:t>
      </w:r>
      <w:r>
        <w:rPr>
          <w:rFonts w:hint="default" w:ascii="Times New Roman" w:hAnsi="Times New Roman" w:eastAsia="方正仿宋_GBK" w:cs="Times New Roman"/>
          <w:b w:val="0"/>
          <w:bCs w:val="0"/>
          <w:sz w:val="32"/>
          <w:szCs w:val="32"/>
          <w:highlight w:val="none"/>
          <w:lang w:val="en-US" w:eastAsia="zh-CN"/>
        </w:rPr>
        <w:t>。</w:t>
      </w:r>
    </w:p>
    <w:p w14:paraId="05327777">
      <w:pPr>
        <w:keepNext w:val="0"/>
        <w:keepLines w:val="0"/>
        <w:pageBreakBefore w:val="0"/>
        <w:widowControl w:val="0"/>
        <w:numPr>
          <w:ilvl w:val="0"/>
          <w:numId w:val="0"/>
        </w:numPr>
        <w:kinsoku/>
        <w:wordWrap/>
        <w:overflowPunct w:val="0"/>
        <w:topLinePunct w:val="0"/>
        <w:autoSpaceDE/>
        <w:autoSpaceDN/>
        <w:bidi w:val="0"/>
        <w:adjustRightInd w:val="0"/>
        <w:snapToGrid w:val="0"/>
        <w:spacing w:line="552" w:lineRule="exact"/>
        <w:ind w:leftChars="200"/>
        <w:contextualSpacing/>
        <w:jc w:val="left"/>
        <w:textAlignment w:val="auto"/>
        <w:rPr>
          <w:rFonts w:hint="default" w:ascii="Times New Roman" w:hAnsi="Times New Roman" w:eastAsia="方正仿宋_GBK" w:cs="Times New Roman"/>
          <w:b w:val="0"/>
          <w:bCs w:val="0"/>
          <w:i w:val="0"/>
          <w:iCs w:val="0"/>
          <w:color w:val="000000"/>
          <w:kern w:val="0"/>
          <w:sz w:val="32"/>
          <w:szCs w:val="32"/>
          <w:highlight w:val="none"/>
          <w:shd w:val="clear" w:color="auto" w:fill="FFFFFF"/>
          <w:lang w:val="zh-CN" w:eastAsia="zh-CN"/>
        </w:rPr>
      </w:pPr>
      <w:r>
        <w:rPr>
          <w:rFonts w:hint="default" w:ascii="Times New Roman" w:hAnsi="Times New Roman" w:eastAsia="方正仿宋_GBK" w:cs="Times New Roman"/>
          <w:b w:val="0"/>
          <w:bCs w:val="0"/>
          <w:i w:val="0"/>
          <w:iCs w:val="0"/>
          <w:color w:val="000000"/>
          <w:kern w:val="0"/>
          <w:sz w:val="32"/>
          <w:szCs w:val="32"/>
          <w:highlight w:val="none"/>
          <w:shd w:val="clear" w:color="auto" w:fill="FFFFFF"/>
          <w:lang w:val="zh-CN" w:eastAsia="zh-CN"/>
        </w:rPr>
        <w:t>3.财务管理</w:t>
      </w:r>
    </w:p>
    <w:p w14:paraId="55A3A1D0">
      <w:pPr>
        <w:keepNext w:val="0"/>
        <w:keepLines w:val="0"/>
        <w:pageBreakBefore w:val="0"/>
        <w:widowControl w:val="0"/>
        <w:numPr>
          <w:ilvl w:val="0"/>
          <w:numId w:val="0"/>
        </w:numPr>
        <w:kinsoku/>
        <w:wordWrap/>
        <w:overflowPunct w:val="0"/>
        <w:topLinePunct w:val="0"/>
        <w:autoSpaceDE/>
        <w:autoSpaceDN/>
        <w:bidi w:val="0"/>
        <w:adjustRightInd/>
        <w:snapToGrid/>
        <w:spacing w:line="552" w:lineRule="exact"/>
        <w:ind w:left="0" w:leftChars="0" w:firstLine="640" w:firstLineChars="200"/>
        <w:textAlignment w:val="auto"/>
        <w:rPr>
          <w:rFonts w:hint="default" w:ascii="Times New Roman" w:hAnsi="Times New Roman" w:eastAsia="方正仿宋_GBK" w:cs="Times New Roman"/>
          <w:b w:val="0"/>
          <w:bCs w:val="0"/>
          <w:sz w:val="32"/>
          <w:szCs w:val="32"/>
          <w:highlight w:val="none"/>
          <w:lang w:val="zh-CN" w:eastAsia="zh-CN"/>
        </w:rPr>
      </w:pPr>
      <w:r>
        <w:rPr>
          <w:rFonts w:hint="eastAsia" w:ascii="Times New Roman" w:hAnsi="Times New Roman" w:eastAsia="方正仿宋_GBK" w:cs="Times New Roman"/>
          <w:b w:val="0"/>
          <w:bCs w:val="0"/>
          <w:sz w:val="32"/>
          <w:szCs w:val="32"/>
          <w:highlight w:val="none"/>
          <w:lang w:val="en" w:eastAsia="zh-CN"/>
        </w:rPr>
        <w:t>（</w:t>
      </w:r>
      <w:r>
        <w:rPr>
          <w:rFonts w:hint="default" w:ascii="Times New Roman" w:hAnsi="Times New Roman" w:eastAsia="方正仿宋_GBK" w:cs="Times New Roman"/>
          <w:b w:val="0"/>
          <w:bCs w:val="0"/>
          <w:sz w:val="32"/>
          <w:szCs w:val="32"/>
          <w:highlight w:val="none"/>
          <w:lang w:val="en" w:eastAsia="zh-CN"/>
        </w:rPr>
        <w:t>1</w:t>
      </w:r>
      <w:r>
        <w:rPr>
          <w:rFonts w:hint="eastAsia" w:ascii="Times New Roman" w:hAnsi="Times New Roman" w:eastAsia="方正仿宋_GBK" w:cs="Times New Roman"/>
          <w:b w:val="0"/>
          <w:bCs w:val="0"/>
          <w:sz w:val="32"/>
          <w:szCs w:val="32"/>
          <w:highlight w:val="none"/>
          <w:lang w:val="en" w:eastAsia="zh-CN"/>
        </w:rPr>
        <w:t>）</w:t>
      </w:r>
      <w:r>
        <w:rPr>
          <w:rFonts w:hint="default" w:ascii="Times New Roman" w:hAnsi="Times New Roman" w:eastAsia="方正仿宋_GBK" w:cs="Times New Roman"/>
          <w:b w:val="0"/>
          <w:bCs w:val="0"/>
          <w:sz w:val="32"/>
          <w:szCs w:val="32"/>
          <w:highlight w:val="none"/>
          <w:lang w:val="zh-CN" w:eastAsia="zh-CN"/>
        </w:rPr>
        <w:t>财务管理制度。</w:t>
      </w:r>
      <w:r>
        <w:rPr>
          <w:rFonts w:hint="default" w:ascii="Times New Roman" w:hAnsi="Times New Roman" w:eastAsia="方正仿宋_GBK" w:cs="Times New Roman"/>
          <w:b w:val="0"/>
          <w:bCs w:val="0"/>
          <w:sz w:val="32"/>
          <w:szCs w:val="32"/>
          <w:highlight w:val="none"/>
          <w:lang w:val="en-US" w:eastAsia="zh-CN"/>
        </w:rPr>
        <w:t>202</w:t>
      </w:r>
      <w:r>
        <w:rPr>
          <w:rFonts w:hint="eastAsia" w:ascii="Times New Roman" w:hAnsi="Times New Roman" w:eastAsia="方正仿宋_GBK" w:cs="Times New Roman"/>
          <w:b w:val="0"/>
          <w:bCs w:val="0"/>
          <w:sz w:val="32"/>
          <w:szCs w:val="32"/>
          <w:highlight w:val="none"/>
          <w:lang w:val="en-US" w:eastAsia="zh-CN"/>
        </w:rPr>
        <w:t>5</w:t>
      </w:r>
      <w:r>
        <w:rPr>
          <w:rFonts w:hint="default" w:ascii="Times New Roman" w:hAnsi="Times New Roman" w:eastAsia="方正仿宋_GBK" w:cs="Times New Roman"/>
          <w:b w:val="0"/>
          <w:bCs w:val="0"/>
          <w:sz w:val="32"/>
          <w:szCs w:val="32"/>
          <w:highlight w:val="none"/>
          <w:lang w:val="en-US" w:eastAsia="zh-CN"/>
        </w:rPr>
        <w:t>年</w:t>
      </w:r>
      <w:r>
        <w:rPr>
          <w:rFonts w:hint="default" w:ascii="Times New Roman" w:hAnsi="Times New Roman" w:eastAsia="方正仿宋_GBK" w:cs="Times New Roman"/>
          <w:b w:val="0"/>
          <w:bCs w:val="0"/>
          <w:sz w:val="32"/>
          <w:szCs w:val="32"/>
          <w:highlight w:val="none"/>
          <w:lang w:val="zh-CN" w:eastAsia="zh-CN"/>
        </w:rPr>
        <w:t>市检察院</w:t>
      </w:r>
      <w:r>
        <w:rPr>
          <w:rFonts w:hint="eastAsia" w:ascii="Times New Roman" w:hAnsi="Times New Roman" w:eastAsia="方正仿宋_GBK" w:cs="Times New Roman"/>
          <w:b w:val="0"/>
          <w:bCs w:val="0"/>
          <w:sz w:val="32"/>
          <w:szCs w:val="32"/>
          <w:highlight w:val="none"/>
          <w:lang w:val="en-US" w:eastAsia="zh-CN"/>
        </w:rPr>
        <w:t>对现有财务管理制度体系进行修订完善，建立健全了预算管理、收支管理、资产管理、政府采购管理、财务报销、内部控制等一系列配套制度，尤其针对政府采购事项，2025年完善了《四川省巴中市人民检察院政府采购内部控制管理制度（试行）》，形成了覆盖财务全流程的制度体系。各项财务管理制度均已正式印发执行，为我院财务管理工作提供了清晰、合规的制度依据，有效规范了财务收支行为，防范了财务风险。</w:t>
      </w:r>
    </w:p>
    <w:p w14:paraId="3D742E1B">
      <w:pPr>
        <w:keepNext w:val="0"/>
        <w:keepLines w:val="0"/>
        <w:pageBreakBefore w:val="0"/>
        <w:widowControl w:val="0"/>
        <w:numPr>
          <w:ilvl w:val="0"/>
          <w:numId w:val="0"/>
        </w:numPr>
        <w:kinsoku/>
        <w:wordWrap/>
        <w:overflowPunct w:val="0"/>
        <w:topLinePunct w:val="0"/>
        <w:autoSpaceDE/>
        <w:autoSpaceDN/>
        <w:bidi w:val="0"/>
        <w:adjustRightInd/>
        <w:snapToGrid/>
        <w:spacing w:line="552" w:lineRule="exact"/>
        <w:ind w:left="0" w:leftChars="0" w:firstLine="640" w:firstLineChars="200"/>
        <w:textAlignment w:val="auto"/>
        <w:rPr>
          <w:rFonts w:hint="default" w:ascii="Times New Roman" w:hAnsi="Times New Roman" w:eastAsia="方正仿宋_GBK" w:cs="Times New Roman"/>
          <w:b w:val="0"/>
          <w:bCs w:val="0"/>
          <w:color w:val="auto"/>
          <w:sz w:val="32"/>
          <w:szCs w:val="32"/>
          <w:highlight w:val="none"/>
          <w:lang w:val="zh-CN" w:eastAsia="zh-CN"/>
        </w:rPr>
      </w:pPr>
      <w:r>
        <w:rPr>
          <w:rFonts w:hint="eastAsia" w:ascii="Times New Roman" w:hAnsi="Times New Roman" w:eastAsia="方正仿宋_GBK" w:cs="Times New Roman"/>
          <w:b w:val="0"/>
          <w:bCs w:val="0"/>
          <w:sz w:val="32"/>
          <w:szCs w:val="32"/>
          <w:highlight w:val="none"/>
          <w:lang w:val="en" w:eastAsia="zh-CN"/>
        </w:rPr>
        <w:t>（</w:t>
      </w:r>
      <w:r>
        <w:rPr>
          <w:rFonts w:hint="default" w:ascii="Times New Roman" w:hAnsi="Times New Roman" w:eastAsia="方正仿宋_GBK" w:cs="Times New Roman"/>
          <w:b w:val="0"/>
          <w:bCs w:val="0"/>
          <w:sz w:val="32"/>
          <w:szCs w:val="32"/>
          <w:highlight w:val="none"/>
          <w:lang w:val="en" w:eastAsia="zh-CN"/>
        </w:rPr>
        <w:t>2</w:t>
      </w:r>
      <w:r>
        <w:rPr>
          <w:rFonts w:hint="eastAsia" w:ascii="Times New Roman" w:hAnsi="Times New Roman" w:eastAsia="方正仿宋_GBK" w:cs="Times New Roman"/>
          <w:b w:val="0"/>
          <w:bCs w:val="0"/>
          <w:sz w:val="32"/>
          <w:szCs w:val="32"/>
          <w:highlight w:val="none"/>
          <w:lang w:val="en" w:eastAsia="zh-CN"/>
        </w:rPr>
        <w:t>）</w:t>
      </w:r>
      <w:r>
        <w:rPr>
          <w:rFonts w:hint="default" w:ascii="Times New Roman" w:hAnsi="Times New Roman" w:eastAsia="方正仿宋_GBK" w:cs="Times New Roman"/>
          <w:b w:val="0"/>
          <w:bCs w:val="0"/>
          <w:sz w:val="32"/>
          <w:szCs w:val="32"/>
          <w:highlight w:val="none"/>
          <w:lang w:val="zh-CN" w:eastAsia="zh-CN"/>
        </w:rPr>
        <w:t>财务岗位设置。市检察院</w:t>
      </w:r>
      <w:r>
        <w:rPr>
          <w:rFonts w:hint="eastAsia" w:ascii="Times New Roman" w:hAnsi="Times New Roman" w:eastAsia="方正仿宋_GBK" w:cs="Times New Roman"/>
          <w:b w:val="0"/>
          <w:bCs w:val="0"/>
          <w:sz w:val="32"/>
          <w:szCs w:val="32"/>
          <w:highlight w:val="none"/>
          <w:lang w:val="en-US" w:eastAsia="zh-CN"/>
        </w:rPr>
        <w:t>严格按照不相容岗位分离原则设置财务岗位，明确各岗</w:t>
      </w:r>
      <w:r>
        <w:rPr>
          <w:rFonts w:hint="eastAsia" w:ascii="Times New Roman" w:hAnsi="Times New Roman" w:eastAsia="方正仿宋_GBK" w:cs="Times New Roman"/>
          <w:b w:val="0"/>
          <w:bCs w:val="0"/>
          <w:color w:val="auto"/>
          <w:sz w:val="32"/>
          <w:szCs w:val="32"/>
          <w:highlight w:val="none"/>
          <w:lang w:val="en-US" w:eastAsia="zh-CN"/>
        </w:rPr>
        <w:t>位职责权限，做到了会计与出纳岗位分设、审批与执行岗位分离、票据保管与账务处理岗位分离，符合《会计基础工作规范》及检察机关财务</w:t>
      </w:r>
      <w:r>
        <w:rPr>
          <w:rFonts w:hint="eastAsia" w:ascii="Times New Roman" w:hAnsi="Times New Roman" w:eastAsia="方正仿宋_GBK" w:cs="Times New Roman"/>
          <w:b w:val="0"/>
          <w:bCs w:val="0"/>
          <w:sz w:val="32"/>
          <w:szCs w:val="32"/>
          <w:highlight w:val="none"/>
          <w:lang w:val="en-US" w:eastAsia="zh-CN"/>
        </w:rPr>
        <w:t>管</w:t>
      </w:r>
      <w:r>
        <w:rPr>
          <w:rFonts w:hint="eastAsia" w:ascii="Times New Roman" w:hAnsi="Times New Roman" w:eastAsia="方正仿宋_GBK" w:cs="Times New Roman"/>
          <w:b w:val="0"/>
          <w:bCs w:val="0"/>
          <w:color w:val="auto"/>
          <w:sz w:val="32"/>
          <w:szCs w:val="32"/>
          <w:highlight w:val="none"/>
          <w:lang w:val="en-US" w:eastAsia="zh-CN"/>
        </w:rPr>
        <w:t>理相关制度要求。各财务岗位人员均具备相应的从业资格与专业能力，岗位设置科学合规，有效保障了财务工作的规范运行。</w:t>
      </w:r>
    </w:p>
    <w:p w14:paraId="08F41FC6">
      <w:pPr>
        <w:keepNext w:val="0"/>
        <w:keepLines w:val="0"/>
        <w:pageBreakBefore w:val="0"/>
        <w:widowControl w:val="0"/>
        <w:numPr>
          <w:ilvl w:val="0"/>
          <w:numId w:val="0"/>
        </w:numPr>
        <w:kinsoku/>
        <w:wordWrap/>
        <w:overflowPunct w:val="0"/>
        <w:topLinePunct w:val="0"/>
        <w:autoSpaceDE/>
        <w:autoSpaceDN/>
        <w:bidi w:val="0"/>
        <w:adjustRightInd/>
        <w:snapToGrid/>
        <w:spacing w:line="552" w:lineRule="exact"/>
        <w:ind w:left="0" w:leftChars="0" w:firstLine="640" w:firstLineChars="200"/>
        <w:textAlignment w:val="auto"/>
        <w:rPr>
          <w:rFonts w:hint="default" w:ascii="Times New Roman" w:hAnsi="Times New Roman" w:eastAsia="方正仿宋_GBK" w:cs="Times New Roman"/>
          <w:b w:val="0"/>
          <w:bCs w:val="0"/>
          <w:sz w:val="32"/>
          <w:szCs w:val="32"/>
          <w:highlight w:val="none"/>
          <w:lang w:val="zh-CN" w:eastAsia="zh-CN"/>
        </w:rPr>
      </w:pPr>
      <w:r>
        <w:rPr>
          <w:rFonts w:hint="eastAsia" w:ascii="Times New Roman" w:hAnsi="Times New Roman" w:eastAsia="方正仿宋_GBK" w:cs="Times New Roman"/>
          <w:b w:val="0"/>
          <w:bCs w:val="0"/>
          <w:sz w:val="32"/>
          <w:szCs w:val="32"/>
          <w:highlight w:val="none"/>
          <w:lang w:val="en" w:eastAsia="zh-CN"/>
        </w:rPr>
        <w:t>（</w:t>
      </w:r>
      <w:r>
        <w:rPr>
          <w:rFonts w:hint="default" w:ascii="Times New Roman" w:hAnsi="Times New Roman" w:eastAsia="方正仿宋_GBK" w:cs="Times New Roman"/>
          <w:b w:val="0"/>
          <w:bCs w:val="0"/>
          <w:sz w:val="32"/>
          <w:szCs w:val="32"/>
          <w:highlight w:val="none"/>
          <w:lang w:val="en" w:eastAsia="zh-CN"/>
        </w:rPr>
        <w:t>3</w:t>
      </w:r>
      <w:r>
        <w:rPr>
          <w:rFonts w:hint="eastAsia" w:ascii="Times New Roman" w:hAnsi="Times New Roman" w:eastAsia="方正仿宋_GBK" w:cs="Times New Roman"/>
          <w:b w:val="0"/>
          <w:bCs w:val="0"/>
          <w:sz w:val="32"/>
          <w:szCs w:val="32"/>
          <w:highlight w:val="none"/>
          <w:lang w:val="en" w:eastAsia="zh-CN"/>
        </w:rPr>
        <w:t>）</w:t>
      </w:r>
      <w:r>
        <w:rPr>
          <w:rFonts w:hint="default" w:ascii="Times New Roman" w:hAnsi="Times New Roman" w:eastAsia="方正仿宋_GBK" w:cs="Times New Roman"/>
          <w:b w:val="0"/>
          <w:bCs w:val="0"/>
          <w:sz w:val="32"/>
          <w:szCs w:val="32"/>
          <w:highlight w:val="none"/>
          <w:lang w:val="zh-CN" w:eastAsia="zh-CN"/>
        </w:rPr>
        <w:t>资金使用规范。市检察院</w:t>
      </w:r>
      <w:r>
        <w:rPr>
          <w:rFonts w:hint="eastAsia" w:ascii="Times New Roman" w:hAnsi="Times New Roman" w:eastAsia="方正仿宋_GBK" w:cs="Times New Roman"/>
          <w:b w:val="0"/>
          <w:bCs w:val="0"/>
          <w:sz w:val="32"/>
          <w:szCs w:val="32"/>
          <w:highlight w:val="none"/>
          <w:lang w:val="en-US" w:eastAsia="zh-CN"/>
        </w:rPr>
        <w:t>严格执行财务管理制度及财政资金使用管理规定，所有资金收支均纳入预算管理，严格执行国库集中支付制度，资金拨付、报销审批流程规范。对检察业务经费、办案经费、项目经费等各类资金实行专款专用，无截留、挤占、挪用、虚列支出等违规使用资金的情况；严格执行财务报销审核制度，对票据真实性、合规性、完整性进行严格审核，确保资金使用合法合规、专款专用，财政资金的安全高效使用。</w:t>
      </w:r>
    </w:p>
    <w:p w14:paraId="26F168F3">
      <w:pPr>
        <w:keepNext w:val="0"/>
        <w:keepLines w:val="0"/>
        <w:pageBreakBefore w:val="0"/>
        <w:widowControl w:val="0"/>
        <w:numPr>
          <w:ilvl w:val="0"/>
          <w:numId w:val="0"/>
        </w:numPr>
        <w:kinsoku/>
        <w:wordWrap/>
        <w:overflowPunct w:val="0"/>
        <w:topLinePunct w:val="0"/>
        <w:autoSpaceDE/>
        <w:autoSpaceDN/>
        <w:bidi w:val="0"/>
        <w:adjustRightInd w:val="0"/>
        <w:snapToGrid w:val="0"/>
        <w:spacing w:line="552" w:lineRule="exact"/>
        <w:ind w:leftChars="200"/>
        <w:contextualSpacing/>
        <w:jc w:val="left"/>
        <w:textAlignment w:val="auto"/>
        <w:rPr>
          <w:rFonts w:hint="default" w:ascii="Times New Roman" w:hAnsi="Times New Roman" w:eastAsia="方正仿宋_GBK" w:cs="Times New Roman"/>
          <w:b w:val="0"/>
          <w:bCs w:val="0"/>
          <w:i w:val="0"/>
          <w:iCs w:val="0"/>
          <w:color w:val="000000"/>
          <w:kern w:val="0"/>
          <w:sz w:val="32"/>
          <w:szCs w:val="32"/>
          <w:highlight w:val="none"/>
          <w:shd w:val="clear" w:color="auto" w:fill="FFFFFF"/>
          <w:lang w:val="zh-CN" w:eastAsia="zh-CN"/>
        </w:rPr>
      </w:pPr>
      <w:r>
        <w:rPr>
          <w:rFonts w:hint="eastAsia" w:ascii="Times New Roman" w:hAnsi="Times New Roman" w:eastAsia="方正仿宋_GBK" w:cs="Times New Roman"/>
          <w:b w:val="0"/>
          <w:bCs w:val="0"/>
          <w:i w:val="0"/>
          <w:iCs w:val="0"/>
          <w:color w:val="000000"/>
          <w:kern w:val="0"/>
          <w:sz w:val="32"/>
          <w:szCs w:val="32"/>
          <w:highlight w:val="none"/>
          <w:shd w:val="clear" w:color="auto" w:fill="FFFFFF"/>
          <w:lang w:val="en-US" w:eastAsia="zh-CN"/>
        </w:rPr>
        <w:t>4.</w:t>
      </w:r>
      <w:r>
        <w:rPr>
          <w:rFonts w:hint="default" w:ascii="Times New Roman" w:hAnsi="Times New Roman" w:eastAsia="方正仿宋_GBK" w:cs="Times New Roman"/>
          <w:b w:val="0"/>
          <w:bCs w:val="0"/>
          <w:i w:val="0"/>
          <w:iCs w:val="0"/>
          <w:color w:val="000000"/>
          <w:kern w:val="0"/>
          <w:sz w:val="32"/>
          <w:szCs w:val="32"/>
          <w:highlight w:val="none"/>
          <w:shd w:val="clear" w:color="auto" w:fill="FFFFFF"/>
          <w:lang w:val="zh-CN" w:eastAsia="zh-CN"/>
        </w:rPr>
        <w:t>资产管理</w:t>
      </w:r>
    </w:p>
    <w:p w14:paraId="5D2DF844">
      <w:pPr>
        <w:keepNext w:val="0"/>
        <w:keepLines w:val="0"/>
        <w:pageBreakBefore w:val="0"/>
        <w:widowControl w:val="0"/>
        <w:numPr>
          <w:ilvl w:val="0"/>
          <w:numId w:val="0"/>
        </w:numPr>
        <w:kinsoku/>
        <w:wordWrap/>
        <w:overflowPunct w:val="0"/>
        <w:topLinePunct w:val="0"/>
        <w:autoSpaceDE/>
        <w:autoSpaceDN/>
        <w:bidi w:val="0"/>
        <w:adjustRightInd/>
        <w:snapToGrid/>
        <w:spacing w:line="552" w:lineRule="exact"/>
        <w:ind w:left="0" w:leftChars="0" w:firstLine="640" w:firstLineChars="200"/>
        <w:textAlignment w:val="auto"/>
        <w:rPr>
          <w:rFonts w:hint="default" w:ascii="Times New Roman" w:hAnsi="Times New Roman" w:eastAsia="方正仿宋_GBK" w:cs="Times New Roman"/>
          <w:b w:val="0"/>
          <w:bCs w:val="0"/>
          <w:sz w:val="32"/>
          <w:szCs w:val="32"/>
          <w:highlight w:val="none"/>
          <w:lang w:val="zh-CN" w:eastAsia="zh-CN"/>
        </w:rPr>
      </w:pPr>
      <w:r>
        <w:rPr>
          <w:rFonts w:hint="eastAsia" w:ascii="Times New Roman" w:hAnsi="Times New Roman" w:eastAsia="方正仿宋_GBK" w:cs="Times New Roman"/>
          <w:b w:val="0"/>
          <w:bCs w:val="0"/>
          <w:sz w:val="32"/>
          <w:szCs w:val="32"/>
          <w:highlight w:val="none"/>
          <w:lang w:val="en" w:eastAsia="zh-CN"/>
        </w:rPr>
        <w:t>（</w:t>
      </w:r>
      <w:r>
        <w:rPr>
          <w:rFonts w:hint="default" w:ascii="Times New Roman" w:hAnsi="Times New Roman" w:eastAsia="方正仿宋_GBK" w:cs="Times New Roman"/>
          <w:b w:val="0"/>
          <w:bCs w:val="0"/>
          <w:sz w:val="32"/>
          <w:szCs w:val="32"/>
          <w:highlight w:val="none"/>
          <w:lang w:val="en" w:eastAsia="zh-CN"/>
        </w:rPr>
        <w:t>1</w:t>
      </w:r>
      <w:r>
        <w:rPr>
          <w:rFonts w:hint="eastAsia" w:ascii="Times New Roman" w:hAnsi="Times New Roman" w:eastAsia="方正仿宋_GBK" w:cs="Times New Roman"/>
          <w:b w:val="0"/>
          <w:bCs w:val="0"/>
          <w:sz w:val="32"/>
          <w:szCs w:val="32"/>
          <w:highlight w:val="none"/>
          <w:lang w:val="en" w:eastAsia="zh-CN"/>
        </w:rPr>
        <w:t>）</w:t>
      </w:r>
      <w:r>
        <w:rPr>
          <w:rFonts w:hint="default" w:ascii="Times New Roman" w:hAnsi="Times New Roman" w:eastAsia="方正仿宋_GBK" w:cs="Times New Roman"/>
          <w:b w:val="0"/>
          <w:bCs w:val="0"/>
          <w:sz w:val="32"/>
          <w:szCs w:val="32"/>
          <w:highlight w:val="none"/>
          <w:lang w:val="zh-CN" w:eastAsia="zh-CN"/>
        </w:rPr>
        <w:t>人均资产变化率</w:t>
      </w:r>
      <w:r>
        <w:rPr>
          <w:rFonts w:hint="eastAsia" w:ascii="Times New Roman" w:hAnsi="Times New Roman" w:eastAsia="方正仿宋_GBK" w:cs="Times New Roman"/>
          <w:b w:val="0"/>
          <w:bCs w:val="0"/>
          <w:sz w:val="32"/>
          <w:szCs w:val="32"/>
          <w:highlight w:val="none"/>
          <w:lang w:val="zh-CN" w:eastAsia="zh-CN"/>
        </w:rPr>
        <w:t>。市检察院严格按照资产管理相关规定，对新增资产配置进行科学规划，结合检察业务发展需求，合理配置办案设备、办公设备等资产，同步规范资产处置流程，对达到使用年限、无使用价值的资产按规定进行报废处置。年末，我院资产总量与在职人员规模相匹配，人均资产规模保持合理水平，资产配置与业务履职需求高度适配，未出现超标准配置资产、资产闲置浪费等问题，人均资产变化率处于合理区间。</w:t>
      </w:r>
    </w:p>
    <w:p w14:paraId="317A6CC4">
      <w:pPr>
        <w:keepNext w:val="0"/>
        <w:keepLines w:val="0"/>
        <w:pageBreakBefore w:val="0"/>
        <w:widowControl w:val="0"/>
        <w:numPr>
          <w:ilvl w:val="0"/>
          <w:numId w:val="0"/>
        </w:numPr>
        <w:kinsoku/>
        <w:wordWrap/>
        <w:overflowPunct w:val="0"/>
        <w:topLinePunct w:val="0"/>
        <w:autoSpaceDE/>
        <w:autoSpaceDN/>
        <w:bidi w:val="0"/>
        <w:adjustRightInd/>
        <w:snapToGrid/>
        <w:spacing w:line="552" w:lineRule="exact"/>
        <w:ind w:left="0" w:leftChars="0" w:firstLine="640" w:firstLineChars="200"/>
        <w:textAlignment w:val="auto"/>
        <w:rPr>
          <w:rFonts w:hint="default" w:ascii="Times New Roman" w:hAnsi="Times New Roman" w:eastAsia="方正仿宋_GBK" w:cs="Times New Roman"/>
          <w:b w:val="0"/>
          <w:bCs w:val="0"/>
          <w:sz w:val="32"/>
          <w:szCs w:val="32"/>
          <w:highlight w:val="none"/>
          <w:lang w:val="zh-CN" w:eastAsia="zh-CN"/>
        </w:rPr>
      </w:pPr>
      <w:r>
        <w:rPr>
          <w:rFonts w:hint="eastAsia" w:ascii="Times New Roman" w:hAnsi="Times New Roman" w:eastAsia="方正仿宋_GBK" w:cs="Times New Roman"/>
          <w:b w:val="0"/>
          <w:bCs w:val="0"/>
          <w:sz w:val="32"/>
          <w:szCs w:val="32"/>
          <w:highlight w:val="none"/>
          <w:lang w:val="en" w:eastAsia="zh-CN"/>
        </w:rPr>
        <w:t>（</w:t>
      </w:r>
      <w:r>
        <w:rPr>
          <w:rFonts w:hint="default" w:ascii="Times New Roman" w:hAnsi="Times New Roman" w:eastAsia="方正仿宋_GBK" w:cs="Times New Roman"/>
          <w:b w:val="0"/>
          <w:bCs w:val="0"/>
          <w:sz w:val="32"/>
          <w:szCs w:val="32"/>
          <w:highlight w:val="none"/>
          <w:lang w:val="en" w:eastAsia="zh-CN"/>
        </w:rPr>
        <w:t>2</w:t>
      </w:r>
      <w:r>
        <w:rPr>
          <w:rFonts w:hint="eastAsia" w:ascii="Times New Roman" w:hAnsi="Times New Roman" w:eastAsia="方正仿宋_GBK" w:cs="Times New Roman"/>
          <w:b w:val="0"/>
          <w:bCs w:val="0"/>
          <w:sz w:val="32"/>
          <w:szCs w:val="32"/>
          <w:highlight w:val="none"/>
          <w:lang w:val="en" w:eastAsia="zh-CN"/>
        </w:rPr>
        <w:t>）</w:t>
      </w:r>
      <w:r>
        <w:rPr>
          <w:rFonts w:hint="default" w:ascii="Times New Roman" w:hAnsi="Times New Roman" w:eastAsia="方正仿宋_GBK" w:cs="Times New Roman"/>
          <w:b w:val="0"/>
          <w:bCs w:val="0"/>
          <w:sz w:val="32"/>
          <w:szCs w:val="32"/>
          <w:highlight w:val="none"/>
          <w:lang w:val="zh-CN" w:eastAsia="zh-CN"/>
        </w:rPr>
        <w:t>资产利用率</w:t>
      </w:r>
      <w:r>
        <w:rPr>
          <w:rFonts w:hint="eastAsia" w:ascii="Times New Roman" w:hAnsi="Times New Roman" w:eastAsia="方正仿宋_GBK" w:cs="Times New Roman"/>
          <w:b w:val="0"/>
          <w:bCs w:val="0"/>
          <w:sz w:val="32"/>
          <w:szCs w:val="32"/>
          <w:highlight w:val="none"/>
          <w:lang w:val="zh-CN" w:eastAsia="zh-CN"/>
        </w:rPr>
        <w:t>。市检察院</w:t>
      </w:r>
      <w:r>
        <w:rPr>
          <w:rFonts w:hint="default" w:ascii="Times New Roman" w:hAnsi="Times New Roman" w:eastAsia="方正仿宋_GBK" w:cs="Times New Roman"/>
          <w:b w:val="0"/>
          <w:bCs w:val="0"/>
          <w:sz w:val="32"/>
          <w:szCs w:val="32"/>
          <w:highlight w:val="none"/>
          <w:lang w:val="zh-CN" w:eastAsia="zh-CN"/>
        </w:rPr>
        <w:t>持续推进资产精细化管理，对各类资产的购置、使用、维护、处置全流程进行台账管理，定期开展资产盘点核查，全面掌握资产使用状态。对达到最低使用年限的资产，根据使用状况评估后，优先保障业务使用需求，无提前报废、闲置浪费的情况；对办公设备、办案装备等资产，建立共享使用机制，提升资产使用效率，资产整体利用率较高，有效保障了检察业务工作的正常开展。</w:t>
      </w:r>
    </w:p>
    <w:p w14:paraId="2D42F809">
      <w:pPr>
        <w:keepNext w:val="0"/>
        <w:keepLines w:val="0"/>
        <w:pageBreakBefore w:val="0"/>
        <w:widowControl w:val="0"/>
        <w:numPr>
          <w:ilvl w:val="0"/>
          <w:numId w:val="0"/>
        </w:numPr>
        <w:kinsoku/>
        <w:wordWrap/>
        <w:overflowPunct w:val="0"/>
        <w:topLinePunct w:val="0"/>
        <w:autoSpaceDE/>
        <w:autoSpaceDN/>
        <w:bidi w:val="0"/>
        <w:adjustRightInd/>
        <w:snapToGrid/>
        <w:spacing w:line="552" w:lineRule="exact"/>
        <w:ind w:left="0" w:firstLine="640" w:firstLineChars="200"/>
        <w:textAlignment w:val="auto"/>
        <w:rPr>
          <w:rFonts w:hint="default" w:ascii="Times New Roman" w:hAnsi="Times New Roman" w:eastAsia="方正仿宋_GBK" w:cs="Times New Roman"/>
          <w:b w:val="0"/>
          <w:bCs w:val="0"/>
          <w:sz w:val="32"/>
          <w:szCs w:val="32"/>
          <w:highlight w:val="none"/>
          <w:lang w:val="zh-CN" w:eastAsia="zh-CN"/>
        </w:rPr>
      </w:pPr>
      <w:r>
        <w:rPr>
          <w:rFonts w:hint="eastAsia" w:ascii="Times New Roman" w:hAnsi="Times New Roman" w:eastAsia="方正仿宋_GBK" w:cs="Times New Roman"/>
          <w:b w:val="0"/>
          <w:bCs w:val="0"/>
          <w:sz w:val="32"/>
          <w:szCs w:val="32"/>
          <w:highlight w:val="none"/>
          <w:lang w:val="zh-CN" w:eastAsia="zh-CN"/>
        </w:rPr>
        <w:t>（</w:t>
      </w:r>
      <w:r>
        <w:rPr>
          <w:rFonts w:hint="eastAsia" w:ascii="Times New Roman" w:hAnsi="Times New Roman" w:eastAsia="方正仿宋_GBK" w:cs="Times New Roman"/>
          <w:b w:val="0"/>
          <w:bCs w:val="0"/>
          <w:sz w:val="32"/>
          <w:szCs w:val="32"/>
          <w:highlight w:val="none"/>
          <w:lang w:val="en-US" w:eastAsia="zh-CN"/>
        </w:rPr>
        <w:t>3</w:t>
      </w:r>
      <w:r>
        <w:rPr>
          <w:rFonts w:hint="eastAsia" w:ascii="Times New Roman" w:hAnsi="Times New Roman" w:eastAsia="方正仿宋_GBK" w:cs="Times New Roman"/>
          <w:b w:val="0"/>
          <w:bCs w:val="0"/>
          <w:sz w:val="32"/>
          <w:szCs w:val="32"/>
          <w:highlight w:val="none"/>
          <w:lang w:val="zh-CN" w:eastAsia="zh-CN"/>
        </w:rPr>
        <w:t>）</w:t>
      </w:r>
      <w:r>
        <w:rPr>
          <w:rFonts w:hint="default" w:ascii="Times New Roman" w:hAnsi="Times New Roman" w:eastAsia="方正仿宋_GBK" w:cs="Times New Roman"/>
          <w:b w:val="0"/>
          <w:bCs w:val="0"/>
          <w:sz w:val="32"/>
          <w:szCs w:val="32"/>
          <w:highlight w:val="none"/>
          <w:lang w:val="en-US" w:eastAsia="zh-CN"/>
        </w:rPr>
        <w:t>资产盘活率</w:t>
      </w:r>
      <w:r>
        <w:rPr>
          <w:rFonts w:hint="eastAsia" w:ascii="Times New Roman" w:hAnsi="Times New Roman" w:eastAsia="方正仿宋_GBK" w:cs="Times New Roman"/>
          <w:b w:val="0"/>
          <w:bCs w:val="0"/>
          <w:sz w:val="32"/>
          <w:szCs w:val="32"/>
          <w:highlight w:val="none"/>
          <w:lang w:val="en-US" w:eastAsia="zh-CN"/>
        </w:rPr>
        <w:t>。2025年市检察院组织开展了闲置资产专项清理工作，对闲置的办公设备、信息化设备、办案装备等资产进行全面排查，建立闲置资产台账，分类制定盘活措施。对仍有使用价值的闲置资产，通过内部调剂调配至业务需求部门，优先保障基层办案一线使用；对无调剂使用价值的资产，按规定程序进行处置。本年度闲置资产盘活率达到财政部门要求，有效盘活了存量资产，避免了资产闲置浪费，提升了资产使用效益。</w:t>
      </w:r>
    </w:p>
    <w:p w14:paraId="594D6118">
      <w:pPr>
        <w:keepNext w:val="0"/>
        <w:keepLines w:val="0"/>
        <w:pageBreakBefore w:val="0"/>
        <w:widowControl w:val="0"/>
        <w:numPr>
          <w:ilvl w:val="0"/>
          <w:numId w:val="0"/>
        </w:numPr>
        <w:kinsoku/>
        <w:wordWrap/>
        <w:overflowPunct w:val="0"/>
        <w:topLinePunct w:val="0"/>
        <w:autoSpaceDE/>
        <w:autoSpaceDN/>
        <w:bidi w:val="0"/>
        <w:adjustRightInd w:val="0"/>
        <w:snapToGrid w:val="0"/>
        <w:spacing w:line="552" w:lineRule="exact"/>
        <w:ind w:leftChars="200"/>
        <w:contextualSpacing/>
        <w:jc w:val="left"/>
        <w:textAlignment w:val="auto"/>
        <w:rPr>
          <w:rFonts w:hint="default" w:ascii="Times New Roman" w:hAnsi="Times New Roman" w:eastAsia="方正仿宋_GBK" w:cs="Times New Roman"/>
          <w:b w:val="0"/>
          <w:bCs w:val="0"/>
          <w:i w:val="0"/>
          <w:iCs w:val="0"/>
          <w:color w:val="000000"/>
          <w:kern w:val="0"/>
          <w:sz w:val="32"/>
          <w:szCs w:val="32"/>
          <w:highlight w:val="none"/>
          <w:shd w:val="clear" w:color="auto" w:fill="FFFFFF"/>
          <w:lang w:val="zh-CN" w:eastAsia="zh-CN"/>
        </w:rPr>
      </w:pPr>
      <w:r>
        <w:rPr>
          <w:rFonts w:hint="eastAsia" w:ascii="Times New Roman" w:hAnsi="Times New Roman" w:eastAsia="方正仿宋_GBK" w:cs="Times New Roman"/>
          <w:b w:val="0"/>
          <w:bCs w:val="0"/>
          <w:i w:val="0"/>
          <w:iCs w:val="0"/>
          <w:color w:val="000000"/>
          <w:kern w:val="0"/>
          <w:sz w:val="32"/>
          <w:szCs w:val="32"/>
          <w:highlight w:val="none"/>
          <w:shd w:val="clear" w:color="auto" w:fill="FFFFFF"/>
          <w:lang w:val="en-US" w:eastAsia="zh-CN"/>
        </w:rPr>
        <w:t>5.</w:t>
      </w:r>
      <w:r>
        <w:rPr>
          <w:rFonts w:hint="default" w:ascii="Times New Roman" w:hAnsi="Times New Roman" w:eastAsia="方正仿宋_GBK" w:cs="Times New Roman"/>
          <w:b w:val="0"/>
          <w:bCs w:val="0"/>
          <w:i w:val="0"/>
          <w:iCs w:val="0"/>
          <w:color w:val="000000"/>
          <w:kern w:val="0"/>
          <w:sz w:val="32"/>
          <w:szCs w:val="32"/>
          <w:highlight w:val="none"/>
          <w:shd w:val="clear" w:color="auto" w:fill="FFFFFF"/>
          <w:lang w:val="zh-CN" w:eastAsia="zh-CN"/>
        </w:rPr>
        <w:t>采购管理</w:t>
      </w:r>
    </w:p>
    <w:p w14:paraId="39207764">
      <w:pPr>
        <w:keepNext w:val="0"/>
        <w:keepLines w:val="0"/>
        <w:pageBreakBefore w:val="0"/>
        <w:widowControl w:val="0"/>
        <w:numPr>
          <w:ilvl w:val="0"/>
          <w:numId w:val="0"/>
        </w:numPr>
        <w:kinsoku/>
        <w:wordWrap/>
        <w:overflowPunct w:val="0"/>
        <w:topLinePunct w:val="0"/>
        <w:autoSpaceDE/>
        <w:autoSpaceDN/>
        <w:bidi w:val="0"/>
        <w:adjustRightInd/>
        <w:snapToGrid/>
        <w:spacing w:line="552" w:lineRule="exact"/>
        <w:ind w:firstLine="640" w:firstLineChars="200"/>
        <w:textAlignment w:val="auto"/>
        <w:rPr>
          <w:rFonts w:hint="default" w:ascii="Times New Roman" w:hAnsi="Times New Roman" w:eastAsia="方正仿宋_GBK" w:cs="Times New Roman"/>
          <w:b w:val="0"/>
          <w:bCs w:val="0"/>
          <w:sz w:val="32"/>
          <w:szCs w:val="32"/>
          <w:highlight w:val="none"/>
          <w:lang w:val="zh-CN" w:eastAsia="zh-CN"/>
        </w:rPr>
      </w:pPr>
      <w:r>
        <w:rPr>
          <w:rFonts w:hint="eastAsia" w:ascii="Times New Roman" w:hAnsi="Times New Roman" w:eastAsia="方正仿宋_GBK" w:cs="Times New Roman"/>
          <w:b w:val="0"/>
          <w:bCs w:val="0"/>
          <w:sz w:val="32"/>
          <w:szCs w:val="32"/>
          <w:highlight w:val="none"/>
          <w:lang w:val="en" w:eastAsia="zh-CN"/>
        </w:rPr>
        <w:t>（</w:t>
      </w:r>
      <w:r>
        <w:rPr>
          <w:rFonts w:hint="default" w:ascii="Times New Roman" w:hAnsi="Times New Roman" w:eastAsia="方正仿宋_GBK" w:cs="Times New Roman"/>
          <w:b w:val="0"/>
          <w:bCs w:val="0"/>
          <w:sz w:val="32"/>
          <w:szCs w:val="32"/>
          <w:highlight w:val="none"/>
          <w:lang w:val="en" w:eastAsia="zh-CN"/>
        </w:rPr>
        <w:t>1</w:t>
      </w:r>
      <w:r>
        <w:rPr>
          <w:rFonts w:hint="eastAsia" w:ascii="Times New Roman" w:hAnsi="Times New Roman" w:eastAsia="方正仿宋_GBK" w:cs="Times New Roman"/>
          <w:b w:val="0"/>
          <w:bCs w:val="0"/>
          <w:sz w:val="32"/>
          <w:szCs w:val="32"/>
          <w:highlight w:val="none"/>
          <w:lang w:val="en" w:eastAsia="zh-CN"/>
        </w:rPr>
        <w:t>）</w:t>
      </w:r>
      <w:r>
        <w:rPr>
          <w:rFonts w:hint="default" w:ascii="Times New Roman" w:hAnsi="Times New Roman" w:eastAsia="方正仿宋_GBK" w:cs="Times New Roman"/>
          <w:b w:val="0"/>
          <w:bCs w:val="0"/>
          <w:sz w:val="32"/>
          <w:szCs w:val="32"/>
          <w:highlight w:val="none"/>
          <w:lang w:val="zh-CN" w:eastAsia="zh-CN"/>
        </w:rPr>
        <w:t>支持中小企业发展</w:t>
      </w:r>
      <w:r>
        <w:rPr>
          <w:rFonts w:hint="eastAsia" w:ascii="Times New Roman" w:hAnsi="Times New Roman" w:eastAsia="方正仿宋_GBK" w:cs="Times New Roman"/>
          <w:b w:val="0"/>
          <w:bCs w:val="0"/>
          <w:sz w:val="32"/>
          <w:szCs w:val="32"/>
          <w:highlight w:val="none"/>
          <w:lang w:val="zh-CN" w:eastAsia="zh-CN"/>
        </w:rPr>
        <w:t>。20</w:t>
      </w:r>
      <w:r>
        <w:rPr>
          <w:rFonts w:hint="eastAsia" w:ascii="Times New Roman" w:hAnsi="Times New Roman" w:eastAsia="方正仿宋_GBK" w:cs="Times New Roman"/>
          <w:b w:val="0"/>
          <w:bCs w:val="0"/>
          <w:sz w:val="32"/>
          <w:szCs w:val="32"/>
          <w:highlight w:val="none"/>
          <w:lang w:val="en-US" w:eastAsia="zh-CN"/>
        </w:rPr>
        <w:t>25</w:t>
      </w:r>
      <w:r>
        <w:rPr>
          <w:rFonts w:hint="eastAsia" w:ascii="Times New Roman" w:hAnsi="Times New Roman" w:eastAsia="方正仿宋_GBK" w:cs="Times New Roman"/>
          <w:b w:val="0"/>
          <w:bCs w:val="0"/>
          <w:sz w:val="32"/>
          <w:szCs w:val="32"/>
          <w:highlight w:val="none"/>
          <w:lang w:val="zh-CN" w:eastAsia="zh-CN"/>
        </w:rPr>
        <w:t>年市检察院严格执行《政府采购促进中小企业发展管理办法》及省市相关实施细则，在政府采购项目中，落实预留份额、优先采购等扶持中小企业的政策措施。在办公设备采购、信息化项目运维等采购项目中，对中小企业参与投标给予评审优惠，对适宜由中小企业提供的采购项目，按规定预留专门采购份额，未设置不合理门槛限制中小企业参与政府采购，有效支持了中小企业发展，落实了政府采购扶持政策</w:t>
      </w:r>
      <w:r>
        <w:rPr>
          <w:rFonts w:hint="default" w:ascii="Times New Roman" w:hAnsi="Times New Roman" w:eastAsia="方正仿宋_GBK" w:cs="Times New Roman"/>
          <w:b w:val="0"/>
          <w:bCs w:val="0"/>
          <w:sz w:val="32"/>
          <w:szCs w:val="32"/>
          <w:highlight w:val="none"/>
          <w:lang w:val="zh-CN" w:eastAsia="zh-CN"/>
        </w:rPr>
        <w:t>。</w:t>
      </w:r>
    </w:p>
    <w:p w14:paraId="461A34FC">
      <w:pPr>
        <w:keepNext w:val="0"/>
        <w:keepLines w:val="0"/>
        <w:pageBreakBefore w:val="0"/>
        <w:widowControl w:val="0"/>
        <w:numPr>
          <w:ilvl w:val="0"/>
          <w:numId w:val="0"/>
        </w:numPr>
        <w:kinsoku/>
        <w:wordWrap/>
        <w:overflowPunct w:val="0"/>
        <w:topLinePunct w:val="0"/>
        <w:autoSpaceDE/>
        <w:autoSpaceDN/>
        <w:bidi w:val="0"/>
        <w:adjustRightInd/>
        <w:snapToGrid/>
        <w:spacing w:line="552" w:lineRule="exact"/>
        <w:ind w:firstLine="640" w:firstLineChars="200"/>
        <w:textAlignment w:val="auto"/>
        <w:rPr>
          <w:rFonts w:hint="default" w:ascii="Times New Roman" w:hAnsi="Times New Roman" w:eastAsia="方正仿宋_GBK" w:cs="Times New Roman"/>
          <w:b w:val="0"/>
          <w:bCs w:val="0"/>
          <w:sz w:val="32"/>
          <w:szCs w:val="32"/>
          <w:highlight w:val="none"/>
          <w:lang w:val="zh-CN" w:eastAsia="zh-CN"/>
        </w:rPr>
      </w:pPr>
      <w:r>
        <w:rPr>
          <w:rFonts w:hint="eastAsia" w:ascii="Times New Roman" w:hAnsi="Times New Roman" w:eastAsia="方正仿宋_GBK" w:cs="Times New Roman"/>
          <w:b w:val="0"/>
          <w:bCs w:val="0"/>
          <w:sz w:val="32"/>
          <w:szCs w:val="32"/>
          <w:highlight w:val="none"/>
          <w:lang w:val="en" w:eastAsia="zh-CN"/>
        </w:rPr>
        <w:t>（</w:t>
      </w:r>
      <w:r>
        <w:rPr>
          <w:rFonts w:hint="default" w:ascii="Times New Roman" w:hAnsi="Times New Roman" w:eastAsia="方正仿宋_GBK" w:cs="Times New Roman"/>
          <w:b w:val="0"/>
          <w:bCs w:val="0"/>
          <w:sz w:val="32"/>
          <w:szCs w:val="32"/>
          <w:highlight w:val="none"/>
          <w:lang w:val="en" w:eastAsia="zh-CN"/>
        </w:rPr>
        <w:t>2</w:t>
      </w:r>
      <w:r>
        <w:rPr>
          <w:rFonts w:hint="eastAsia" w:ascii="Times New Roman" w:hAnsi="Times New Roman" w:eastAsia="方正仿宋_GBK" w:cs="Times New Roman"/>
          <w:b w:val="0"/>
          <w:bCs w:val="0"/>
          <w:sz w:val="32"/>
          <w:szCs w:val="32"/>
          <w:highlight w:val="none"/>
          <w:lang w:val="en" w:eastAsia="zh-CN"/>
        </w:rPr>
        <w:t>）</w:t>
      </w:r>
      <w:r>
        <w:rPr>
          <w:rFonts w:hint="default" w:ascii="Times New Roman" w:hAnsi="Times New Roman" w:eastAsia="方正仿宋_GBK" w:cs="Times New Roman"/>
          <w:b w:val="0"/>
          <w:bCs w:val="0"/>
          <w:sz w:val="32"/>
          <w:szCs w:val="32"/>
          <w:highlight w:val="none"/>
          <w:lang w:val="zh-CN" w:eastAsia="zh-CN"/>
        </w:rPr>
        <w:t>采购执行率</w:t>
      </w:r>
      <w:r>
        <w:rPr>
          <w:rFonts w:hint="eastAsia" w:ascii="Times New Roman" w:hAnsi="Times New Roman" w:eastAsia="方正仿宋_GBK" w:cs="Times New Roman"/>
          <w:b w:val="0"/>
          <w:bCs w:val="0"/>
          <w:sz w:val="32"/>
          <w:szCs w:val="32"/>
          <w:highlight w:val="none"/>
          <w:lang w:val="zh-CN" w:eastAsia="zh-CN"/>
        </w:rPr>
        <w:t>。市检察院严格按照政府采购预算及采购计划开展采购工作，所有政府采购项目均按规定履行审批程序，依法依规选择采购方式，规范组织采购活动，及时办理资金支付手续。本年度政府采购项目资金支付比例均达到计划进度要求，采购执行率达到100%，政府采购项目均按计划完成，有效保障了检察业务工作的物资及服务需求。</w:t>
      </w:r>
    </w:p>
    <w:p w14:paraId="3F63DB78">
      <w:pPr>
        <w:keepNext w:val="0"/>
        <w:keepLines w:val="0"/>
        <w:pageBreakBefore w:val="0"/>
        <w:widowControl w:val="0"/>
        <w:kinsoku/>
        <w:wordWrap/>
        <w:overflowPunct w:val="0"/>
        <w:topLinePunct w:val="0"/>
        <w:autoSpaceDE/>
        <w:autoSpaceDN/>
        <w:bidi w:val="0"/>
        <w:adjustRightInd w:val="0"/>
        <w:snapToGrid w:val="0"/>
        <w:spacing w:line="552" w:lineRule="exact"/>
        <w:ind w:firstLine="640" w:firstLineChars="200"/>
        <w:contextualSpacing/>
        <w:jc w:val="left"/>
        <w:textAlignment w:val="auto"/>
        <w:outlineLvl w:val="9"/>
        <w:rPr>
          <w:rFonts w:hint="default" w:ascii="Times New Roman" w:hAnsi="Times New Roman" w:eastAsia="方正仿宋_GBK" w:cs="Times New Roman"/>
          <w:b w:val="0"/>
          <w:bCs w:val="0"/>
          <w:color w:val="000000"/>
          <w:kern w:val="0"/>
          <w:sz w:val="32"/>
          <w:szCs w:val="32"/>
          <w:highlight w:val="none"/>
          <w:shd w:val="clear" w:color="auto" w:fill="FFFFFF"/>
          <w:lang w:val="en-US" w:eastAsia="zh-CN"/>
        </w:rPr>
      </w:pPr>
      <w:r>
        <w:rPr>
          <w:rFonts w:hint="default" w:ascii="Times New Roman" w:hAnsi="Times New Roman" w:eastAsia="方正楷体_GBK" w:cs="Times New Roman"/>
          <w:b w:val="0"/>
          <w:bCs w:val="0"/>
          <w:color w:val="000000"/>
          <w:kern w:val="0"/>
          <w:sz w:val="32"/>
          <w:szCs w:val="32"/>
          <w:highlight w:val="none"/>
          <w:shd w:val="clear" w:color="auto" w:fill="FFFFFF"/>
          <w:lang w:val="zh-CN" w:eastAsia="zh-CN"/>
        </w:rPr>
        <w:t>（二）部门预算项目绩效分析。</w:t>
      </w:r>
    </w:p>
    <w:p w14:paraId="23B81261">
      <w:pPr>
        <w:keepNext w:val="0"/>
        <w:keepLines w:val="0"/>
        <w:pageBreakBefore w:val="0"/>
        <w:widowControl w:val="0"/>
        <w:numPr>
          <w:ilvl w:val="0"/>
          <w:numId w:val="0"/>
        </w:numPr>
        <w:kinsoku/>
        <w:wordWrap/>
        <w:overflowPunct w:val="0"/>
        <w:topLinePunct w:val="0"/>
        <w:autoSpaceDE/>
        <w:autoSpaceDN/>
        <w:bidi w:val="0"/>
        <w:adjustRightInd w:val="0"/>
        <w:snapToGrid w:val="0"/>
        <w:spacing w:line="552" w:lineRule="exact"/>
        <w:ind w:firstLine="640" w:firstLineChars="200"/>
        <w:contextualSpacing/>
        <w:jc w:val="both"/>
        <w:textAlignment w:val="auto"/>
        <w:outlineLvl w:val="9"/>
        <w:rPr>
          <w:rFonts w:hint="default" w:ascii="Times New Roman" w:hAnsi="Times New Roman" w:eastAsia="方正仿宋_GBK" w:cs="Times New Roman"/>
          <w:b w:val="0"/>
          <w:bCs w:val="0"/>
          <w:color w:val="000000"/>
          <w:kern w:val="0"/>
          <w:sz w:val="32"/>
          <w:szCs w:val="32"/>
          <w:highlight w:val="none"/>
          <w:shd w:val="clear" w:color="auto" w:fill="FFFFFF"/>
          <w:lang w:val="en-US" w:eastAsia="zh-CN"/>
        </w:rPr>
      </w:pPr>
      <w:r>
        <w:rPr>
          <w:rFonts w:hint="default" w:ascii="Times New Roman" w:hAnsi="Times New Roman" w:eastAsia="方正仿宋_GBK" w:cs="Times New Roman"/>
          <w:b w:val="0"/>
          <w:bCs w:val="0"/>
          <w:color w:val="000000"/>
          <w:kern w:val="0"/>
          <w:sz w:val="32"/>
          <w:szCs w:val="32"/>
          <w:highlight w:val="none"/>
          <w:shd w:val="clear" w:color="auto" w:fill="FFFFFF"/>
          <w:lang w:val="en-US" w:eastAsia="zh-CN"/>
        </w:rPr>
        <w:t>常年项目绩效分析。该类项目总数</w:t>
      </w:r>
      <w:r>
        <w:rPr>
          <w:rFonts w:hint="default" w:ascii="Times New Roman" w:hAnsi="Times New Roman" w:eastAsia="方正仿宋_GBK" w:cs="Times New Roman"/>
          <w:b w:val="0"/>
          <w:bCs w:val="0"/>
          <w:color w:val="000000"/>
          <w:kern w:val="0"/>
          <w:sz w:val="32"/>
          <w:szCs w:val="32"/>
          <w:highlight w:val="none"/>
          <w:shd w:val="clear" w:color="auto" w:fill="FFFFFF"/>
          <w:lang w:val="en" w:eastAsia="zh-CN"/>
        </w:rPr>
        <w:t>9</w:t>
      </w:r>
      <w:r>
        <w:rPr>
          <w:rFonts w:hint="default" w:ascii="Times New Roman" w:hAnsi="Times New Roman" w:eastAsia="方正仿宋_GBK" w:cs="Times New Roman"/>
          <w:b w:val="0"/>
          <w:bCs w:val="0"/>
          <w:color w:val="000000"/>
          <w:kern w:val="0"/>
          <w:sz w:val="32"/>
          <w:szCs w:val="32"/>
          <w:highlight w:val="none"/>
          <w:shd w:val="clear" w:color="auto" w:fill="FFFFFF"/>
          <w:lang w:val="en-US" w:eastAsia="zh-CN"/>
        </w:rPr>
        <w:t>个，涉及预算总金额</w:t>
      </w:r>
      <w:r>
        <w:rPr>
          <w:rFonts w:hint="default" w:ascii="Times New Roman" w:hAnsi="Times New Roman" w:eastAsia="方正仿宋_GBK" w:cs="Times New Roman"/>
          <w:b w:val="0"/>
          <w:bCs w:val="0"/>
          <w:color w:val="000000"/>
          <w:kern w:val="0"/>
          <w:sz w:val="32"/>
          <w:szCs w:val="32"/>
          <w:highlight w:val="none"/>
          <w:shd w:val="clear" w:color="auto" w:fill="FFFFFF"/>
          <w:lang w:val="en" w:eastAsia="zh-CN"/>
        </w:rPr>
        <w:t>114.17</w:t>
      </w:r>
      <w:r>
        <w:rPr>
          <w:rFonts w:hint="default" w:ascii="Times New Roman" w:hAnsi="Times New Roman" w:eastAsia="方正仿宋_GBK" w:cs="Times New Roman"/>
          <w:b w:val="0"/>
          <w:bCs w:val="0"/>
          <w:color w:val="000000"/>
          <w:kern w:val="0"/>
          <w:sz w:val="32"/>
          <w:szCs w:val="32"/>
          <w:highlight w:val="none"/>
          <w:shd w:val="clear" w:color="auto" w:fill="FFFFFF"/>
          <w:lang w:val="en-US" w:eastAsia="zh-CN"/>
        </w:rPr>
        <w:t>万元，1—12月预算执行总体进度为</w:t>
      </w:r>
      <w:r>
        <w:rPr>
          <w:rFonts w:hint="default" w:ascii="Times New Roman" w:hAnsi="Times New Roman" w:eastAsia="方正仿宋_GBK" w:cs="Times New Roman"/>
          <w:b w:val="0"/>
          <w:bCs w:val="0"/>
          <w:color w:val="000000"/>
          <w:kern w:val="0"/>
          <w:sz w:val="32"/>
          <w:szCs w:val="32"/>
          <w:highlight w:val="none"/>
          <w:shd w:val="clear" w:color="auto" w:fill="FFFFFF"/>
          <w:lang w:val="en" w:eastAsia="zh-CN"/>
        </w:rPr>
        <w:t>100</w:t>
      </w:r>
      <w:r>
        <w:rPr>
          <w:rFonts w:hint="default" w:ascii="Times New Roman" w:hAnsi="Times New Roman" w:eastAsia="方正仿宋_GBK" w:cs="Times New Roman"/>
          <w:b w:val="0"/>
          <w:bCs w:val="0"/>
          <w:color w:val="000000"/>
          <w:kern w:val="0"/>
          <w:sz w:val="32"/>
          <w:szCs w:val="32"/>
          <w:highlight w:val="none"/>
          <w:shd w:val="clear" w:color="auto" w:fill="FFFFFF"/>
          <w:lang w:val="en-US" w:eastAsia="zh-CN"/>
        </w:rPr>
        <w:t>%，其中：预算结余率大于10%的项目共计</w:t>
      </w:r>
      <w:r>
        <w:rPr>
          <w:rFonts w:hint="default" w:ascii="Times New Roman" w:hAnsi="Times New Roman" w:eastAsia="方正仿宋_GBK" w:cs="Times New Roman"/>
          <w:b w:val="0"/>
          <w:bCs w:val="0"/>
          <w:color w:val="000000"/>
          <w:kern w:val="0"/>
          <w:sz w:val="32"/>
          <w:szCs w:val="32"/>
          <w:highlight w:val="none"/>
          <w:shd w:val="clear" w:color="auto" w:fill="FFFFFF"/>
          <w:lang w:val="en" w:eastAsia="zh-CN"/>
        </w:rPr>
        <w:t>0</w:t>
      </w:r>
      <w:r>
        <w:rPr>
          <w:rFonts w:hint="default" w:ascii="Times New Roman" w:hAnsi="Times New Roman" w:eastAsia="方正仿宋_GBK" w:cs="Times New Roman"/>
          <w:b w:val="0"/>
          <w:bCs w:val="0"/>
          <w:color w:val="000000"/>
          <w:kern w:val="0"/>
          <w:sz w:val="32"/>
          <w:szCs w:val="32"/>
          <w:highlight w:val="none"/>
          <w:shd w:val="clear" w:color="auto" w:fill="FFFFFF"/>
          <w:lang w:val="en-US" w:eastAsia="zh-CN"/>
        </w:rPr>
        <w:t>个。</w:t>
      </w:r>
    </w:p>
    <w:p w14:paraId="5FB32DB4">
      <w:pPr>
        <w:keepNext w:val="0"/>
        <w:keepLines w:val="0"/>
        <w:pageBreakBefore w:val="0"/>
        <w:widowControl w:val="0"/>
        <w:numPr>
          <w:ilvl w:val="0"/>
          <w:numId w:val="0"/>
        </w:numPr>
        <w:kinsoku/>
        <w:wordWrap/>
        <w:overflowPunct w:val="0"/>
        <w:topLinePunct w:val="0"/>
        <w:autoSpaceDE/>
        <w:autoSpaceDN/>
        <w:bidi w:val="0"/>
        <w:adjustRightInd w:val="0"/>
        <w:snapToGrid w:val="0"/>
        <w:spacing w:line="552" w:lineRule="exact"/>
        <w:ind w:firstLine="640" w:firstLineChars="200"/>
        <w:contextualSpacing/>
        <w:jc w:val="both"/>
        <w:textAlignment w:val="auto"/>
        <w:outlineLvl w:val="9"/>
        <w:rPr>
          <w:rFonts w:hint="default" w:ascii="Times New Roman" w:hAnsi="Times New Roman" w:eastAsia="方正仿宋_GBK" w:cs="Times New Roman"/>
          <w:b w:val="0"/>
          <w:bCs w:val="0"/>
          <w:color w:val="000000"/>
          <w:kern w:val="0"/>
          <w:sz w:val="32"/>
          <w:szCs w:val="32"/>
          <w:highlight w:val="none"/>
          <w:shd w:val="clear" w:color="auto" w:fill="FFFFFF"/>
          <w:lang w:val="en-US" w:eastAsia="zh-CN"/>
        </w:rPr>
      </w:pPr>
      <w:r>
        <w:rPr>
          <w:rFonts w:hint="default" w:ascii="Times New Roman" w:hAnsi="Times New Roman" w:eastAsia="方正仿宋_GBK" w:cs="Times New Roman"/>
          <w:b w:val="0"/>
          <w:bCs w:val="0"/>
          <w:color w:val="000000"/>
          <w:kern w:val="0"/>
          <w:sz w:val="32"/>
          <w:szCs w:val="32"/>
          <w:highlight w:val="none"/>
          <w:shd w:val="clear" w:color="auto" w:fill="FFFFFF"/>
          <w:lang w:val="en-US" w:eastAsia="zh-CN"/>
        </w:rPr>
        <w:t>阶段（含一次性）项目绩效分析。该类项目总数</w:t>
      </w:r>
      <w:r>
        <w:rPr>
          <w:rFonts w:hint="default" w:ascii="Times New Roman" w:hAnsi="Times New Roman" w:eastAsia="方正仿宋_GBK" w:cs="Times New Roman"/>
          <w:b w:val="0"/>
          <w:bCs w:val="0"/>
          <w:color w:val="000000"/>
          <w:kern w:val="0"/>
          <w:sz w:val="32"/>
          <w:szCs w:val="32"/>
          <w:highlight w:val="none"/>
          <w:shd w:val="clear" w:color="auto" w:fill="FFFFFF"/>
          <w:lang w:val="en" w:eastAsia="zh-CN"/>
        </w:rPr>
        <w:t>9</w:t>
      </w:r>
      <w:r>
        <w:rPr>
          <w:rFonts w:hint="default" w:ascii="Times New Roman" w:hAnsi="Times New Roman" w:eastAsia="方正仿宋_GBK" w:cs="Times New Roman"/>
          <w:b w:val="0"/>
          <w:bCs w:val="0"/>
          <w:color w:val="000000"/>
          <w:kern w:val="0"/>
          <w:sz w:val="32"/>
          <w:szCs w:val="32"/>
          <w:highlight w:val="none"/>
          <w:shd w:val="clear" w:color="auto" w:fill="FFFFFF"/>
          <w:lang w:val="en-US" w:eastAsia="zh-CN"/>
        </w:rPr>
        <w:t>个，涉及预算总金额</w:t>
      </w:r>
      <w:r>
        <w:rPr>
          <w:rFonts w:hint="default" w:ascii="Times New Roman" w:hAnsi="Times New Roman" w:eastAsia="方正仿宋_GBK" w:cs="Times New Roman"/>
          <w:b w:val="0"/>
          <w:bCs w:val="0"/>
          <w:color w:val="000000"/>
          <w:kern w:val="0"/>
          <w:sz w:val="32"/>
          <w:szCs w:val="32"/>
          <w:highlight w:val="none"/>
          <w:shd w:val="clear" w:color="auto" w:fill="FFFFFF"/>
          <w:lang w:val="en" w:eastAsia="zh-CN"/>
        </w:rPr>
        <w:t>243.44</w:t>
      </w:r>
      <w:r>
        <w:rPr>
          <w:rFonts w:hint="default" w:ascii="Times New Roman" w:hAnsi="Times New Roman" w:eastAsia="方正仿宋_GBK" w:cs="Times New Roman"/>
          <w:b w:val="0"/>
          <w:bCs w:val="0"/>
          <w:color w:val="000000"/>
          <w:kern w:val="0"/>
          <w:sz w:val="32"/>
          <w:szCs w:val="32"/>
          <w:highlight w:val="none"/>
          <w:shd w:val="clear" w:color="auto" w:fill="FFFFFF"/>
          <w:lang w:val="en-US" w:eastAsia="zh-CN"/>
        </w:rPr>
        <w:t>万元，1—12月预算执行总体进度为</w:t>
      </w:r>
      <w:r>
        <w:rPr>
          <w:rFonts w:hint="default" w:ascii="Times New Roman" w:hAnsi="Times New Roman" w:eastAsia="方正仿宋_GBK" w:cs="Times New Roman"/>
          <w:b w:val="0"/>
          <w:bCs w:val="0"/>
          <w:color w:val="000000"/>
          <w:kern w:val="0"/>
          <w:sz w:val="32"/>
          <w:szCs w:val="32"/>
          <w:highlight w:val="none"/>
          <w:shd w:val="clear" w:color="auto" w:fill="FFFFFF"/>
          <w:lang w:val="en" w:eastAsia="zh-CN"/>
        </w:rPr>
        <w:t>100</w:t>
      </w:r>
      <w:r>
        <w:rPr>
          <w:rFonts w:hint="default" w:ascii="Times New Roman" w:hAnsi="Times New Roman" w:eastAsia="方正仿宋_GBK" w:cs="Times New Roman"/>
          <w:b w:val="0"/>
          <w:bCs w:val="0"/>
          <w:color w:val="000000"/>
          <w:kern w:val="0"/>
          <w:sz w:val="32"/>
          <w:szCs w:val="32"/>
          <w:highlight w:val="none"/>
          <w:shd w:val="clear" w:color="auto" w:fill="FFFFFF"/>
          <w:lang w:val="en-US" w:eastAsia="zh-CN"/>
        </w:rPr>
        <w:t>%，其中：预算结余率大于10%的项目共计</w:t>
      </w:r>
      <w:r>
        <w:rPr>
          <w:rFonts w:hint="default" w:ascii="Times New Roman" w:hAnsi="Times New Roman" w:eastAsia="方正仿宋_GBK" w:cs="Times New Roman"/>
          <w:b w:val="0"/>
          <w:bCs w:val="0"/>
          <w:color w:val="000000"/>
          <w:kern w:val="0"/>
          <w:sz w:val="32"/>
          <w:szCs w:val="32"/>
          <w:highlight w:val="none"/>
          <w:shd w:val="clear" w:color="auto" w:fill="FFFFFF"/>
          <w:lang w:val="en" w:eastAsia="zh-CN"/>
        </w:rPr>
        <w:t>0</w:t>
      </w:r>
      <w:r>
        <w:rPr>
          <w:rFonts w:hint="default" w:ascii="Times New Roman" w:hAnsi="Times New Roman" w:eastAsia="方正仿宋_GBK" w:cs="Times New Roman"/>
          <w:b w:val="0"/>
          <w:bCs w:val="0"/>
          <w:color w:val="000000"/>
          <w:kern w:val="0"/>
          <w:sz w:val="32"/>
          <w:szCs w:val="32"/>
          <w:highlight w:val="none"/>
          <w:shd w:val="clear" w:color="auto" w:fill="FFFFFF"/>
          <w:lang w:val="en-US" w:eastAsia="zh-CN"/>
        </w:rPr>
        <w:t>个。</w:t>
      </w:r>
    </w:p>
    <w:p w14:paraId="14AE847D">
      <w:pPr>
        <w:keepNext w:val="0"/>
        <w:keepLines w:val="0"/>
        <w:pageBreakBefore w:val="0"/>
        <w:widowControl w:val="0"/>
        <w:numPr>
          <w:ilvl w:val="0"/>
          <w:numId w:val="0"/>
        </w:numPr>
        <w:kinsoku/>
        <w:wordWrap/>
        <w:overflowPunct w:val="0"/>
        <w:topLinePunct w:val="0"/>
        <w:autoSpaceDE/>
        <w:autoSpaceDN/>
        <w:bidi w:val="0"/>
        <w:adjustRightInd w:val="0"/>
        <w:snapToGrid w:val="0"/>
        <w:spacing w:line="552" w:lineRule="exact"/>
        <w:ind w:firstLine="640" w:firstLineChars="200"/>
        <w:contextualSpacing/>
        <w:jc w:val="both"/>
        <w:textAlignment w:val="auto"/>
        <w:outlineLvl w:val="9"/>
        <w:rPr>
          <w:rFonts w:hint="default" w:ascii="Times New Roman" w:hAnsi="Times New Roman" w:eastAsia="方正仿宋_GBK" w:cs="Times New Roman"/>
          <w:b w:val="0"/>
          <w:bCs w:val="0"/>
          <w:color w:val="000000"/>
          <w:kern w:val="0"/>
          <w:sz w:val="32"/>
          <w:szCs w:val="32"/>
          <w:highlight w:val="none"/>
          <w:shd w:val="clear" w:color="auto" w:fill="FFFFFF"/>
          <w:lang w:val="en-US" w:eastAsia="zh-CN"/>
        </w:rPr>
      </w:pPr>
      <w:r>
        <w:rPr>
          <w:rFonts w:hint="default" w:ascii="Times New Roman" w:hAnsi="Times New Roman" w:eastAsia="方正仿宋_GBK" w:cs="Times New Roman"/>
          <w:b w:val="0"/>
          <w:bCs w:val="0"/>
          <w:color w:val="000000"/>
          <w:kern w:val="0"/>
          <w:sz w:val="32"/>
          <w:szCs w:val="32"/>
          <w:highlight w:val="none"/>
          <w:shd w:val="clear" w:color="auto" w:fill="FFFFFF"/>
          <w:lang w:val="en" w:eastAsia="zh-CN"/>
        </w:rPr>
        <w:t>1.</w:t>
      </w:r>
      <w:r>
        <w:rPr>
          <w:rFonts w:hint="default" w:ascii="Times New Roman" w:hAnsi="Times New Roman" w:eastAsia="方正仿宋_GBK" w:cs="Times New Roman"/>
          <w:b w:val="0"/>
          <w:bCs w:val="0"/>
          <w:color w:val="000000"/>
          <w:kern w:val="0"/>
          <w:sz w:val="32"/>
          <w:szCs w:val="32"/>
          <w:highlight w:val="none"/>
          <w:shd w:val="clear" w:color="auto" w:fill="FFFFFF"/>
          <w:lang w:val="en-US" w:eastAsia="zh-CN"/>
        </w:rPr>
        <w:t>项目决策</w:t>
      </w:r>
    </w:p>
    <w:p w14:paraId="6055AAF0">
      <w:pPr>
        <w:keepNext w:val="0"/>
        <w:keepLines w:val="0"/>
        <w:pageBreakBefore w:val="0"/>
        <w:widowControl w:val="0"/>
        <w:kinsoku/>
        <w:wordWrap/>
        <w:overflowPunct w:val="0"/>
        <w:topLinePunct w:val="0"/>
        <w:autoSpaceDE/>
        <w:autoSpaceDN/>
        <w:bidi w:val="0"/>
        <w:adjustRightInd/>
        <w:snapToGrid/>
        <w:spacing w:line="552" w:lineRule="exact"/>
        <w:ind w:firstLine="640" w:firstLineChars="200"/>
        <w:textAlignment w:val="auto"/>
        <w:rPr>
          <w:rFonts w:hint="default" w:ascii="Times New Roman" w:hAnsi="Times New Roman" w:eastAsia="方正仿宋_GBK" w:cs="Times New Roman"/>
          <w:b w:val="0"/>
          <w:bCs w:val="0"/>
          <w:sz w:val="32"/>
          <w:szCs w:val="32"/>
          <w:lang w:val="zh-CN" w:eastAsia="zh-CN"/>
        </w:rPr>
      </w:pPr>
      <w:r>
        <w:rPr>
          <w:rFonts w:hint="eastAsia" w:ascii="Times New Roman" w:hAnsi="Times New Roman" w:eastAsia="方正仿宋_GBK"/>
          <w:b w:val="0"/>
          <w:bCs w:val="0"/>
          <w:color w:val="000000"/>
          <w:kern w:val="0"/>
          <w:sz w:val="32"/>
          <w:szCs w:val="32"/>
          <w:highlight w:val="none"/>
          <w:shd w:val="clear" w:color="auto" w:fill="FFFFFF"/>
          <w:lang w:val="en" w:eastAsia="zh-CN"/>
        </w:rPr>
        <w:t>（</w:t>
      </w:r>
      <w:r>
        <w:rPr>
          <w:rFonts w:hint="default" w:ascii="Times New Roman" w:hAnsi="Times New Roman" w:eastAsia="方正仿宋_GBK"/>
          <w:b w:val="0"/>
          <w:bCs w:val="0"/>
          <w:color w:val="000000"/>
          <w:kern w:val="0"/>
          <w:sz w:val="32"/>
          <w:szCs w:val="32"/>
          <w:highlight w:val="none"/>
          <w:shd w:val="clear" w:color="auto" w:fill="FFFFFF"/>
          <w:lang w:val="en" w:eastAsia="zh-CN"/>
        </w:rPr>
        <w:t>1</w:t>
      </w:r>
      <w:r>
        <w:rPr>
          <w:rFonts w:hint="eastAsia" w:ascii="Times New Roman" w:hAnsi="Times New Roman" w:eastAsia="方正仿宋_GBK"/>
          <w:b w:val="0"/>
          <w:bCs w:val="0"/>
          <w:color w:val="000000"/>
          <w:kern w:val="0"/>
          <w:sz w:val="32"/>
          <w:szCs w:val="32"/>
          <w:highlight w:val="none"/>
          <w:shd w:val="clear" w:color="auto" w:fill="FFFFFF"/>
          <w:lang w:val="en" w:eastAsia="zh-CN"/>
        </w:rPr>
        <w:t>）</w:t>
      </w:r>
      <w:r>
        <w:rPr>
          <w:rFonts w:hint="default" w:ascii="Times New Roman" w:hAnsi="Times New Roman" w:eastAsia="方正仿宋_GBK"/>
          <w:b w:val="0"/>
          <w:bCs w:val="0"/>
          <w:color w:val="000000"/>
          <w:kern w:val="0"/>
          <w:sz w:val="32"/>
          <w:szCs w:val="32"/>
          <w:highlight w:val="none"/>
          <w:shd w:val="clear" w:color="auto" w:fill="FFFFFF"/>
          <w:lang w:val="zh-CN" w:eastAsia="zh-CN"/>
        </w:rPr>
        <w:t>决策程序。2025年市检察院所有部门预算项目均严格按照财政项目资金管理要求履行决策程序。项目设立前，由业务部门结合年度检察工作重点、履职需求提出立项申请，计财部会同业务部门开展必要性、可行性评估论证；论证通过后，按规定履行内部集体决策程序，项目设立的评估论证、申报流程规范合规，决策程序完整、依据充分。</w:t>
      </w:r>
    </w:p>
    <w:p w14:paraId="4050FA65">
      <w:pPr>
        <w:keepNext w:val="0"/>
        <w:keepLines w:val="0"/>
        <w:pageBreakBefore w:val="0"/>
        <w:widowControl w:val="0"/>
        <w:kinsoku/>
        <w:wordWrap/>
        <w:overflowPunct w:val="0"/>
        <w:topLinePunct w:val="0"/>
        <w:autoSpaceDE/>
        <w:autoSpaceDN/>
        <w:bidi w:val="0"/>
        <w:adjustRightInd/>
        <w:snapToGrid/>
        <w:spacing w:line="552" w:lineRule="exact"/>
        <w:ind w:firstLine="640" w:firstLineChars="200"/>
        <w:textAlignment w:val="auto"/>
        <w:rPr>
          <w:rFonts w:hint="default" w:ascii="Times New Roman" w:hAnsi="Times New Roman" w:eastAsia="方正仿宋_GBK" w:cs="Times New Roman"/>
          <w:b w:val="0"/>
          <w:bCs w:val="0"/>
          <w:sz w:val="32"/>
          <w:szCs w:val="32"/>
          <w:lang w:val="zh-CN" w:eastAsia="zh-CN"/>
        </w:rPr>
      </w:pPr>
      <w:r>
        <w:rPr>
          <w:rFonts w:hint="eastAsia" w:ascii="Times New Roman" w:hAnsi="Times New Roman" w:eastAsia="方正仿宋_GBK" w:cs="Times New Roman"/>
          <w:b w:val="0"/>
          <w:bCs w:val="0"/>
          <w:sz w:val="32"/>
          <w:szCs w:val="32"/>
          <w:lang w:val="en" w:eastAsia="zh-CN"/>
        </w:rPr>
        <w:t>（</w:t>
      </w:r>
      <w:r>
        <w:rPr>
          <w:rFonts w:hint="default" w:ascii="Times New Roman" w:hAnsi="Times New Roman" w:eastAsia="方正仿宋_GBK" w:cs="Times New Roman"/>
          <w:b w:val="0"/>
          <w:bCs w:val="0"/>
          <w:sz w:val="32"/>
          <w:szCs w:val="32"/>
          <w:lang w:val="en" w:eastAsia="zh-CN"/>
        </w:rPr>
        <w:t>2</w:t>
      </w:r>
      <w:r>
        <w:rPr>
          <w:rFonts w:hint="eastAsia" w:ascii="Times New Roman" w:hAnsi="Times New Roman" w:eastAsia="方正仿宋_GBK" w:cs="Times New Roman"/>
          <w:b w:val="0"/>
          <w:bCs w:val="0"/>
          <w:sz w:val="32"/>
          <w:szCs w:val="32"/>
          <w:lang w:val="en" w:eastAsia="zh-CN"/>
        </w:rPr>
        <w:t>）</w:t>
      </w:r>
      <w:r>
        <w:rPr>
          <w:rFonts w:hint="default" w:ascii="Times New Roman" w:hAnsi="Times New Roman" w:eastAsia="方正仿宋_GBK" w:cs="Times New Roman"/>
          <w:b w:val="0"/>
          <w:bCs w:val="0"/>
          <w:sz w:val="32"/>
          <w:szCs w:val="32"/>
          <w:lang w:val="zh-CN" w:eastAsia="zh-CN"/>
        </w:rPr>
        <w:t>目标设置。</w:t>
      </w:r>
      <w:r>
        <w:rPr>
          <w:rFonts w:hint="default" w:ascii="Times New Roman" w:hAnsi="Times New Roman" w:eastAsia="方正仿宋_GBK"/>
          <w:b w:val="0"/>
          <w:bCs w:val="0"/>
          <w:color w:val="000000"/>
          <w:kern w:val="0"/>
          <w:sz w:val="32"/>
          <w:szCs w:val="32"/>
          <w:highlight w:val="none"/>
          <w:shd w:val="clear" w:color="auto" w:fill="FFFFFF"/>
          <w:lang w:val="zh-CN" w:eastAsia="zh-CN"/>
        </w:rPr>
        <w:t>2025年市检察院</w:t>
      </w:r>
      <w:r>
        <w:rPr>
          <w:rFonts w:hint="default" w:ascii="Times New Roman" w:hAnsi="Times New Roman" w:eastAsia="方正仿宋_GBK" w:cs="Times New Roman"/>
          <w:b w:val="0"/>
          <w:bCs w:val="0"/>
          <w:sz w:val="32"/>
          <w:szCs w:val="32"/>
          <w:lang w:val="zh-CN" w:eastAsia="zh-CN"/>
        </w:rPr>
        <w:t>所有预算项目均科学设置绩效目标，绩效目标与计划期内的业务任务量、预算安排资金量高度匹配。在绩效目标编制过程中，对每个项目的产出指标、效益指标、满意度指标进行细化量化，明确指标值、测算依据，确保绩效目标设置科学合理、规范完整，且与项目预算安排、业务工作目标深度衔接，未出现绩效目标与预算不匹配、指标设置模糊笼统等问题。</w:t>
      </w:r>
    </w:p>
    <w:p w14:paraId="24B0D952">
      <w:pPr>
        <w:keepNext w:val="0"/>
        <w:keepLines w:val="0"/>
        <w:pageBreakBefore w:val="0"/>
        <w:widowControl w:val="0"/>
        <w:kinsoku/>
        <w:wordWrap/>
        <w:overflowPunct w:val="0"/>
        <w:topLinePunct w:val="0"/>
        <w:autoSpaceDE/>
        <w:autoSpaceDN/>
        <w:bidi w:val="0"/>
        <w:adjustRightInd/>
        <w:snapToGrid/>
        <w:spacing w:line="552" w:lineRule="exact"/>
        <w:ind w:firstLine="640" w:firstLineChars="200"/>
        <w:textAlignment w:val="auto"/>
        <w:rPr>
          <w:rFonts w:hint="default" w:ascii="Times New Roman" w:hAnsi="Times New Roman" w:eastAsia="方正仿宋_GBK" w:cs="Times New Roman"/>
          <w:b w:val="0"/>
          <w:bCs w:val="0"/>
          <w:sz w:val="32"/>
          <w:szCs w:val="32"/>
          <w:lang w:val="zh-CN" w:eastAsia="zh-CN"/>
        </w:rPr>
      </w:pPr>
      <w:r>
        <w:rPr>
          <w:rFonts w:hint="eastAsia" w:ascii="Times New Roman" w:hAnsi="Times New Roman" w:eastAsia="方正仿宋_GBK" w:cs="Times New Roman"/>
          <w:b w:val="0"/>
          <w:bCs w:val="0"/>
          <w:sz w:val="32"/>
          <w:szCs w:val="32"/>
          <w:lang w:val="en" w:eastAsia="zh-CN"/>
        </w:rPr>
        <w:t>（</w:t>
      </w:r>
      <w:r>
        <w:rPr>
          <w:rFonts w:hint="default" w:ascii="Times New Roman" w:hAnsi="Times New Roman" w:eastAsia="方正仿宋_GBK" w:cs="Times New Roman"/>
          <w:b w:val="0"/>
          <w:bCs w:val="0"/>
          <w:sz w:val="32"/>
          <w:szCs w:val="32"/>
          <w:lang w:val="en" w:eastAsia="zh-CN"/>
        </w:rPr>
        <w:t>3</w:t>
      </w:r>
      <w:r>
        <w:rPr>
          <w:rFonts w:hint="eastAsia" w:ascii="Times New Roman" w:hAnsi="Times New Roman" w:eastAsia="方正仿宋_GBK" w:cs="Times New Roman"/>
          <w:b w:val="0"/>
          <w:bCs w:val="0"/>
          <w:sz w:val="32"/>
          <w:szCs w:val="32"/>
          <w:lang w:val="en" w:eastAsia="zh-CN"/>
        </w:rPr>
        <w:t>）</w:t>
      </w:r>
      <w:r>
        <w:rPr>
          <w:rFonts w:hint="default" w:ascii="Times New Roman" w:hAnsi="Times New Roman" w:eastAsia="方正仿宋_GBK" w:cs="Times New Roman"/>
          <w:b w:val="0"/>
          <w:bCs w:val="0"/>
          <w:sz w:val="32"/>
          <w:szCs w:val="32"/>
          <w:lang w:val="zh-CN" w:eastAsia="zh-CN"/>
        </w:rPr>
        <w:t>项目入库</w:t>
      </w:r>
      <w:r>
        <w:rPr>
          <w:rFonts w:hint="eastAsia" w:ascii="Times New Roman" w:hAnsi="Times New Roman" w:eastAsia="方正仿宋_GBK" w:cs="Times New Roman"/>
          <w:b w:val="0"/>
          <w:bCs w:val="0"/>
          <w:sz w:val="32"/>
          <w:szCs w:val="32"/>
          <w:lang w:val="zh-CN" w:eastAsia="zh-CN"/>
        </w:rPr>
        <w:t>。</w:t>
      </w:r>
      <w:r>
        <w:rPr>
          <w:rFonts w:hint="default" w:ascii="Times New Roman" w:hAnsi="Times New Roman" w:eastAsia="方正仿宋_GBK"/>
          <w:b w:val="0"/>
          <w:bCs w:val="0"/>
          <w:color w:val="000000"/>
          <w:kern w:val="0"/>
          <w:sz w:val="32"/>
          <w:szCs w:val="32"/>
          <w:highlight w:val="none"/>
          <w:shd w:val="clear" w:color="auto" w:fill="FFFFFF"/>
          <w:lang w:val="zh-CN" w:eastAsia="zh-CN"/>
        </w:rPr>
        <w:t>市检察院</w:t>
      </w:r>
      <w:r>
        <w:rPr>
          <w:rFonts w:hint="eastAsia" w:ascii="Times New Roman" w:hAnsi="Times New Roman" w:eastAsia="方正仿宋_GBK" w:cs="Times New Roman"/>
          <w:b w:val="0"/>
          <w:bCs w:val="0"/>
          <w:sz w:val="32"/>
          <w:szCs w:val="32"/>
          <w:lang w:val="zh-CN" w:eastAsia="zh-CN"/>
        </w:rPr>
        <w:t>严格落实财政项目库管理要求，所有纳入年度部门预算的项目，均按规定在财政预算管理一体化系统中完成项目入库工作。项目入库信息完整、要素齐全，均在市财政部门规定的时间节点内完成项目入库申报及审核，未出现未入库先安排预算、超期入库等情况。</w:t>
      </w:r>
    </w:p>
    <w:p w14:paraId="77C576E8">
      <w:pPr>
        <w:keepNext w:val="0"/>
        <w:keepLines w:val="0"/>
        <w:pageBreakBefore w:val="0"/>
        <w:widowControl w:val="0"/>
        <w:kinsoku/>
        <w:wordWrap/>
        <w:overflowPunct w:val="0"/>
        <w:topLinePunct w:val="0"/>
        <w:autoSpaceDE/>
        <w:autoSpaceDN/>
        <w:bidi w:val="0"/>
        <w:adjustRightInd/>
        <w:snapToGrid/>
        <w:spacing w:line="552" w:lineRule="exact"/>
        <w:ind w:firstLine="640" w:firstLineChars="200"/>
        <w:textAlignment w:val="auto"/>
        <w:rPr>
          <w:rFonts w:hint="default" w:ascii="Times New Roman" w:hAnsi="Times New Roman" w:eastAsia="方正仿宋_GBK" w:cs="Times New Roman"/>
          <w:b w:val="0"/>
          <w:bCs w:val="0"/>
          <w:sz w:val="32"/>
          <w:szCs w:val="32"/>
          <w:lang w:val="en" w:eastAsia="zh-CN"/>
        </w:rPr>
      </w:pPr>
      <w:r>
        <w:rPr>
          <w:rFonts w:hint="default" w:ascii="Times New Roman" w:hAnsi="Times New Roman" w:eastAsia="方正仿宋_GBK" w:cs="Times New Roman"/>
          <w:b w:val="0"/>
          <w:bCs w:val="0"/>
          <w:sz w:val="32"/>
          <w:szCs w:val="32"/>
          <w:lang w:val="en" w:eastAsia="zh-CN"/>
        </w:rPr>
        <w:t>2.项目执行</w:t>
      </w:r>
    </w:p>
    <w:p w14:paraId="5B0566D1">
      <w:pPr>
        <w:keepNext w:val="0"/>
        <w:keepLines w:val="0"/>
        <w:pageBreakBefore w:val="0"/>
        <w:widowControl w:val="0"/>
        <w:kinsoku/>
        <w:wordWrap/>
        <w:overflowPunct w:val="0"/>
        <w:topLinePunct w:val="0"/>
        <w:autoSpaceDE/>
        <w:autoSpaceDN/>
        <w:bidi w:val="0"/>
        <w:adjustRightInd/>
        <w:snapToGrid/>
        <w:spacing w:line="552" w:lineRule="exact"/>
        <w:ind w:firstLine="640" w:firstLineChars="200"/>
        <w:textAlignment w:val="auto"/>
        <w:rPr>
          <w:rFonts w:hint="default" w:ascii="Times New Roman" w:hAnsi="Times New Roman" w:eastAsia="方正仿宋_GBK" w:cs="Times New Roman"/>
          <w:b w:val="0"/>
          <w:bCs w:val="0"/>
          <w:sz w:val="32"/>
          <w:szCs w:val="32"/>
          <w:lang w:val="en-US" w:eastAsia="zh-CN"/>
        </w:rPr>
      </w:pPr>
      <w:r>
        <w:rPr>
          <w:rFonts w:hint="eastAsia" w:ascii="Times New Roman" w:hAnsi="Times New Roman" w:eastAsia="方正仿宋_GBK" w:cs="Times New Roman"/>
          <w:b w:val="0"/>
          <w:bCs w:val="0"/>
          <w:sz w:val="32"/>
          <w:szCs w:val="32"/>
          <w:lang w:val="en" w:eastAsia="zh-CN"/>
        </w:rPr>
        <w:t>（</w:t>
      </w:r>
      <w:r>
        <w:rPr>
          <w:rFonts w:hint="default" w:ascii="Times New Roman" w:hAnsi="Times New Roman" w:eastAsia="方正仿宋_GBK" w:cs="Times New Roman"/>
          <w:b w:val="0"/>
          <w:bCs w:val="0"/>
          <w:sz w:val="32"/>
          <w:szCs w:val="32"/>
          <w:lang w:val="en" w:eastAsia="zh-CN"/>
        </w:rPr>
        <w:t>1</w:t>
      </w:r>
      <w:r>
        <w:rPr>
          <w:rFonts w:hint="eastAsia" w:ascii="Times New Roman" w:hAnsi="Times New Roman" w:eastAsia="方正仿宋_GBK" w:cs="Times New Roman"/>
          <w:b w:val="0"/>
          <w:bCs w:val="0"/>
          <w:sz w:val="32"/>
          <w:szCs w:val="32"/>
          <w:lang w:val="en" w:eastAsia="zh-CN"/>
        </w:rPr>
        <w:t>）</w:t>
      </w:r>
      <w:r>
        <w:rPr>
          <w:rFonts w:hint="default" w:ascii="Times New Roman" w:hAnsi="Times New Roman" w:eastAsia="方正仿宋_GBK" w:cs="Times New Roman"/>
          <w:b w:val="0"/>
          <w:bCs w:val="0"/>
          <w:sz w:val="32"/>
          <w:szCs w:val="32"/>
          <w:lang w:val="en-US" w:eastAsia="zh-CN"/>
        </w:rPr>
        <w:t>执行同向</w:t>
      </w:r>
      <w:r>
        <w:rPr>
          <w:rFonts w:hint="eastAsia" w:ascii="Times New Roman" w:hAnsi="Times New Roman" w:eastAsia="方正仿宋_GBK" w:cs="Times New Roman"/>
          <w:b w:val="0"/>
          <w:bCs w:val="0"/>
          <w:sz w:val="32"/>
          <w:szCs w:val="32"/>
          <w:lang w:val="en-US" w:eastAsia="zh-CN"/>
        </w:rPr>
        <w:t>。</w:t>
      </w:r>
      <w:r>
        <w:rPr>
          <w:rFonts w:hint="default" w:ascii="Times New Roman" w:hAnsi="Times New Roman" w:eastAsia="方正仿宋_GBK"/>
          <w:b w:val="0"/>
          <w:bCs w:val="0"/>
          <w:color w:val="000000"/>
          <w:kern w:val="0"/>
          <w:sz w:val="32"/>
          <w:szCs w:val="32"/>
          <w:highlight w:val="none"/>
          <w:shd w:val="clear" w:color="auto" w:fill="FFFFFF"/>
          <w:lang w:val="zh-CN" w:eastAsia="zh-CN"/>
        </w:rPr>
        <w:t>2025年市检察院</w:t>
      </w:r>
      <w:r>
        <w:rPr>
          <w:rFonts w:hint="default" w:ascii="Times New Roman" w:hAnsi="Times New Roman" w:eastAsia="方正仿宋_GBK" w:cs="Times New Roman"/>
          <w:b w:val="0"/>
          <w:bCs w:val="0"/>
          <w:sz w:val="32"/>
          <w:szCs w:val="32"/>
          <w:lang w:val="en-US" w:eastAsia="zh-CN"/>
        </w:rPr>
        <w:t>所有预算项目的实际列支内容均严格按照批复的项目预算及绩效目标方向执行，资金全部用于项目既定的业务内容，无擅自调整项目用途、截留挤占挪用项目资金、列支与项目无关支出等情况。项目实施内容、资金使用方向与绩效目标设定的产出、效益方向保持一致。</w:t>
      </w:r>
    </w:p>
    <w:p w14:paraId="20415F18">
      <w:pPr>
        <w:keepNext w:val="0"/>
        <w:keepLines w:val="0"/>
        <w:pageBreakBefore w:val="0"/>
        <w:widowControl w:val="0"/>
        <w:kinsoku/>
        <w:wordWrap/>
        <w:overflowPunct w:val="0"/>
        <w:topLinePunct w:val="0"/>
        <w:autoSpaceDE/>
        <w:autoSpaceDN/>
        <w:bidi w:val="0"/>
        <w:adjustRightInd/>
        <w:snapToGrid/>
        <w:spacing w:line="552" w:lineRule="exact"/>
        <w:ind w:firstLine="640" w:firstLineChars="200"/>
        <w:textAlignment w:val="auto"/>
        <w:rPr>
          <w:rFonts w:hint="default" w:ascii="Times New Roman" w:hAnsi="Times New Roman" w:eastAsia="方正仿宋_GBK" w:cs="Times New Roman"/>
          <w:b w:val="0"/>
          <w:bCs w:val="0"/>
          <w:sz w:val="32"/>
          <w:szCs w:val="32"/>
          <w:lang w:val="en" w:eastAsia="zh-CN"/>
        </w:rPr>
      </w:pPr>
      <w:r>
        <w:rPr>
          <w:rFonts w:hint="eastAsia" w:ascii="Times New Roman" w:hAnsi="Times New Roman" w:eastAsia="方正仿宋_GBK" w:cs="Times New Roman"/>
          <w:b w:val="0"/>
          <w:bCs w:val="0"/>
          <w:sz w:val="32"/>
          <w:szCs w:val="32"/>
          <w:lang w:val="en" w:eastAsia="zh-CN"/>
        </w:rPr>
        <w:t>（</w:t>
      </w:r>
      <w:r>
        <w:rPr>
          <w:rFonts w:hint="default" w:ascii="Times New Roman" w:hAnsi="Times New Roman" w:eastAsia="方正仿宋_GBK" w:cs="Times New Roman"/>
          <w:b w:val="0"/>
          <w:bCs w:val="0"/>
          <w:sz w:val="32"/>
          <w:szCs w:val="32"/>
          <w:lang w:val="en" w:eastAsia="zh-CN"/>
        </w:rPr>
        <w:t>2</w:t>
      </w:r>
      <w:r>
        <w:rPr>
          <w:rFonts w:hint="eastAsia" w:ascii="Times New Roman" w:hAnsi="Times New Roman" w:eastAsia="方正仿宋_GBK" w:cs="Times New Roman"/>
          <w:b w:val="0"/>
          <w:bCs w:val="0"/>
          <w:sz w:val="32"/>
          <w:szCs w:val="32"/>
          <w:lang w:val="en" w:eastAsia="zh-CN"/>
        </w:rPr>
        <w:t>）</w:t>
      </w:r>
      <w:r>
        <w:rPr>
          <w:rFonts w:hint="default" w:ascii="Times New Roman" w:hAnsi="Times New Roman" w:eastAsia="方正仿宋_GBK" w:cs="Times New Roman"/>
          <w:b w:val="0"/>
          <w:bCs w:val="0"/>
          <w:sz w:val="32"/>
          <w:szCs w:val="32"/>
          <w:lang w:val="en" w:eastAsia="zh-CN"/>
        </w:rPr>
        <w:t>项目调整</w:t>
      </w:r>
      <w:r>
        <w:rPr>
          <w:rFonts w:hint="eastAsia" w:ascii="Times New Roman" w:hAnsi="Times New Roman" w:eastAsia="方正仿宋_GBK" w:cs="Times New Roman"/>
          <w:b w:val="0"/>
          <w:bCs w:val="0"/>
          <w:sz w:val="32"/>
          <w:szCs w:val="32"/>
          <w:lang w:val="en" w:eastAsia="zh-CN"/>
        </w:rPr>
        <w:t>。</w:t>
      </w:r>
      <w:r>
        <w:rPr>
          <w:rFonts w:hint="default" w:ascii="Times New Roman" w:hAnsi="Times New Roman" w:eastAsia="方正仿宋_GBK"/>
          <w:b w:val="0"/>
          <w:bCs w:val="0"/>
          <w:color w:val="000000"/>
          <w:kern w:val="0"/>
          <w:sz w:val="32"/>
          <w:szCs w:val="32"/>
          <w:highlight w:val="none"/>
          <w:shd w:val="clear" w:color="auto" w:fill="FFFFFF"/>
          <w:lang w:val="zh-CN" w:eastAsia="zh-CN"/>
        </w:rPr>
        <w:t>市检察院</w:t>
      </w:r>
      <w:r>
        <w:rPr>
          <w:rFonts w:hint="default" w:ascii="Times New Roman" w:hAnsi="Times New Roman" w:eastAsia="方正仿宋_GBK" w:cs="Times New Roman"/>
          <w:b w:val="0"/>
          <w:bCs w:val="0"/>
          <w:sz w:val="32"/>
          <w:szCs w:val="32"/>
          <w:lang w:val="en" w:eastAsia="zh-CN"/>
        </w:rPr>
        <w:t>严格控制预算项目调整，确因政策变化、业务需求调整、不可抗力等特殊情况需调整项目内容、预算额度或实施进度的，均按规定履行项目调整审批程序，未出现未经批准擅自调整项目内容、变更资金用途、超范围调整预算等违规行为，项目调整程序规范、措施到位。</w:t>
      </w:r>
    </w:p>
    <w:p w14:paraId="0AD19248">
      <w:pPr>
        <w:keepNext w:val="0"/>
        <w:keepLines w:val="0"/>
        <w:pageBreakBefore w:val="0"/>
        <w:widowControl w:val="0"/>
        <w:kinsoku/>
        <w:wordWrap/>
        <w:overflowPunct w:val="0"/>
        <w:topLinePunct w:val="0"/>
        <w:autoSpaceDE/>
        <w:autoSpaceDN/>
        <w:bidi w:val="0"/>
        <w:adjustRightInd/>
        <w:snapToGrid/>
        <w:spacing w:line="552" w:lineRule="exact"/>
        <w:ind w:firstLine="640" w:firstLineChars="200"/>
        <w:textAlignment w:val="auto"/>
        <w:rPr>
          <w:rFonts w:hint="eastAsia" w:ascii="Times New Roman" w:hAnsi="Times New Roman" w:eastAsia="方正仿宋_GBK" w:cs="Times New Roman"/>
          <w:b w:val="0"/>
          <w:bCs w:val="0"/>
          <w:sz w:val="32"/>
          <w:szCs w:val="32"/>
          <w:lang w:val="en" w:eastAsia="zh-CN"/>
        </w:rPr>
      </w:pPr>
      <w:r>
        <w:rPr>
          <w:rFonts w:hint="eastAsia" w:ascii="Times New Roman" w:hAnsi="Times New Roman" w:eastAsia="方正仿宋_GBK" w:cs="Times New Roman"/>
          <w:b w:val="0"/>
          <w:bCs w:val="0"/>
          <w:sz w:val="32"/>
          <w:szCs w:val="32"/>
          <w:lang w:val="en" w:eastAsia="zh-CN"/>
        </w:rPr>
        <w:t>（</w:t>
      </w:r>
      <w:r>
        <w:rPr>
          <w:rFonts w:hint="default" w:ascii="Times New Roman" w:hAnsi="Times New Roman" w:eastAsia="方正仿宋_GBK" w:cs="Times New Roman"/>
          <w:b w:val="0"/>
          <w:bCs w:val="0"/>
          <w:sz w:val="32"/>
          <w:szCs w:val="32"/>
          <w:lang w:val="en" w:eastAsia="zh-CN"/>
        </w:rPr>
        <w:t>3</w:t>
      </w:r>
      <w:r>
        <w:rPr>
          <w:rFonts w:hint="eastAsia" w:ascii="Times New Roman" w:hAnsi="Times New Roman" w:eastAsia="方正仿宋_GBK" w:cs="Times New Roman"/>
          <w:b w:val="0"/>
          <w:bCs w:val="0"/>
          <w:sz w:val="32"/>
          <w:szCs w:val="32"/>
          <w:lang w:val="en" w:eastAsia="zh-CN"/>
        </w:rPr>
        <w:t>）</w:t>
      </w:r>
      <w:r>
        <w:rPr>
          <w:rFonts w:hint="default" w:ascii="Times New Roman" w:hAnsi="Times New Roman" w:eastAsia="方正仿宋_GBK" w:cs="Times New Roman"/>
          <w:b w:val="0"/>
          <w:bCs w:val="0"/>
          <w:sz w:val="32"/>
          <w:szCs w:val="32"/>
          <w:lang w:val="en" w:eastAsia="zh-CN"/>
        </w:rPr>
        <w:t>执行结果</w:t>
      </w:r>
      <w:r>
        <w:rPr>
          <w:rFonts w:hint="eastAsia" w:ascii="Times New Roman" w:hAnsi="Times New Roman" w:eastAsia="方正仿宋_GBK" w:cs="Times New Roman"/>
          <w:b w:val="0"/>
          <w:bCs w:val="0"/>
          <w:sz w:val="32"/>
          <w:szCs w:val="32"/>
          <w:lang w:val="en" w:eastAsia="zh-CN"/>
        </w:rPr>
        <w:t>。截至</w:t>
      </w:r>
      <w:r>
        <w:rPr>
          <w:rFonts w:hint="default" w:ascii="Times New Roman" w:hAnsi="Times New Roman" w:eastAsia="方正仿宋_GBK" w:cs="Times New Roman"/>
          <w:b w:val="0"/>
          <w:bCs w:val="0"/>
          <w:sz w:val="32"/>
          <w:szCs w:val="32"/>
          <w:lang w:val="en" w:eastAsia="zh-CN"/>
        </w:rPr>
        <w:t>2025</w:t>
      </w:r>
      <w:r>
        <w:rPr>
          <w:rFonts w:hint="eastAsia" w:ascii="Times New Roman" w:hAnsi="Times New Roman" w:eastAsia="方正仿宋_GBK" w:cs="Times New Roman"/>
          <w:b w:val="0"/>
          <w:bCs w:val="0"/>
          <w:sz w:val="32"/>
          <w:szCs w:val="32"/>
          <w:lang w:val="en" w:eastAsia="zh-CN"/>
        </w:rPr>
        <w:t>年末，市院所有预算项目均按计划完成资金拨付，整体预算执行率达到财政部门要求，项目预算执行情况良好，有效保障了项目任务的落地实施。</w:t>
      </w:r>
    </w:p>
    <w:p w14:paraId="4DF4A3D7">
      <w:pPr>
        <w:keepNext w:val="0"/>
        <w:keepLines w:val="0"/>
        <w:pageBreakBefore w:val="0"/>
        <w:widowControl w:val="0"/>
        <w:kinsoku/>
        <w:wordWrap/>
        <w:overflowPunct w:val="0"/>
        <w:topLinePunct w:val="0"/>
        <w:autoSpaceDE/>
        <w:autoSpaceDN/>
        <w:bidi w:val="0"/>
        <w:adjustRightInd/>
        <w:snapToGrid/>
        <w:spacing w:line="552" w:lineRule="exact"/>
        <w:ind w:firstLine="640" w:firstLineChars="200"/>
        <w:textAlignment w:val="auto"/>
        <w:rPr>
          <w:rFonts w:hint="default" w:ascii="Times New Roman" w:hAnsi="Times New Roman" w:eastAsia="方正仿宋_GBK" w:cs="Times New Roman"/>
          <w:b w:val="0"/>
          <w:bCs w:val="0"/>
          <w:sz w:val="32"/>
          <w:szCs w:val="32"/>
          <w:lang w:val="en" w:eastAsia="zh-CN"/>
        </w:rPr>
      </w:pPr>
      <w:r>
        <w:rPr>
          <w:rFonts w:hint="default" w:ascii="Times New Roman" w:hAnsi="Times New Roman" w:eastAsia="方正仿宋_GBK" w:cs="Times New Roman"/>
          <w:b w:val="0"/>
          <w:bCs w:val="0"/>
          <w:sz w:val="32"/>
          <w:szCs w:val="32"/>
          <w:lang w:val="en" w:eastAsia="zh-CN"/>
        </w:rPr>
        <w:t>3.目标实现</w:t>
      </w:r>
    </w:p>
    <w:p w14:paraId="3F620F70">
      <w:pPr>
        <w:keepNext w:val="0"/>
        <w:keepLines w:val="0"/>
        <w:pageBreakBefore w:val="0"/>
        <w:widowControl w:val="0"/>
        <w:kinsoku/>
        <w:wordWrap/>
        <w:overflowPunct w:val="0"/>
        <w:topLinePunct w:val="0"/>
        <w:autoSpaceDE/>
        <w:autoSpaceDN/>
        <w:bidi w:val="0"/>
        <w:adjustRightInd/>
        <w:snapToGrid/>
        <w:spacing w:line="552" w:lineRule="exact"/>
        <w:ind w:firstLine="640" w:firstLineChars="200"/>
        <w:textAlignment w:val="auto"/>
        <w:rPr>
          <w:rFonts w:hint="default" w:ascii="Times New Roman" w:hAnsi="Times New Roman" w:eastAsia="方正仿宋_GBK" w:cs="Times New Roman"/>
          <w:b w:val="0"/>
          <w:bCs w:val="0"/>
          <w:sz w:val="32"/>
          <w:szCs w:val="32"/>
          <w:lang w:val="en" w:eastAsia="zh-CN"/>
        </w:rPr>
      </w:pPr>
      <w:r>
        <w:rPr>
          <w:rFonts w:hint="eastAsia" w:ascii="Times New Roman" w:hAnsi="Times New Roman" w:eastAsia="方正仿宋_GBK" w:cs="Times New Roman"/>
          <w:b w:val="0"/>
          <w:bCs w:val="0"/>
          <w:sz w:val="32"/>
          <w:szCs w:val="32"/>
          <w:lang w:val="en" w:eastAsia="zh-CN"/>
        </w:rPr>
        <w:t>市检察院</w:t>
      </w:r>
      <w:r>
        <w:rPr>
          <w:rFonts w:hint="default" w:ascii="Times New Roman" w:hAnsi="Times New Roman" w:eastAsia="方正仿宋_GBK" w:cs="Times New Roman"/>
          <w:b w:val="0"/>
          <w:bCs w:val="0"/>
          <w:sz w:val="32"/>
          <w:szCs w:val="32"/>
          <w:lang w:val="en" w:eastAsia="zh-CN"/>
        </w:rPr>
        <w:t>预算项目的绩效目标数量指标均按计划完成。我院预算项目绩效目标数量指标实现程度与预期目标高度一致，无重大偏离情况。通过项目的实施，有效提升了案件办理质效、维护了司法公正，为检察工作高质量发展提供了有力支撑，项目实施取得了良好的社会效益与履职效益，达到了预期的绩效目标。</w:t>
      </w:r>
    </w:p>
    <w:p w14:paraId="6C21773C">
      <w:pPr>
        <w:keepNext w:val="0"/>
        <w:keepLines w:val="0"/>
        <w:pageBreakBefore w:val="0"/>
        <w:widowControl w:val="0"/>
        <w:kinsoku/>
        <w:wordWrap/>
        <w:overflowPunct w:val="0"/>
        <w:topLinePunct w:val="0"/>
        <w:autoSpaceDE/>
        <w:autoSpaceDN/>
        <w:bidi w:val="0"/>
        <w:adjustRightInd w:val="0"/>
        <w:snapToGrid w:val="0"/>
        <w:spacing w:line="552" w:lineRule="exact"/>
        <w:ind w:firstLine="640" w:firstLineChars="200"/>
        <w:contextualSpacing/>
        <w:jc w:val="left"/>
        <w:textAlignment w:val="auto"/>
        <w:outlineLvl w:val="9"/>
        <w:rPr>
          <w:rFonts w:hint="default" w:ascii="Times New Roman" w:hAnsi="Times New Roman" w:eastAsia="方正楷体_GBK" w:cs="Times New Roman"/>
          <w:b w:val="0"/>
          <w:bCs w:val="0"/>
          <w:color w:val="000000"/>
          <w:kern w:val="0"/>
          <w:sz w:val="32"/>
          <w:szCs w:val="32"/>
          <w:highlight w:val="none"/>
          <w:shd w:val="clear" w:color="auto" w:fill="FFFFFF"/>
          <w:lang w:val="zh-CN" w:eastAsia="zh-CN"/>
        </w:rPr>
      </w:pPr>
      <w:r>
        <w:rPr>
          <w:rFonts w:hint="eastAsia" w:ascii="Times New Roman" w:hAnsi="Times New Roman" w:eastAsia="方正仿宋_GBK" w:cs="Times New Roman"/>
          <w:b w:val="0"/>
          <w:bCs w:val="0"/>
          <w:sz w:val="32"/>
          <w:szCs w:val="32"/>
          <w:lang w:val="zh-CN" w:eastAsia="zh-CN"/>
        </w:rPr>
        <w:t>（</w:t>
      </w:r>
      <w:r>
        <w:rPr>
          <w:rFonts w:hint="eastAsia" w:ascii="Times New Roman" w:hAnsi="Times New Roman" w:eastAsia="方正楷体_GBK" w:cs="Times New Roman"/>
          <w:b w:val="0"/>
          <w:bCs w:val="0"/>
          <w:color w:val="000000"/>
          <w:kern w:val="0"/>
          <w:sz w:val="32"/>
          <w:szCs w:val="32"/>
          <w:highlight w:val="none"/>
          <w:shd w:val="clear" w:color="auto" w:fill="FFFFFF"/>
          <w:lang w:val="zh-CN" w:eastAsia="zh-CN"/>
        </w:rPr>
        <w:t>三）</w:t>
      </w:r>
      <w:r>
        <w:rPr>
          <w:rFonts w:hint="default" w:ascii="Times New Roman" w:hAnsi="Times New Roman" w:eastAsia="方正楷体_GBK" w:cs="Times New Roman"/>
          <w:b w:val="0"/>
          <w:bCs w:val="0"/>
          <w:color w:val="000000"/>
          <w:kern w:val="0"/>
          <w:sz w:val="32"/>
          <w:szCs w:val="32"/>
          <w:highlight w:val="none"/>
          <w:shd w:val="clear" w:color="auto" w:fill="FFFFFF"/>
          <w:lang w:val="zh-CN" w:eastAsia="zh-CN"/>
        </w:rPr>
        <w:t>绩效结果应用情况</w:t>
      </w:r>
    </w:p>
    <w:p w14:paraId="499E6D47">
      <w:pPr>
        <w:keepNext w:val="0"/>
        <w:keepLines w:val="0"/>
        <w:pageBreakBefore w:val="0"/>
        <w:widowControl w:val="0"/>
        <w:kinsoku/>
        <w:wordWrap/>
        <w:overflowPunct w:val="0"/>
        <w:topLinePunct w:val="0"/>
        <w:autoSpaceDE/>
        <w:autoSpaceDN/>
        <w:bidi w:val="0"/>
        <w:adjustRightInd/>
        <w:snapToGrid/>
        <w:spacing w:line="552" w:lineRule="exact"/>
        <w:ind w:firstLine="640" w:firstLineChars="200"/>
        <w:textAlignment w:val="auto"/>
        <w:rPr>
          <w:rFonts w:hint="default" w:ascii="Times New Roman" w:hAnsi="Times New Roman" w:eastAsia="方正楷体_GBK" w:cs="Times New Roman"/>
          <w:b w:val="0"/>
          <w:bCs w:val="0"/>
          <w:sz w:val="32"/>
          <w:szCs w:val="32"/>
          <w:lang w:val="zh-CN" w:eastAsia="zh-CN"/>
        </w:rPr>
      </w:pPr>
      <w:r>
        <w:rPr>
          <w:rFonts w:hint="eastAsia" w:ascii="Times New Roman" w:hAnsi="Times New Roman" w:eastAsia="方正仿宋_GBK" w:cs="Times New Roman"/>
          <w:b w:val="0"/>
          <w:bCs w:val="0"/>
          <w:sz w:val="32"/>
          <w:szCs w:val="32"/>
          <w:lang w:val="zh-CN" w:eastAsia="zh-CN"/>
        </w:rPr>
        <w:t>市检察院</w:t>
      </w:r>
      <w:r>
        <w:rPr>
          <w:rFonts w:hint="default" w:ascii="Times New Roman" w:hAnsi="Times New Roman" w:eastAsia="方正仿宋_GBK" w:cs="Times New Roman"/>
          <w:b w:val="0"/>
          <w:bCs w:val="0"/>
          <w:sz w:val="32"/>
          <w:szCs w:val="32"/>
          <w:lang w:val="zh-CN" w:eastAsia="zh-CN"/>
        </w:rPr>
        <w:t>高度重视预算绩效评价结果的转化应用，将绩效自评结果作为年度预算编制、项目立项、资金分配和内部管理优化的重要依据，在内部应用方面，及时将绩效自评结果反馈至各业务部门，对执行进度偏慢的项目进行重点分析，督促业务部门优化项目实施流程、改进资金使用方式；在信息公开方面，严格按照财政部门要求，在规定时限内依法依规公开部门整体绩效自评报告及重点项目绩效自评结果，主动接受社会监督，确保绩效信息公开透明；在整改反馈方面，针对自评中发现的问题建立整改台账，明确整改责任部门、整改措施和完成时限，定期跟踪整改进度，切实推动绩效评价发现问题整改到位，不断提升我院预算管理和资金使用的科学化、规范化水平。</w:t>
      </w:r>
    </w:p>
    <w:p w14:paraId="330477D2">
      <w:pPr>
        <w:keepNext w:val="0"/>
        <w:keepLines w:val="0"/>
        <w:pageBreakBefore w:val="0"/>
        <w:widowControl w:val="0"/>
        <w:kinsoku/>
        <w:wordWrap/>
        <w:overflowPunct w:val="0"/>
        <w:topLinePunct w:val="0"/>
        <w:autoSpaceDE/>
        <w:autoSpaceDN/>
        <w:bidi w:val="0"/>
        <w:adjustRightInd w:val="0"/>
        <w:snapToGrid w:val="0"/>
        <w:spacing w:line="552" w:lineRule="exact"/>
        <w:ind w:firstLine="640" w:firstLineChars="200"/>
        <w:contextualSpacing/>
        <w:jc w:val="left"/>
        <w:textAlignment w:val="auto"/>
        <w:outlineLvl w:val="9"/>
        <w:rPr>
          <w:rFonts w:hint="default" w:ascii="Times New Roman" w:hAnsi="Times New Roman" w:eastAsia="方正黑体_GBK" w:cs="Times New Roman"/>
          <w:b w:val="0"/>
          <w:bCs w:val="0"/>
          <w:color w:val="000000"/>
          <w:kern w:val="0"/>
          <w:sz w:val="32"/>
          <w:szCs w:val="32"/>
          <w:highlight w:val="none"/>
          <w:shd w:val="clear" w:color="auto" w:fill="FFFFFF"/>
        </w:rPr>
      </w:pPr>
      <w:r>
        <w:rPr>
          <w:rFonts w:hint="default" w:ascii="Times New Roman" w:hAnsi="Times New Roman" w:eastAsia="方正黑体_GBK" w:cs="Times New Roman"/>
          <w:b w:val="0"/>
          <w:bCs w:val="0"/>
          <w:color w:val="000000"/>
          <w:kern w:val="0"/>
          <w:sz w:val="32"/>
          <w:szCs w:val="32"/>
          <w:highlight w:val="none"/>
          <w:shd w:val="clear" w:color="auto" w:fill="FFFFFF"/>
          <w:lang w:eastAsia="zh-CN"/>
        </w:rPr>
        <w:t>四、</w:t>
      </w:r>
      <w:r>
        <w:rPr>
          <w:rFonts w:hint="default" w:ascii="Times New Roman" w:hAnsi="Times New Roman" w:eastAsia="方正黑体_GBK" w:cs="Times New Roman"/>
          <w:b w:val="0"/>
          <w:bCs w:val="0"/>
          <w:color w:val="000000"/>
          <w:kern w:val="0"/>
          <w:sz w:val="32"/>
          <w:szCs w:val="32"/>
          <w:highlight w:val="none"/>
          <w:shd w:val="clear" w:color="auto" w:fill="FFFFFF"/>
        </w:rPr>
        <w:t>202</w:t>
      </w:r>
      <w:r>
        <w:rPr>
          <w:rFonts w:hint="eastAsia" w:ascii="Times New Roman" w:hAnsi="Times New Roman" w:eastAsia="方正黑体_GBK" w:cs="Times New Roman"/>
          <w:b w:val="0"/>
          <w:bCs w:val="0"/>
          <w:color w:val="000000"/>
          <w:kern w:val="0"/>
          <w:sz w:val="32"/>
          <w:szCs w:val="32"/>
          <w:highlight w:val="none"/>
          <w:shd w:val="clear" w:color="auto" w:fill="FFFFFF"/>
          <w:lang w:val="en-US" w:eastAsia="zh-CN"/>
        </w:rPr>
        <w:t>5</w:t>
      </w:r>
      <w:r>
        <w:rPr>
          <w:rFonts w:hint="default" w:ascii="Times New Roman" w:hAnsi="Times New Roman" w:eastAsia="方正黑体_GBK" w:cs="Times New Roman"/>
          <w:b w:val="0"/>
          <w:bCs w:val="0"/>
          <w:color w:val="000000"/>
          <w:kern w:val="0"/>
          <w:sz w:val="32"/>
          <w:szCs w:val="32"/>
          <w:highlight w:val="none"/>
          <w:shd w:val="clear" w:color="auto" w:fill="FFFFFF"/>
        </w:rPr>
        <w:t>年财政重点评价或部门自评发现问题整改情况</w:t>
      </w:r>
    </w:p>
    <w:p w14:paraId="5D09040E">
      <w:pPr>
        <w:keepNext w:val="0"/>
        <w:keepLines w:val="0"/>
        <w:pageBreakBefore w:val="0"/>
        <w:widowControl w:val="0"/>
        <w:kinsoku/>
        <w:wordWrap/>
        <w:overflowPunct w:val="0"/>
        <w:topLinePunct w:val="0"/>
        <w:autoSpaceDE/>
        <w:autoSpaceDN/>
        <w:bidi w:val="0"/>
        <w:adjustRightInd/>
        <w:snapToGrid/>
        <w:spacing w:line="552" w:lineRule="exact"/>
        <w:ind w:firstLine="640" w:firstLineChars="200"/>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val="0"/>
          <w:bCs w:val="0"/>
          <w:sz w:val="32"/>
          <w:szCs w:val="32"/>
          <w:lang w:val="en-US" w:eastAsia="zh-CN"/>
        </w:rPr>
        <w:t>自评发现的问题主要是</w:t>
      </w:r>
      <w:r>
        <w:rPr>
          <w:rFonts w:hint="eastAsia" w:ascii="Times New Roman" w:hAnsi="Times New Roman" w:eastAsia="方正仿宋_GBK" w:cs="Times New Roman"/>
          <w:b w:val="0"/>
          <w:bCs w:val="0"/>
          <w:sz w:val="32"/>
          <w:szCs w:val="32"/>
          <w:lang w:val="en-US" w:eastAsia="zh-CN"/>
        </w:rPr>
        <w:t>政府采购项目前期论证</w:t>
      </w:r>
      <w:r>
        <w:rPr>
          <w:rFonts w:hint="default" w:ascii="Times New Roman" w:hAnsi="Times New Roman" w:eastAsia="方正仿宋_GBK" w:cs="Times New Roman"/>
          <w:b w:val="0"/>
          <w:bCs w:val="0"/>
          <w:sz w:val="32"/>
          <w:szCs w:val="32"/>
          <w:lang w:eastAsia="zh-CN"/>
        </w:rPr>
        <w:t>有待进一步加强。</w:t>
      </w:r>
      <w:r>
        <w:rPr>
          <w:rFonts w:hint="default" w:ascii="Times New Roman" w:hAnsi="Times New Roman" w:eastAsia="方正仿宋_GBK" w:cs="Times New Roman"/>
          <w:b w:val="0"/>
          <w:bCs w:val="0"/>
          <w:sz w:val="32"/>
          <w:szCs w:val="32"/>
          <w:lang w:val="en-US" w:eastAsia="zh-CN"/>
        </w:rPr>
        <w:t>具体整改</w:t>
      </w:r>
      <w:r>
        <w:rPr>
          <w:rFonts w:hint="eastAsia" w:ascii="Times New Roman" w:hAnsi="Times New Roman" w:eastAsia="方正仿宋_GBK" w:cs="Times New Roman"/>
          <w:b w:val="0"/>
          <w:bCs w:val="0"/>
          <w:sz w:val="32"/>
          <w:szCs w:val="32"/>
          <w:lang w:val="en-US" w:eastAsia="zh-CN"/>
        </w:rPr>
        <w:t>情况如下</w:t>
      </w:r>
      <w:r>
        <w:rPr>
          <w:rFonts w:hint="default" w:ascii="Times New Roman" w:hAnsi="Times New Roman" w:eastAsia="方正仿宋_GBK" w:cs="Times New Roman"/>
          <w:b w:val="0"/>
          <w:bCs w:val="0"/>
          <w:sz w:val="32"/>
          <w:szCs w:val="32"/>
          <w:lang w:val="en-US" w:eastAsia="zh-CN"/>
        </w:rPr>
        <w:t>：</w:t>
      </w:r>
    </w:p>
    <w:p w14:paraId="05D1F40E">
      <w:pPr>
        <w:keepNext w:val="0"/>
        <w:keepLines w:val="0"/>
        <w:pageBreakBefore w:val="0"/>
        <w:widowControl w:val="0"/>
        <w:kinsoku/>
        <w:wordWrap/>
        <w:overflowPunct w:val="0"/>
        <w:topLinePunct w:val="0"/>
        <w:autoSpaceDE/>
        <w:autoSpaceDN/>
        <w:bidi w:val="0"/>
        <w:adjustRightInd/>
        <w:snapToGrid/>
        <w:spacing w:line="552" w:lineRule="exact"/>
        <w:ind w:firstLine="640" w:firstLineChars="200"/>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val="0"/>
          <w:bCs w:val="0"/>
          <w:sz w:val="32"/>
          <w:szCs w:val="32"/>
          <w:lang w:val="en-US" w:eastAsia="zh-CN"/>
        </w:rPr>
        <w:t>我院已修订政府采购项目管理流程，新增采购项目前期需求调研与可行性论证环节，要求业务部门结合年度工作任务细化采购需求，计财部、检务督察部提前介入审核采购计划的合规性与必要性；同时建立政府采购项目台账，对采购执行进度、需求匹配情况实行全过程跟踪管理，优化采购计划编制与业务工作的衔接机制，相关整改措施均已落地见效。</w:t>
      </w:r>
    </w:p>
    <w:p w14:paraId="5A49FC6E">
      <w:pPr>
        <w:keepNext w:val="0"/>
        <w:keepLines w:val="0"/>
        <w:pageBreakBefore w:val="0"/>
        <w:widowControl w:val="0"/>
        <w:kinsoku/>
        <w:wordWrap/>
        <w:overflowPunct w:val="0"/>
        <w:topLinePunct w:val="0"/>
        <w:autoSpaceDE/>
        <w:autoSpaceDN/>
        <w:bidi w:val="0"/>
        <w:adjustRightInd w:val="0"/>
        <w:snapToGrid w:val="0"/>
        <w:spacing w:line="552" w:lineRule="exact"/>
        <w:ind w:firstLine="640" w:firstLineChars="200"/>
        <w:contextualSpacing/>
        <w:jc w:val="left"/>
        <w:textAlignment w:val="auto"/>
        <w:outlineLvl w:val="9"/>
        <w:rPr>
          <w:rFonts w:hint="default" w:ascii="Times New Roman" w:hAnsi="Times New Roman" w:eastAsia="方正黑体_GBK" w:cs="Times New Roman"/>
          <w:b w:val="0"/>
          <w:bCs w:val="0"/>
          <w:color w:val="000000"/>
          <w:kern w:val="0"/>
          <w:sz w:val="32"/>
          <w:szCs w:val="32"/>
          <w:highlight w:val="none"/>
          <w:shd w:val="clear" w:color="auto" w:fill="FFFFFF"/>
        </w:rPr>
      </w:pPr>
      <w:r>
        <w:rPr>
          <w:rFonts w:hint="default" w:ascii="Times New Roman" w:hAnsi="Times New Roman" w:eastAsia="方正黑体_GBK" w:cs="Times New Roman"/>
          <w:b w:val="0"/>
          <w:bCs w:val="0"/>
          <w:color w:val="000000"/>
          <w:kern w:val="0"/>
          <w:sz w:val="32"/>
          <w:szCs w:val="32"/>
          <w:highlight w:val="none"/>
          <w:shd w:val="clear" w:color="auto" w:fill="FFFFFF"/>
          <w:lang w:eastAsia="zh-CN"/>
        </w:rPr>
        <w:t>五、</w:t>
      </w:r>
      <w:r>
        <w:rPr>
          <w:rFonts w:hint="default" w:ascii="Times New Roman" w:hAnsi="Times New Roman" w:eastAsia="方正黑体_GBK" w:cs="Times New Roman"/>
          <w:b w:val="0"/>
          <w:bCs w:val="0"/>
          <w:color w:val="000000"/>
          <w:kern w:val="0"/>
          <w:sz w:val="32"/>
          <w:szCs w:val="32"/>
          <w:highlight w:val="none"/>
          <w:shd w:val="clear" w:color="auto" w:fill="FFFFFF"/>
        </w:rPr>
        <w:t>评价结论及建议</w:t>
      </w:r>
    </w:p>
    <w:p w14:paraId="030EEDA5">
      <w:pPr>
        <w:keepNext w:val="0"/>
        <w:keepLines w:val="0"/>
        <w:pageBreakBefore w:val="0"/>
        <w:widowControl w:val="0"/>
        <w:kinsoku/>
        <w:wordWrap/>
        <w:overflowPunct w:val="0"/>
        <w:topLinePunct w:val="0"/>
        <w:autoSpaceDE/>
        <w:autoSpaceDN/>
        <w:bidi w:val="0"/>
        <w:adjustRightInd w:val="0"/>
        <w:snapToGrid w:val="0"/>
        <w:spacing w:line="552" w:lineRule="exact"/>
        <w:ind w:firstLine="640" w:firstLineChars="200"/>
        <w:contextualSpacing/>
        <w:jc w:val="left"/>
        <w:textAlignment w:val="auto"/>
        <w:outlineLvl w:val="9"/>
        <w:rPr>
          <w:rFonts w:hint="default" w:ascii="Times New Roman" w:hAnsi="Times New Roman" w:eastAsia="方正楷体_GBK" w:cs="Times New Roman"/>
          <w:b w:val="0"/>
          <w:bCs w:val="0"/>
          <w:color w:val="000000"/>
          <w:kern w:val="0"/>
          <w:sz w:val="32"/>
          <w:szCs w:val="32"/>
          <w:highlight w:val="none"/>
          <w:shd w:val="clear" w:color="auto" w:fill="FFFFFF"/>
          <w:lang w:val="zh-CN" w:eastAsia="zh-CN"/>
        </w:rPr>
      </w:pPr>
      <w:r>
        <w:rPr>
          <w:rFonts w:hint="default" w:ascii="Times New Roman" w:hAnsi="Times New Roman" w:eastAsia="方正楷体_GBK" w:cs="Times New Roman"/>
          <w:b w:val="0"/>
          <w:bCs w:val="0"/>
          <w:color w:val="000000"/>
          <w:kern w:val="0"/>
          <w:sz w:val="32"/>
          <w:szCs w:val="32"/>
          <w:highlight w:val="none"/>
          <w:shd w:val="clear" w:color="auto" w:fill="FFFFFF"/>
          <w:lang w:val="zh-CN" w:eastAsia="zh-CN"/>
        </w:rPr>
        <w:t>（一）评价结论</w:t>
      </w:r>
    </w:p>
    <w:p w14:paraId="0D8B6603">
      <w:pPr>
        <w:keepNext w:val="0"/>
        <w:keepLines w:val="0"/>
        <w:pageBreakBefore w:val="0"/>
        <w:widowControl w:val="0"/>
        <w:kinsoku/>
        <w:wordWrap/>
        <w:overflowPunct w:val="0"/>
        <w:topLinePunct w:val="0"/>
        <w:autoSpaceDE/>
        <w:autoSpaceDN/>
        <w:bidi w:val="0"/>
        <w:adjustRightInd/>
        <w:snapToGrid/>
        <w:spacing w:line="552" w:lineRule="exact"/>
        <w:ind w:firstLine="640" w:firstLineChars="200"/>
        <w:textAlignment w:val="auto"/>
        <w:rPr>
          <w:rFonts w:hint="default" w:ascii="Times New Roman" w:hAnsi="Times New Roman" w:eastAsia="方正仿宋_GBK" w:cs="Times New Roman"/>
          <w:b w:val="0"/>
          <w:bCs w:val="0"/>
          <w:sz w:val="32"/>
          <w:szCs w:val="32"/>
          <w:lang w:val="zh-CN" w:eastAsia="zh-CN"/>
        </w:rPr>
      </w:pPr>
      <w:r>
        <w:rPr>
          <w:rFonts w:hint="default" w:ascii="Times New Roman" w:hAnsi="Times New Roman" w:eastAsia="方正仿宋_GBK" w:cs="Times New Roman"/>
          <w:b w:val="0"/>
          <w:bCs w:val="0"/>
          <w:sz w:val="32"/>
          <w:szCs w:val="32"/>
          <w:lang w:val="zh-CN" w:eastAsia="zh-CN"/>
        </w:rPr>
        <w:t>市检察院根据《巴中市部门预算整体绩效评价指标体系》，从</w:t>
      </w:r>
      <w:r>
        <w:rPr>
          <w:rFonts w:hint="default" w:ascii="Times New Roman" w:hAnsi="Times New Roman" w:eastAsia="方正仿宋_GBK" w:cs="Times New Roman"/>
          <w:b w:val="0"/>
          <w:bCs w:val="0"/>
          <w:sz w:val="32"/>
          <w:szCs w:val="32"/>
          <w:lang w:val="en-US" w:eastAsia="zh-CN"/>
        </w:rPr>
        <w:t>预算管理</w:t>
      </w:r>
      <w:r>
        <w:rPr>
          <w:rFonts w:hint="default" w:ascii="Times New Roman" w:hAnsi="Times New Roman" w:eastAsia="方正仿宋_GBK" w:cs="Times New Roman"/>
          <w:b w:val="0"/>
          <w:bCs w:val="0"/>
          <w:sz w:val="32"/>
          <w:szCs w:val="32"/>
          <w:lang w:val="zh-CN" w:eastAsia="zh-CN"/>
        </w:rPr>
        <w:t>、</w:t>
      </w:r>
      <w:r>
        <w:rPr>
          <w:rFonts w:hint="default" w:ascii="Times New Roman" w:hAnsi="Times New Roman" w:eastAsia="方正仿宋_GBK" w:cs="Times New Roman"/>
          <w:b w:val="0"/>
          <w:bCs w:val="0"/>
          <w:sz w:val="32"/>
          <w:szCs w:val="32"/>
          <w:lang w:val="en-US" w:eastAsia="zh-CN"/>
        </w:rPr>
        <w:t>财务</w:t>
      </w:r>
      <w:r>
        <w:rPr>
          <w:rFonts w:hint="default" w:ascii="Times New Roman" w:hAnsi="Times New Roman" w:eastAsia="方正仿宋_GBK" w:cs="Times New Roman"/>
          <w:b w:val="0"/>
          <w:bCs w:val="0"/>
          <w:sz w:val="32"/>
          <w:szCs w:val="32"/>
          <w:lang w:val="zh-CN" w:eastAsia="zh-CN"/>
        </w:rPr>
        <w:t>管理、</w:t>
      </w:r>
      <w:r>
        <w:rPr>
          <w:rFonts w:hint="default" w:ascii="Times New Roman" w:hAnsi="Times New Roman" w:eastAsia="方正仿宋_GBK" w:cs="Times New Roman"/>
          <w:b w:val="0"/>
          <w:bCs w:val="0"/>
          <w:sz w:val="32"/>
          <w:szCs w:val="32"/>
          <w:lang w:val="en-US" w:eastAsia="zh-CN"/>
        </w:rPr>
        <w:t>项目管理</w:t>
      </w:r>
      <w:r>
        <w:rPr>
          <w:rFonts w:hint="default" w:ascii="Times New Roman" w:hAnsi="Times New Roman" w:eastAsia="方正仿宋_GBK" w:cs="Times New Roman"/>
          <w:b w:val="0"/>
          <w:bCs w:val="0"/>
          <w:sz w:val="32"/>
          <w:szCs w:val="32"/>
          <w:lang w:val="zh-CN" w:eastAsia="zh-CN"/>
        </w:rPr>
        <w:t>、</w:t>
      </w:r>
      <w:r>
        <w:rPr>
          <w:rFonts w:hint="default" w:ascii="Times New Roman" w:hAnsi="Times New Roman" w:eastAsia="方正仿宋_GBK" w:cs="Times New Roman"/>
          <w:b w:val="0"/>
          <w:bCs w:val="0"/>
          <w:sz w:val="32"/>
          <w:szCs w:val="32"/>
          <w:lang w:val="en-US" w:eastAsia="zh-CN"/>
        </w:rPr>
        <w:t>资产管理</w:t>
      </w:r>
      <w:r>
        <w:rPr>
          <w:rFonts w:hint="default" w:ascii="Times New Roman" w:hAnsi="Times New Roman" w:eastAsia="方正仿宋_GBK" w:cs="Times New Roman"/>
          <w:b w:val="0"/>
          <w:bCs w:val="0"/>
          <w:sz w:val="32"/>
          <w:szCs w:val="32"/>
          <w:lang w:val="zh-CN" w:eastAsia="zh-CN"/>
        </w:rPr>
        <w:t>等方面进行全面评价，综合评分为</w:t>
      </w:r>
      <w:r>
        <w:rPr>
          <w:rFonts w:hint="default" w:ascii="Times New Roman" w:hAnsi="Times New Roman" w:eastAsia="方正仿宋_GBK" w:cs="Times New Roman"/>
          <w:b w:val="0"/>
          <w:bCs w:val="0"/>
          <w:color w:val="auto"/>
          <w:sz w:val="32"/>
          <w:szCs w:val="32"/>
          <w:highlight w:val="none"/>
          <w:lang w:val="en" w:eastAsia="zh-CN"/>
        </w:rPr>
        <w:t>91</w:t>
      </w:r>
      <w:r>
        <w:rPr>
          <w:rFonts w:hint="default" w:ascii="Times New Roman" w:hAnsi="Times New Roman" w:eastAsia="方正仿宋_GBK" w:cs="Times New Roman"/>
          <w:b w:val="0"/>
          <w:bCs w:val="0"/>
          <w:sz w:val="32"/>
          <w:szCs w:val="32"/>
          <w:lang w:val="zh-CN" w:eastAsia="zh-CN"/>
        </w:rPr>
        <w:t>分，评价结论为优秀。整体来看，我院预算编制科学规范、预算执行有序高效、财务管理严格合规、资产管理规范有序、项目绩效目标基本实现，财政资金使用效益良好，圆满完成了年度各项检察工作任务。</w:t>
      </w:r>
    </w:p>
    <w:p w14:paraId="075DF04C">
      <w:pPr>
        <w:keepNext w:val="0"/>
        <w:keepLines w:val="0"/>
        <w:pageBreakBefore w:val="0"/>
        <w:widowControl w:val="0"/>
        <w:numPr>
          <w:ilvl w:val="0"/>
          <w:numId w:val="0"/>
        </w:numPr>
        <w:kinsoku/>
        <w:wordWrap/>
        <w:overflowPunct w:val="0"/>
        <w:topLinePunct w:val="0"/>
        <w:autoSpaceDE/>
        <w:autoSpaceDN/>
        <w:bidi w:val="0"/>
        <w:adjustRightInd w:val="0"/>
        <w:snapToGrid w:val="0"/>
        <w:spacing w:line="552" w:lineRule="exact"/>
        <w:ind w:firstLine="640" w:firstLineChars="200"/>
        <w:contextualSpacing/>
        <w:jc w:val="left"/>
        <w:textAlignment w:val="auto"/>
        <w:outlineLvl w:val="9"/>
        <w:rPr>
          <w:rFonts w:hint="default" w:ascii="Times New Roman" w:hAnsi="Times New Roman" w:eastAsia="方正仿宋_GBK" w:cs="Times New Roman"/>
          <w:b w:val="0"/>
          <w:bCs w:val="0"/>
          <w:w w:val="95"/>
          <w:kern w:val="0"/>
          <w:position w:val="0"/>
          <w:sz w:val="32"/>
          <w:szCs w:val="32"/>
          <w:lang w:val="en-US" w:eastAsia="zh-CN" w:bidi="ar-SA"/>
        </w:rPr>
      </w:pPr>
      <w:r>
        <w:rPr>
          <w:rFonts w:hint="eastAsia" w:ascii="Times New Roman" w:hAnsi="Times New Roman" w:eastAsia="方正楷体_GBK" w:cs="Times New Roman"/>
          <w:b w:val="0"/>
          <w:bCs w:val="0"/>
          <w:color w:val="000000"/>
          <w:kern w:val="0"/>
          <w:sz w:val="32"/>
          <w:szCs w:val="32"/>
          <w:highlight w:val="none"/>
          <w:shd w:val="clear" w:color="auto" w:fill="FFFFFF"/>
          <w:lang w:val="zh-CN" w:eastAsia="zh-CN"/>
        </w:rPr>
        <w:t>（二）</w:t>
      </w:r>
      <w:r>
        <w:rPr>
          <w:rFonts w:hint="default" w:ascii="Times New Roman" w:hAnsi="Times New Roman" w:eastAsia="方正楷体_GBK" w:cs="Times New Roman"/>
          <w:b w:val="0"/>
          <w:bCs w:val="0"/>
          <w:color w:val="000000"/>
          <w:kern w:val="0"/>
          <w:sz w:val="32"/>
          <w:szCs w:val="32"/>
          <w:highlight w:val="none"/>
          <w:shd w:val="clear" w:color="auto" w:fill="FFFFFF"/>
          <w:lang w:val="zh-CN" w:eastAsia="zh-CN"/>
        </w:rPr>
        <w:t>存在问题</w:t>
      </w:r>
    </w:p>
    <w:p w14:paraId="39F7E74C">
      <w:pPr>
        <w:keepNext w:val="0"/>
        <w:keepLines w:val="0"/>
        <w:pageBreakBefore w:val="0"/>
        <w:widowControl w:val="0"/>
        <w:kinsoku/>
        <w:wordWrap/>
        <w:overflowPunct w:val="0"/>
        <w:topLinePunct w:val="0"/>
        <w:autoSpaceDE/>
        <w:autoSpaceDN/>
        <w:bidi w:val="0"/>
        <w:spacing w:line="552" w:lineRule="exact"/>
        <w:ind w:firstLine="608" w:firstLineChars="200"/>
        <w:textAlignment w:val="auto"/>
        <w:rPr>
          <w:rFonts w:hint="default" w:ascii="Times New Roman" w:hAnsi="Times New Roman" w:eastAsia="方正仿宋_GBK" w:cs="Times New Roman"/>
          <w:b w:val="0"/>
          <w:bCs w:val="0"/>
          <w:w w:val="95"/>
          <w:kern w:val="0"/>
          <w:position w:val="0"/>
          <w:sz w:val="32"/>
          <w:szCs w:val="32"/>
          <w:lang w:val="en-US" w:eastAsia="zh-CN" w:bidi="ar-SA"/>
        </w:rPr>
      </w:pPr>
      <w:r>
        <w:rPr>
          <w:rFonts w:hint="default" w:ascii="Times New Roman" w:hAnsi="Times New Roman" w:eastAsia="方正仿宋_GBK" w:cs="Times New Roman"/>
          <w:b w:val="0"/>
          <w:bCs w:val="0"/>
          <w:w w:val="95"/>
          <w:kern w:val="0"/>
          <w:position w:val="0"/>
          <w:sz w:val="32"/>
          <w:szCs w:val="32"/>
          <w:lang w:val="en-US" w:eastAsia="zh-CN" w:bidi="ar-SA"/>
        </w:rPr>
        <w:t>一是个别政府采购项目前期需求调研不够充分，采购计划与业务实际需求的匹配度有待进一步提升；二是部分采购项目实施周期与业务工作节奏衔接不够紧密，存在阶段性进度不均衡的情况；三是政府采购项目绩效目标与采购需求的关联度仍需强化，采购项目的绩效导向作用有待进一步发挥。</w:t>
      </w:r>
    </w:p>
    <w:p w14:paraId="209EDDE1">
      <w:pPr>
        <w:keepNext w:val="0"/>
        <w:keepLines w:val="0"/>
        <w:pageBreakBefore w:val="0"/>
        <w:widowControl w:val="0"/>
        <w:numPr>
          <w:ilvl w:val="0"/>
          <w:numId w:val="0"/>
        </w:numPr>
        <w:kinsoku/>
        <w:wordWrap/>
        <w:overflowPunct w:val="0"/>
        <w:topLinePunct w:val="0"/>
        <w:autoSpaceDE/>
        <w:autoSpaceDN/>
        <w:bidi w:val="0"/>
        <w:adjustRightInd w:val="0"/>
        <w:snapToGrid w:val="0"/>
        <w:spacing w:line="552" w:lineRule="exact"/>
        <w:ind w:leftChars="200" w:firstLine="320" w:firstLineChars="100"/>
        <w:contextualSpacing/>
        <w:jc w:val="left"/>
        <w:textAlignment w:val="auto"/>
        <w:outlineLvl w:val="9"/>
        <w:rPr>
          <w:rFonts w:hint="default" w:ascii="Times New Roman" w:hAnsi="Times New Roman" w:eastAsia="方正楷体_GBK" w:cs="Times New Roman"/>
          <w:b w:val="0"/>
          <w:bCs w:val="0"/>
          <w:color w:val="000000"/>
          <w:kern w:val="0"/>
          <w:sz w:val="32"/>
          <w:szCs w:val="32"/>
          <w:highlight w:val="none"/>
          <w:shd w:val="clear" w:color="auto" w:fill="FFFFFF"/>
          <w:lang w:val="zh-CN" w:eastAsia="zh-CN"/>
        </w:rPr>
      </w:pPr>
      <w:r>
        <w:rPr>
          <w:rFonts w:hint="eastAsia" w:ascii="Times New Roman" w:hAnsi="Times New Roman" w:eastAsia="方正楷体_GBK" w:cs="Times New Roman"/>
          <w:b w:val="0"/>
          <w:bCs w:val="0"/>
          <w:color w:val="000000"/>
          <w:kern w:val="0"/>
          <w:sz w:val="32"/>
          <w:szCs w:val="32"/>
          <w:highlight w:val="none"/>
          <w:shd w:val="clear" w:color="auto" w:fill="FFFFFF"/>
          <w:lang w:val="zh-CN" w:eastAsia="zh-CN"/>
        </w:rPr>
        <w:t>（三）</w:t>
      </w:r>
      <w:r>
        <w:rPr>
          <w:rFonts w:hint="default" w:ascii="Times New Roman" w:hAnsi="Times New Roman" w:eastAsia="方正楷体_GBK" w:cs="Times New Roman"/>
          <w:b w:val="0"/>
          <w:bCs w:val="0"/>
          <w:color w:val="000000"/>
          <w:kern w:val="0"/>
          <w:sz w:val="32"/>
          <w:szCs w:val="32"/>
          <w:highlight w:val="none"/>
          <w:shd w:val="clear" w:color="auto" w:fill="FFFFFF"/>
          <w:lang w:val="zh-CN" w:eastAsia="zh-CN"/>
        </w:rPr>
        <w:t>改进建议</w:t>
      </w:r>
      <w:bookmarkStart w:id="85" w:name="_Hlk110546638"/>
    </w:p>
    <w:bookmarkEnd w:id="85"/>
    <w:p w14:paraId="009C81ED">
      <w:pPr>
        <w:keepNext w:val="0"/>
        <w:keepLines w:val="0"/>
        <w:pageBreakBefore w:val="0"/>
        <w:widowControl w:val="0"/>
        <w:kinsoku/>
        <w:wordWrap/>
        <w:overflowPunct w:val="0"/>
        <w:topLinePunct w:val="0"/>
        <w:autoSpaceDE/>
        <w:autoSpaceDN/>
        <w:bidi w:val="0"/>
        <w:spacing w:line="552" w:lineRule="exact"/>
        <w:ind w:firstLine="608" w:firstLineChars="200"/>
        <w:textAlignment w:val="auto"/>
        <w:rPr>
          <w:rFonts w:hint="eastAsia" w:ascii="Times New Roman" w:hAnsi="Times New Roman" w:eastAsia="仿宋_GB2312" w:cs="Times New Roman"/>
          <w:b w:val="0"/>
          <w:bCs w:val="0"/>
          <w:kern w:val="2"/>
          <w:sz w:val="32"/>
          <w:szCs w:val="32"/>
          <w:u w:val="none"/>
          <w:lang w:val="zh-CN" w:eastAsia="zh-CN" w:bidi="ar"/>
        </w:rPr>
      </w:pPr>
      <w:r>
        <w:rPr>
          <w:rFonts w:hint="default" w:ascii="Times New Roman" w:hAnsi="Times New Roman" w:eastAsia="方正仿宋_GBK" w:cs="Times New Roman"/>
          <w:b w:val="0"/>
          <w:bCs w:val="0"/>
          <w:w w:val="95"/>
          <w:kern w:val="0"/>
          <w:position w:val="0"/>
          <w:sz w:val="32"/>
          <w:szCs w:val="32"/>
          <w:lang w:val="en-US" w:eastAsia="zh-CN" w:bidi="ar-SA"/>
        </w:rPr>
        <w:t>一是建立政府采购项目前期论证机制，要求业务部门在采购立项前开展全面的需求调研，计财部、检务督察部提前介入审核，提升采购计划与实际需求的匹配度；二是优化政府采购项目全周期管理流程，建立采购计划与业务工作年度计划同步编制、同步推进机制，避免集中采购影响业务开展；三是将绩效目标管理嵌入政府采购全流程，强化采购项目的绩效评价与结果应用，推动政府采购与业务履职需求深度融合</w:t>
      </w:r>
      <w:r>
        <w:rPr>
          <w:rFonts w:hint="eastAsia" w:ascii="Times New Roman" w:hAnsi="Times New Roman" w:eastAsia="方正仿宋_GBK" w:cs="Times New Roman"/>
          <w:b w:val="0"/>
          <w:bCs w:val="0"/>
          <w:sz w:val="32"/>
          <w:szCs w:val="32"/>
          <w:lang w:val="zh-CN" w:eastAsia="zh-CN"/>
        </w:rPr>
        <w:t>。</w:t>
      </w:r>
    </w:p>
    <w:p w14:paraId="7E455B49">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b w:val="0"/>
          <w:bCs w:val="0"/>
          <w:kern w:val="2"/>
          <w:sz w:val="32"/>
          <w:szCs w:val="32"/>
          <w:u w:val="none"/>
          <w:lang w:val="zh-CN" w:eastAsia="zh-CN" w:bidi="ar"/>
        </w:rPr>
        <w:sectPr>
          <w:pgSz w:w="11906" w:h="16838"/>
          <w:pgMar w:top="2098" w:right="1531" w:bottom="1984" w:left="1531" w:header="851" w:footer="992" w:gutter="0"/>
          <w:pgNumType w:fmt="decimal"/>
          <w:cols w:space="425" w:num="1"/>
          <w:docGrid w:type="lines" w:linePitch="312" w:charSpace="0"/>
        </w:sectPr>
      </w:pPr>
    </w:p>
    <w:p w14:paraId="3214FFC3">
      <w:pPr>
        <w:bidi w:val="0"/>
        <w:rPr>
          <w:rFonts w:hint="eastAsia" w:ascii="Times New Roman" w:hAnsi="Times New Roman" w:eastAsia="仿宋_GB2312" w:cs="Times New Roman"/>
          <w:b w:val="0"/>
          <w:bCs w:val="0"/>
          <w:kern w:val="2"/>
          <w:sz w:val="32"/>
          <w:szCs w:val="32"/>
          <w:u w:val="none"/>
          <w:lang w:val="zh-CN" w:eastAsia="zh-CN" w:bidi="ar"/>
        </w:rPr>
      </w:pPr>
      <w:r>
        <w:rPr>
          <w:rFonts w:hint="eastAsia" w:ascii="Times New Roman" w:hAnsi="Times New Roman" w:cs="Times New Roman"/>
          <w:lang w:val="zh-CN" w:eastAsia="zh-CN"/>
        </w:rPr>
        <w:t>附表：</w:t>
      </w:r>
      <w:r>
        <w:rPr>
          <w:rFonts w:hint="eastAsia" w:ascii="Times New Roman" w:hAnsi="Times New Roman" w:cs="Times New Roman"/>
          <w:lang w:val="en-US" w:eastAsia="zh-CN"/>
        </w:rPr>
        <w:t>部门预算项目支出绩效自评表（2025年度）</w:t>
      </w:r>
    </w:p>
    <w:tbl>
      <w:tblPr>
        <w:tblStyle w:val="16"/>
        <w:tblpPr w:leftFromText="180" w:rightFromText="180" w:vertAnchor="text" w:horzAnchor="page" w:tblpX="1568" w:tblpY="542"/>
        <w:tblOverlap w:val="never"/>
        <w:tblW w:w="917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61"/>
        <w:gridCol w:w="983"/>
        <w:gridCol w:w="931"/>
        <w:gridCol w:w="766"/>
        <w:gridCol w:w="612"/>
        <w:gridCol w:w="742"/>
        <w:gridCol w:w="707"/>
        <w:gridCol w:w="621"/>
        <w:gridCol w:w="20"/>
        <w:gridCol w:w="652"/>
        <w:gridCol w:w="690"/>
        <w:gridCol w:w="516"/>
        <w:gridCol w:w="859"/>
        <w:gridCol w:w="117"/>
      </w:tblGrid>
      <w:tr w14:paraId="3F6B40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17" w:type="dxa"/>
          <w:trHeight w:val="739" w:hRule="atLeast"/>
        </w:trPr>
        <w:tc>
          <w:tcPr>
            <w:tcW w:w="9060"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353A033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黑体" w:hAnsi="宋体" w:eastAsia="黑体" w:cs="黑体"/>
                <w:b/>
                <w:bCs/>
                <w:i w:val="0"/>
                <w:iCs w:val="0"/>
                <w:color w:val="000000"/>
                <w:sz w:val="30"/>
                <w:szCs w:val="30"/>
                <w:u w:val="none"/>
              </w:rPr>
            </w:pPr>
            <w:bookmarkStart w:id="86" w:name="_Toc15396618"/>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3591C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7" w:type="dxa"/>
          <w:trHeight w:val="361" w:hRule="atLeast"/>
        </w:trPr>
        <w:tc>
          <w:tcPr>
            <w:tcW w:w="19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A0249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11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CA7C2E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“两房”物业维护费用</w:t>
            </w:r>
          </w:p>
        </w:tc>
      </w:tr>
      <w:tr w14:paraId="3F565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7" w:type="dxa"/>
          <w:trHeight w:val="1466" w:hRule="atLeast"/>
        </w:trPr>
        <w:tc>
          <w:tcPr>
            <w:tcW w:w="19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3CABE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21D173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ascii="宋体" w:hAnsi="宋体" w:eastAsia="宋体" w:cs="宋体"/>
                <w:i w:val="0"/>
                <w:iCs w:val="0"/>
                <w:color w:val="000000"/>
                <w:sz w:val="18"/>
                <w:szCs w:val="18"/>
                <w:u w:val="none"/>
              </w:rPr>
            </w:pPr>
            <w:r>
              <w:rPr>
                <w:rFonts w:ascii="宋体" w:hAnsi="宋体" w:eastAsia="宋体" w:cs="宋体"/>
                <w:i w:val="0"/>
                <w:color w:val="000000"/>
                <w:kern w:val="0"/>
                <w:sz w:val="18"/>
                <w:szCs w:val="18"/>
                <w:u w:val="none"/>
                <w:lang w:val="en-US" w:eastAsia="zh-CN" w:bidi="ar"/>
              </w:rPr>
              <w:t>四川省巴中市人民检察院</w:t>
            </w:r>
          </w:p>
        </w:tc>
        <w:tc>
          <w:tcPr>
            <w:tcW w:w="641" w:type="dxa"/>
            <w:gridSpan w:val="2"/>
            <w:tcBorders>
              <w:top w:val="nil"/>
              <w:left w:val="nil"/>
              <w:bottom w:val="nil"/>
              <w:right w:val="nil"/>
            </w:tcBorders>
            <w:shd w:val="clear" w:color="auto" w:fill="auto"/>
            <w:vAlign w:val="center"/>
          </w:tcPr>
          <w:p w14:paraId="55BB8D7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left"/>
              <w:textAlignment w:val="center"/>
              <w:rPr>
                <w:rFonts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实施单位（盖章）</w:t>
            </w:r>
          </w:p>
        </w:tc>
        <w:tc>
          <w:tcPr>
            <w:tcW w:w="271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928828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四川省巴中市人民检察院</w:t>
            </w:r>
          </w:p>
        </w:tc>
      </w:tr>
      <w:tr w14:paraId="358CE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7" w:type="dxa"/>
          <w:trHeight w:val="360" w:hRule="atLeast"/>
        </w:trPr>
        <w:tc>
          <w:tcPr>
            <w:tcW w:w="9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C2823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0A073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42217F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35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4687C2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3372D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7" w:type="dxa"/>
          <w:trHeight w:val="2719" w:hRule="atLeast"/>
        </w:trPr>
        <w:tc>
          <w:tcPr>
            <w:tcW w:w="9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B2DDB4">
            <w:pPr>
              <w:keepNext w:val="0"/>
              <w:keepLines w:val="0"/>
              <w:pageBreakBefore w:val="0"/>
              <w:kinsoku/>
              <w:wordWrap/>
              <w:overflowPunct/>
              <w:topLinePunct w:val="0"/>
              <w:autoSpaceDE/>
              <w:autoSpaceDN/>
              <w:bidi w:val="0"/>
              <w:adjustRightInd/>
              <w:snapToGrid/>
              <w:spacing w:line="240" w:lineRule="auto"/>
              <w:rPr>
                <w:rFonts w:hint="eastAsia" w:ascii="宋体" w:hAnsi="宋体" w:eastAsia="宋体" w:cs="宋体"/>
                <w:i w:val="0"/>
                <w:iCs w:val="0"/>
                <w:color w:val="000000"/>
                <w:sz w:val="18"/>
                <w:szCs w:val="18"/>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3AA124">
            <w:pPr>
              <w:keepNext w:val="0"/>
              <w:keepLines w:val="0"/>
              <w:pageBreakBefore w:val="0"/>
              <w:kinsoku/>
              <w:wordWrap/>
              <w:overflowPunct/>
              <w:topLinePunct w:val="0"/>
              <w:autoSpaceDE/>
              <w:autoSpaceDN/>
              <w:bidi w:val="0"/>
              <w:adjustRightInd/>
              <w:snapToGrid/>
              <w:spacing w:line="240" w:lineRule="auto"/>
              <w:rPr>
                <w:rFonts w:hint="eastAsia" w:ascii="宋体" w:hAnsi="宋体" w:eastAsia="宋体" w:cs="宋体"/>
                <w:i w:val="0"/>
                <w:iCs w:val="0"/>
                <w:color w:val="000000"/>
                <w:sz w:val="18"/>
                <w:szCs w:val="18"/>
                <w:u w:val="none"/>
              </w:rPr>
            </w:pPr>
          </w:p>
        </w:tc>
        <w:tc>
          <w:tcPr>
            <w:tcW w:w="3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BE538F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目标1：办公场所清洁卫生，环卫设施设备清洁完好，无乱设广告牌和乱贴、乱扔、乱画、乱堆放垃圾等现象。绿化长势良好、修剪整齐，无枯死、大面积虫害与缺损，绿化带无杂物、杂草、垃圾现象。目标2：安全护卫设施运行良好，办公区内无安全隐患存在。</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目标3：食堂服务良好，无浪费现象。驾驶员服务周到、安全，无车辆安全事故发生。</w:t>
            </w:r>
          </w:p>
        </w:tc>
        <w:tc>
          <w:tcPr>
            <w:tcW w:w="335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EFF8DE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各项工作目标已全部圆满完成。办公区域环境整洁，环卫设施完好洁净。园区绿植长势良好，绿化带干净无杂草杂物，全面达成年度管护要求。</w:t>
            </w:r>
          </w:p>
        </w:tc>
      </w:tr>
      <w:tr w14:paraId="47EE9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7" w:type="dxa"/>
          <w:trHeight w:val="1278" w:hRule="atLeast"/>
        </w:trPr>
        <w:tc>
          <w:tcPr>
            <w:tcW w:w="9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66FDD4">
            <w:pPr>
              <w:keepNext w:val="0"/>
              <w:keepLines w:val="0"/>
              <w:pageBreakBefore w:val="0"/>
              <w:kinsoku/>
              <w:wordWrap/>
              <w:overflowPunct/>
              <w:topLinePunct w:val="0"/>
              <w:autoSpaceDE/>
              <w:autoSpaceDN/>
              <w:bidi w:val="0"/>
              <w:adjustRightInd/>
              <w:snapToGrid/>
              <w:spacing w:line="240" w:lineRule="auto"/>
              <w:rPr>
                <w:rFonts w:hint="eastAsia" w:ascii="宋体" w:hAnsi="宋体" w:eastAsia="宋体" w:cs="宋体"/>
                <w:i w:val="0"/>
                <w:iCs w:val="0"/>
                <w:color w:val="000000"/>
                <w:sz w:val="18"/>
                <w:szCs w:val="18"/>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2F59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11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41E385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常态化开展办公区域日常清扫保洁、环卫设施清洁维保，持续巡查整治环境乱象。同时按季节精细化开展绿化养护，定期完成绿植修剪、浇灌、除草、病虫害防治等工作，全程闭环落实各项管护任务，保障园区环境整洁、绿植长势良好。</w:t>
            </w:r>
          </w:p>
        </w:tc>
      </w:tr>
      <w:tr w14:paraId="39FBD4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E59D1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1CA8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F3E4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3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B70AE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0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AF62C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E38BC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EBD3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D8F3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42F93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680E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BDCEA8">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05B4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8742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63.00</w:t>
            </w:r>
          </w:p>
        </w:tc>
        <w:tc>
          <w:tcPr>
            <w:tcW w:w="13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A79BC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63.00</w:t>
            </w:r>
          </w:p>
        </w:tc>
        <w:tc>
          <w:tcPr>
            <w:tcW w:w="20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068FB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63.00</w:t>
            </w:r>
          </w:p>
        </w:tc>
        <w:tc>
          <w:tcPr>
            <w:tcW w:w="6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135CA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F347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2AD2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7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D1D48F">
            <w:pPr>
              <w:keepNext w:val="0"/>
              <w:keepLines w:val="0"/>
              <w:pageBreakBefore w:val="0"/>
              <w:kinsoku/>
              <w:wordWrap/>
              <w:overflowPunct/>
              <w:topLinePunct w:val="0"/>
              <w:autoSpaceDE/>
              <w:autoSpaceDN/>
              <w:bidi w:val="0"/>
              <w:adjustRightInd/>
              <w:snapToGrid/>
              <w:spacing w:line="240" w:lineRule="auto"/>
              <w:rPr>
                <w:rFonts w:hint="default" w:ascii="黑体" w:hAnsi="黑体" w:eastAsia="黑体" w:cs="黑体"/>
                <w:i w:val="0"/>
                <w:iCs w:val="0"/>
                <w:color w:val="000000"/>
                <w:sz w:val="18"/>
                <w:szCs w:val="18"/>
                <w:u w:val="none"/>
              </w:rPr>
            </w:pPr>
          </w:p>
        </w:tc>
      </w:tr>
      <w:tr w14:paraId="152E9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BDF570">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0F80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其中：财政资金</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772F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63.00</w:t>
            </w:r>
          </w:p>
        </w:tc>
        <w:tc>
          <w:tcPr>
            <w:tcW w:w="13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270B3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63.00</w:t>
            </w:r>
          </w:p>
        </w:tc>
        <w:tc>
          <w:tcPr>
            <w:tcW w:w="20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FC7D0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63.00</w:t>
            </w:r>
          </w:p>
        </w:tc>
        <w:tc>
          <w:tcPr>
            <w:tcW w:w="6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44F98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0.00%</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838E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25B6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2A63D1">
            <w:pPr>
              <w:keepNext w:val="0"/>
              <w:keepLines w:val="0"/>
              <w:pageBreakBefore w:val="0"/>
              <w:kinsoku/>
              <w:wordWrap/>
              <w:overflowPunct/>
              <w:topLinePunct w:val="0"/>
              <w:autoSpaceDE/>
              <w:autoSpaceDN/>
              <w:bidi w:val="0"/>
              <w:adjustRightInd/>
              <w:snapToGrid/>
              <w:spacing w:line="240" w:lineRule="auto"/>
              <w:rPr>
                <w:rFonts w:hint="default" w:ascii="黑体" w:hAnsi="黑体" w:eastAsia="黑体" w:cs="黑体"/>
                <w:i w:val="0"/>
                <w:iCs w:val="0"/>
                <w:color w:val="000000"/>
                <w:sz w:val="18"/>
                <w:szCs w:val="18"/>
                <w:u w:val="none"/>
              </w:rPr>
            </w:pPr>
          </w:p>
        </w:tc>
      </w:tr>
      <w:tr w14:paraId="1CB79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139627">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5309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财政专户管理资金</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4238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0.00</w:t>
            </w:r>
          </w:p>
        </w:tc>
        <w:tc>
          <w:tcPr>
            <w:tcW w:w="13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C0930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c>
          <w:tcPr>
            <w:tcW w:w="20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24E5D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c>
          <w:tcPr>
            <w:tcW w:w="6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01DE9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0.00%</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DFA9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BCF8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7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3BEF81">
            <w:pPr>
              <w:keepNext w:val="0"/>
              <w:keepLines w:val="0"/>
              <w:pageBreakBefore w:val="0"/>
              <w:kinsoku/>
              <w:wordWrap/>
              <w:overflowPunct/>
              <w:topLinePunct w:val="0"/>
              <w:autoSpaceDE/>
              <w:autoSpaceDN/>
              <w:bidi w:val="0"/>
              <w:adjustRightInd/>
              <w:snapToGrid/>
              <w:spacing w:line="240" w:lineRule="auto"/>
              <w:rPr>
                <w:rFonts w:hint="default" w:ascii="黑体" w:hAnsi="黑体" w:eastAsia="黑体" w:cs="黑体"/>
                <w:i w:val="0"/>
                <w:iCs w:val="0"/>
                <w:color w:val="000000"/>
                <w:sz w:val="18"/>
                <w:szCs w:val="18"/>
                <w:u w:val="none"/>
              </w:rPr>
            </w:pPr>
          </w:p>
        </w:tc>
      </w:tr>
      <w:tr w14:paraId="1035AC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FD3A84">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96AE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单位资金</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BAAA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0.00</w:t>
            </w:r>
          </w:p>
        </w:tc>
        <w:tc>
          <w:tcPr>
            <w:tcW w:w="13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B920F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c>
          <w:tcPr>
            <w:tcW w:w="20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C1B45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c>
          <w:tcPr>
            <w:tcW w:w="6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7CF22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0.00%</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E124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F3C0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7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8A6F38">
            <w:pPr>
              <w:keepNext w:val="0"/>
              <w:keepLines w:val="0"/>
              <w:pageBreakBefore w:val="0"/>
              <w:kinsoku/>
              <w:wordWrap/>
              <w:overflowPunct/>
              <w:topLinePunct w:val="0"/>
              <w:autoSpaceDE/>
              <w:autoSpaceDN/>
              <w:bidi w:val="0"/>
              <w:adjustRightInd/>
              <w:snapToGrid/>
              <w:spacing w:line="240" w:lineRule="auto"/>
              <w:rPr>
                <w:rFonts w:hint="default" w:ascii="黑体" w:hAnsi="黑体" w:eastAsia="黑体" w:cs="黑体"/>
                <w:i w:val="0"/>
                <w:iCs w:val="0"/>
                <w:color w:val="000000"/>
                <w:sz w:val="18"/>
                <w:szCs w:val="18"/>
                <w:u w:val="none"/>
              </w:rPr>
            </w:pPr>
          </w:p>
        </w:tc>
      </w:tr>
      <w:tr w14:paraId="3A5CD1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2EAFDD">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E099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其他资金</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2634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3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18948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20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CEF25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6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395F0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D44C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9871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7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007275">
            <w:pPr>
              <w:keepNext w:val="0"/>
              <w:keepLines w:val="0"/>
              <w:pageBreakBefore w:val="0"/>
              <w:kinsoku/>
              <w:wordWrap/>
              <w:overflowPunct/>
              <w:topLinePunct w:val="0"/>
              <w:autoSpaceDE/>
              <w:autoSpaceDN/>
              <w:bidi w:val="0"/>
              <w:adjustRightInd/>
              <w:snapToGrid/>
              <w:spacing w:line="240" w:lineRule="auto"/>
              <w:rPr>
                <w:rFonts w:hint="default" w:ascii="黑体" w:hAnsi="黑体" w:eastAsia="黑体" w:cs="黑体"/>
                <w:i w:val="0"/>
                <w:iCs w:val="0"/>
                <w:color w:val="000000"/>
                <w:sz w:val="18"/>
                <w:szCs w:val="18"/>
                <w:u w:val="none"/>
              </w:rPr>
            </w:pPr>
          </w:p>
        </w:tc>
      </w:tr>
      <w:tr w14:paraId="1C3FCB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F67AB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60DE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一级</w:t>
            </w:r>
          </w:p>
          <w:p w14:paraId="6600690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03B6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二级</w:t>
            </w:r>
          </w:p>
          <w:p w14:paraId="37C2854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13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68A1E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三级</w:t>
            </w:r>
          </w:p>
          <w:p w14:paraId="11226CF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AB2F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879C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EA3F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72" w:type="dxa"/>
            <w:gridSpan w:val="2"/>
            <w:tcBorders>
              <w:top w:val="single" w:color="000000" w:sz="4" w:space="0"/>
              <w:left w:val="single" w:color="000000" w:sz="4" w:space="0"/>
              <w:bottom w:val="nil"/>
              <w:right w:val="single" w:color="000000" w:sz="4" w:space="0"/>
            </w:tcBorders>
            <w:shd w:val="clear" w:color="auto" w:fill="auto"/>
            <w:vAlign w:val="center"/>
          </w:tcPr>
          <w:p w14:paraId="1B0DDA4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FB9E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184C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BA047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6270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882F32">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983" w:type="dxa"/>
            <w:vMerge w:val="restart"/>
            <w:tcBorders>
              <w:top w:val="single" w:color="000000" w:sz="4" w:space="0"/>
              <w:left w:val="single" w:color="000000" w:sz="4" w:space="0"/>
              <w:bottom w:val="nil"/>
              <w:right w:val="single" w:color="000000" w:sz="4" w:space="0"/>
            </w:tcBorders>
            <w:shd w:val="clear" w:color="auto" w:fill="auto"/>
            <w:vAlign w:val="center"/>
          </w:tcPr>
          <w:p w14:paraId="1AF1E2D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2508E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BA364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保洁人数</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DBA9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D7D8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7</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E8EA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人</w:t>
            </w:r>
          </w:p>
        </w:tc>
        <w:tc>
          <w:tcPr>
            <w:tcW w:w="6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03B2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7</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001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c>
          <w:tcPr>
            <w:tcW w:w="5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8297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c>
          <w:tcPr>
            <w:tcW w:w="9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836B7D">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r>
      <w:tr w14:paraId="7CB15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2B71F6">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983" w:type="dxa"/>
            <w:vMerge w:val="continue"/>
            <w:tcBorders>
              <w:top w:val="single" w:color="000000" w:sz="4" w:space="0"/>
              <w:left w:val="single" w:color="000000" w:sz="4" w:space="0"/>
              <w:bottom w:val="nil"/>
              <w:right w:val="single" w:color="000000" w:sz="4" w:space="0"/>
            </w:tcBorders>
            <w:shd w:val="clear" w:color="auto" w:fill="auto"/>
            <w:vAlign w:val="center"/>
          </w:tcPr>
          <w:p w14:paraId="446D7E1E">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9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20DDE8">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3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74763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保安人数</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11FC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C96B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0C10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人</w:t>
            </w:r>
          </w:p>
        </w:tc>
        <w:tc>
          <w:tcPr>
            <w:tcW w:w="6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5A6A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E5A2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c>
          <w:tcPr>
            <w:tcW w:w="5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7C3E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c>
          <w:tcPr>
            <w:tcW w:w="9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5C8F4F">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r>
      <w:tr w14:paraId="535DE7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A29516">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983" w:type="dxa"/>
            <w:vMerge w:val="continue"/>
            <w:tcBorders>
              <w:top w:val="single" w:color="000000" w:sz="4" w:space="0"/>
              <w:left w:val="single" w:color="000000" w:sz="4" w:space="0"/>
              <w:bottom w:val="nil"/>
              <w:right w:val="single" w:color="000000" w:sz="4" w:space="0"/>
            </w:tcBorders>
            <w:shd w:val="clear" w:color="auto" w:fill="auto"/>
            <w:vAlign w:val="center"/>
          </w:tcPr>
          <w:p w14:paraId="5DA59066">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9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8D2E28">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3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E0475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餐饮服务人员</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8C10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03BE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9429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人</w:t>
            </w:r>
          </w:p>
        </w:tc>
        <w:tc>
          <w:tcPr>
            <w:tcW w:w="6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90C9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3BFA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c>
          <w:tcPr>
            <w:tcW w:w="5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F612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c>
          <w:tcPr>
            <w:tcW w:w="9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E2412A">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r>
      <w:tr w14:paraId="1D7F60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F15038">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983" w:type="dxa"/>
            <w:vMerge w:val="continue"/>
            <w:tcBorders>
              <w:top w:val="single" w:color="000000" w:sz="4" w:space="0"/>
              <w:left w:val="single" w:color="000000" w:sz="4" w:space="0"/>
              <w:bottom w:val="nil"/>
              <w:right w:val="single" w:color="000000" w:sz="4" w:space="0"/>
            </w:tcBorders>
            <w:shd w:val="clear" w:color="auto" w:fill="auto"/>
            <w:vAlign w:val="center"/>
          </w:tcPr>
          <w:p w14:paraId="5ABB6A2F">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9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576317">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3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3D38D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驾驶服务人员</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A249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37F7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8B96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人</w:t>
            </w:r>
          </w:p>
        </w:tc>
        <w:tc>
          <w:tcPr>
            <w:tcW w:w="6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DEC5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9C3A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c>
          <w:tcPr>
            <w:tcW w:w="5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228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c>
          <w:tcPr>
            <w:tcW w:w="9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2DA28D">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r>
      <w:tr w14:paraId="0C3881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1DA4D3">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983" w:type="dxa"/>
            <w:vMerge w:val="continue"/>
            <w:tcBorders>
              <w:top w:val="single" w:color="000000" w:sz="4" w:space="0"/>
              <w:left w:val="single" w:color="000000" w:sz="4" w:space="0"/>
              <w:bottom w:val="nil"/>
              <w:right w:val="single" w:color="000000" w:sz="4" w:space="0"/>
            </w:tcBorders>
            <w:shd w:val="clear" w:color="auto" w:fill="auto"/>
            <w:vAlign w:val="center"/>
          </w:tcPr>
          <w:p w14:paraId="64B1F495">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931" w:type="dxa"/>
            <w:vMerge w:val="restart"/>
            <w:tcBorders>
              <w:top w:val="single" w:color="000000" w:sz="4" w:space="0"/>
              <w:left w:val="single" w:color="000000" w:sz="4" w:space="0"/>
              <w:bottom w:val="nil"/>
              <w:right w:val="single" w:color="000000" w:sz="4" w:space="0"/>
            </w:tcBorders>
            <w:shd w:val="clear" w:color="auto" w:fill="auto"/>
            <w:vAlign w:val="center"/>
          </w:tcPr>
          <w:p w14:paraId="5B6E810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质量指标</w:t>
            </w:r>
          </w:p>
        </w:tc>
        <w:tc>
          <w:tcPr>
            <w:tcW w:w="13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B0C57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办公环境保持清洁，无卫生死角现象</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D937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1481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95</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4181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6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DCB4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95</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193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c>
          <w:tcPr>
            <w:tcW w:w="5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2A20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c>
          <w:tcPr>
            <w:tcW w:w="9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23A9DE">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r>
      <w:tr w14:paraId="257E31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433ADE">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983" w:type="dxa"/>
            <w:vMerge w:val="continue"/>
            <w:tcBorders>
              <w:top w:val="single" w:color="000000" w:sz="4" w:space="0"/>
              <w:left w:val="single" w:color="000000" w:sz="4" w:space="0"/>
              <w:bottom w:val="nil"/>
              <w:right w:val="single" w:color="000000" w:sz="4" w:space="0"/>
            </w:tcBorders>
            <w:shd w:val="clear" w:color="auto" w:fill="auto"/>
            <w:vAlign w:val="center"/>
          </w:tcPr>
          <w:p w14:paraId="7E7CEB40">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931" w:type="dxa"/>
            <w:vMerge w:val="continue"/>
            <w:tcBorders>
              <w:top w:val="single" w:color="000000" w:sz="4" w:space="0"/>
              <w:left w:val="single" w:color="000000" w:sz="4" w:space="0"/>
              <w:bottom w:val="nil"/>
              <w:right w:val="single" w:color="000000" w:sz="4" w:space="0"/>
            </w:tcBorders>
            <w:shd w:val="clear" w:color="auto" w:fill="auto"/>
            <w:vAlign w:val="center"/>
          </w:tcPr>
          <w:p w14:paraId="3C677AC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3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79BC6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无安全隐患发生</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FE38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 </w:t>
            </w:r>
          </w:p>
        </w:tc>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BC5D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A694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6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CA92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02C2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c>
          <w:tcPr>
            <w:tcW w:w="5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7958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c>
          <w:tcPr>
            <w:tcW w:w="9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8B45B8">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r>
      <w:tr w14:paraId="29646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9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76D7F1">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983" w:type="dxa"/>
            <w:vMerge w:val="continue"/>
            <w:tcBorders>
              <w:top w:val="single" w:color="000000" w:sz="4" w:space="0"/>
              <w:left w:val="single" w:color="000000" w:sz="4" w:space="0"/>
              <w:bottom w:val="nil"/>
              <w:right w:val="single" w:color="000000" w:sz="4" w:space="0"/>
            </w:tcBorders>
            <w:shd w:val="clear" w:color="auto" w:fill="auto"/>
            <w:vAlign w:val="center"/>
          </w:tcPr>
          <w:p w14:paraId="4137E30D">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931" w:type="dxa"/>
            <w:vMerge w:val="continue"/>
            <w:tcBorders>
              <w:top w:val="single" w:color="000000" w:sz="4" w:space="0"/>
              <w:left w:val="single" w:color="000000" w:sz="4" w:space="0"/>
              <w:bottom w:val="nil"/>
              <w:right w:val="single" w:color="000000" w:sz="4" w:space="0"/>
            </w:tcBorders>
            <w:shd w:val="clear" w:color="auto" w:fill="auto"/>
            <w:vAlign w:val="center"/>
          </w:tcPr>
          <w:p w14:paraId="747C39E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3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CD8BF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餐饮服务优良，无浪费现象，无食品安全事故</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0CCA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 </w:t>
            </w:r>
          </w:p>
        </w:tc>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E864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574F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6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C0E9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8B2A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5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4CB9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9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F5B657">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r>
      <w:tr w14:paraId="569EE5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B0CC7B">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983" w:type="dxa"/>
            <w:vMerge w:val="continue"/>
            <w:tcBorders>
              <w:top w:val="single" w:color="000000" w:sz="4" w:space="0"/>
              <w:left w:val="single" w:color="000000" w:sz="4" w:space="0"/>
              <w:bottom w:val="nil"/>
              <w:right w:val="single" w:color="000000" w:sz="4" w:space="0"/>
            </w:tcBorders>
            <w:shd w:val="clear" w:color="auto" w:fill="auto"/>
            <w:vAlign w:val="center"/>
          </w:tcPr>
          <w:p w14:paraId="7F31925D">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931" w:type="dxa"/>
            <w:vMerge w:val="continue"/>
            <w:tcBorders>
              <w:top w:val="single" w:color="000000" w:sz="4" w:space="0"/>
              <w:left w:val="single" w:color="000000" w:sz="4" w:space="0"/>
              <w:bottom w:val="nil"/>
              <w:right w:val="single" w:color="000000" w:sz="4" w:space="0"/>
            </w:tcBorders>
            <w:shd w:val="clear" w:color="auto" w:fill="auto"/>
            <w:vAlign w:val="center"/>
          </w:tcPr>
          <w:p w14:paraId="0D488636">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3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78907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驾驶服务安全，无事故发生</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C39B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 </w:t>
            </w:r>
          </w:p>
        </w:tc>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7992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6EFF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6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62C0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B89D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5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6D82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9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EB9F1E">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r>
      <w:tr w14:paraId="5C6F73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769692">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983" w:type="dxa"/>
            <w:vMerge w:val="continue"/>
            <w:tcBorders>
              <w:top w:val="single" w:color="000000" w:sz="4" w:space="0"/>
              <w:left w:val="single" w:color="000000" w:sz="4" w:space="0"/>
              <w:bottom w:val="nil"/>
              <w:right w:val="single" w:color="000000" w:sz="4" w:space="0"/>
            </w:tcBorders>
            <w:shd w:val="clear" w:color="auto" w:fill="auto"/>
            <w:vAlign w:val="center"/>
          </w:tcPr>
          <w:p w14:paraId="7CD42641">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DB55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时效指标</w:t>
            </w:r>
          </w:p>
        </w:tc>
        <w:tc>
          <w:tcPr>
            <w:tcW w:w="1378" w:type="dxa"/>
            <w:gridSpan w:val="2"/>
            <w:tcBorders>
              <w:top w:val="single" w:color="000000" w:sz="4" w:space="0"/>
              <w:left w:val="nil"/>
              <w:bottom w:val="single" w:color="000000" w:sz="4" w:space="0"/>
              <w:right w:val="single" w:color="000000" w:sz="4" w:space="0"/>
            </w:tcBorders>
            <w:shd w:val="clear" w:color="auto" w:fill="auto"/>
            <w:vAlign w:val="center"/>
          </w:tcPr>
          <w:p w14:paraId="4FDC449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2025年底内完成物业维护各项任务</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3494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定性</w:t>
            </w:r>
          </w:p>
        </w:tc>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9952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EE4D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6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C2C0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74FB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5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071C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9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599DC3">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r>
      <w:tr w14:paraId="7CA30C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DECBB0">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983" w:type="dxa"/>
            <w:vMerge w:val="continue"/>
            <w:tcBorders>
              <w:top w:val="single" w:color="000000" w:sz="4" w:space="0"/>
              <w:left w:val="single" w:color="000000" w:sz="4" w:space="0"/>
              <w:bottom w:val="nil"/>
              <w:right w:val="single" w:color="000000" w:sz="4" w:space="0"/>
            </w:tcBorders>
            <w:shd w:val="clear" w:color="auto" w:fill="auto"/>
            <w:vAlign w:val="center"/>
          </w:tcPr>
          <w:p w14:paraId="6A771140">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A9DA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成本指标</w:t>
            </w:r>
          </w:p>
        </w:tc>
        <w:tc>
          <w:tcPr>
            <w:tcW w:w="1378" w:type="dxa"/>
            <w:gridSpan w:val="2"/>
            <w:tcBorders>
              <w:top w:val="single" w:color="000000" w:sz="4" w:space="0"/>
              <w:left w:val="nil"/>
              <w:bottom w:val="single" w:color="000000" w:sz="4" w:space="0"/>
              <w:right w:val="single" w:color="000000" w:sz="4" w:space="0"/>
            </w:tcBorders>
            <w:shd w:val="clear" w:color="auto" w:fill="auto"/>
            <w:vAlign w:val="center"/>
          </w:tcPr>
          <w:p w14:paraId="098BB1D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物业服务费用</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BF72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FE2F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63</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511B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万元</w:t>
            </w:r>
          </w:p>
        </w:tc>
        <w:tc>
          <w:tcPr>
            <w:tcW w:w="6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71E3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63</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446B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5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3F44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9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715847">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r>
      <w:tr w14:paraId="6D979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4A85AC">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6BF5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效益指标</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6405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社会效益</w:t>
            </w:r>
          </w:p>
        </w:tc>
        <w:tc>
          <w:tcPr>
            <w:tcW w:w="1378" w:type="dxa"/>
            <w:gridSpan w:val="2"/>
            <w:tcBorders>
              <w:top w:val="single" w:color="000000" w:sz="4" w:space="0"/>
              <w:left w:val="nil"/>
              <w:bottom w:val="single" w:color="000000" w:sz="4" w:space="0"/>
              <w:right w:val="single" w:color="000000" w:sz="4" w:space="0"/>
            </w:tcBorders>
            <w:shd w:val="clear" w:color="auto" w:fill="auto"/>
            <w:vAlign w:val="center"/>
          </w:tcPr>
          <w:p w14:paraId="6228969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办公环境舒适，干警舒心、工作顺心</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EC96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 </w:t>
            </w:r>
          </w:p>
        </w:tc>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C151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B6D9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6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E297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EC6D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5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674D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9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B8E05C">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r>
      <w:tr w14:paraId="25A0AF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8D9185">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E885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00A3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服务对象满意度</w:t>
            </w:r>
          </w:p>
        </w:tc>
        <w:tc>
          <w:tcPr>
            <w:tcW w:w="1378" w:type="dxa"/>
            <w:gridSpan w:val="2"/>
            <w:tcBorders>
              <w:top w:val="single" w:color="000000" w:sz="4" w:space="0"/>
              <w:left w:val="nil"/>
              <w:bottom w:val="single" w:color="000000" w:sz="4" w:space="0"/>
              <w:right w:val="single" w:color="000000" w:sz="4" w:space="0"/>
            </w:tcBorders>
            <w:shd w:val="clear" w:color="auto" w:fill="auto"/>
            <w:vAlign w:val="center"/>
          </w:tcPr>
          <w:p w14:paraId="15C3D7D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干警满意度</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3107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F257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90</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4B9C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6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64CE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90</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F4E4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5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3C89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9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5AE8D6">
            <w:pPr>
              <w:keepNext w:val="0"/>
              <w:keepLines w:val="0"/>
              <w:pageBreakBefore w:val="0"/>
              <w:kinsoku/>
              <w:wordWrap/>
              <w:overflowPunct/>
              <w:topLinePunct w:val="0"/>
              <w:autoSpaceDE/>
              <w:autoSpaceDN/>
              <w:bidi w:val="0"/>
              <w:adjustRightInd/>
              <w:snapToGrid/>
              <w:spacing w:line="240" w:lineRule="auto"/>
              <w:jc w:val="center"/>
              <w:rPr>
                <w:rFonts w:hint="eastAsia" w:ascii="微软雅黑" w:hAnsi="微软雅黑" w:eastAsia="微软雅黑" w:cs="微软雅黑"/>
                <w:i/>
                <w:iCs/>
                <w:color w:val="000000"/>
                <w:sz w:val="16"/>
                <w:szCs w:val="16"/>
                <w:u w:val="none"/>
              </w:rPr>
            </w:pPr>
          </w:p>
        </w:tc>
      </w:tr>
      <w:tr w14:paraId="52EBBC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7" w:type="dxa"/>
          <w:trHeight w:val="286" w:hRule="atLeast"/>
        </w:trPr>
        <w:tc>
          <w:tcPr>
            <w:tcW w:w="19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E72A5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06F064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2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372B01">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0C15A">
            <w:pPr>
              <w:keepNext w:val="0"/>
              <w:keepLines w:val="0"/>
              <w:pageBreakBefore w:val="0"/>
              <w:kinsoku/>
              <w:wordWrap/>
              <w:overflowPunct/>
              <w:topLinePunct w:val="0"/>
              <w:autoSpaceDE/>
              <w:autoSpaceDN/>
              <w:bidi w:val="0"/>
              <w:adjustRightInd/>
              <w:snapToGrid/>
              <w:spacing w:line="240" w:lineRule="auto"/>
              <w:rPr>
                <w:rFonts w:hint="eastAsia" w:ascii="宋体" w:hAnsi="宋体" w:eastAsia="宋体" w:cs="宋体"/>
                <w:i w:val="0"/>
                <w:iCs w:val="0"/>
                <w:color w:val="000000"/>
                <w:sz w:val="18"/>
                <w:szCs w:val="18"/>
                <w:u w:val="none"/>
              </w:rPr>
            </w:pPr>
          </w:p>
        </w:tc>
      </w:tr>
      <w:tr w14:paraId="4949B5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7" w:type="dxa"/>
          <w:trHeight w:val="603" w:hRule="atLeast"/>
        </w:trPr>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EB99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099"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32F2449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本年度保洁及绿化养护工作全部达标，园区环境整洁有序，绿植长势良好，圆满完成年度各项工作目标。</w:t>
            </w:r>
          </w:p>
        </w:tc>
      </w:tr>
      <w:tr w14:paraId="79954B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7" w:type="dxa"/>
          <w:trHeight w:val="572" w:hRule="atLeast"/>
        </w:trPr>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A874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099"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7E005B1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部分区域绿植精细化养护不足，日常环境巡查频次有待加强。</w:t>
            </w:r>
          </w:p>
        </w:tc>
      </w:tr>
      <w:tr w14:paraId="25B08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7" w:type="dxa"/>
          <w:trHeight w:val="633" w:hRule="atLeast"/>
        </w:trPr>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8D61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099"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6A55E1E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加密日常巡查频次，细化绿化季节性养护工作，持续提升环境管护精细化水平。</w:t>
            </w:r>
          </w:p>
        </w:tc>
      </w:tr>
      <w:tr w14:paraId="011E69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7" w:type="dxa"/>
          <w:trHeight w:val="286" w:hRule="atLeast"/>
        </w:trPr>
        <w:tc>
          <w:tcPr>
            <w:tcW w:w="364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890B7B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w:t>
            </w:r>
          </w:p>
        </w:tc>
        <w:tc>
          <w:tcPr>
            <w:tcW w:w="541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F479B3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w:t>
            </w:r>
          </w:p>
        </w:tc>
      </w:tr>
    </w:tbl>
    <w:p w14:paraId="602A4CF3">
      <w:pPr>
        <w:pStyle w:val="2"/>
        <w:rPr>
          <w:rFonts w:hint="eastAsia" w:ascii="Times New Roman" w:hAnsi="Times New Roman" w:eastAsia="黑体"/>
          <w:b w:val="0"/>
          <w:bCs w:val="0"/>
          <w:color w:val="auto"/>
          <w:sz w:val="44"/>
          <w:szCs w:val="44"/>
          <w:highlight w:val="none"/>
        </w:rPr>
      </w:pPr>
    </w:p>
    <w:tbl>
      <w:tblPr>
        <w:tblStyle w:val="16"/>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34"/>
        <w:gridCol w:w="1072"/>
        <w:gridCol w:w="638"/>
        <w:gridCol w:w="1311"/>
        <w:gridCol w:w="775"/>
        <w:gridCol w:w="794"/>
        <w:gridCol w:w="741"/>
        <w:gridCol w:w="879"/>
        <w:gridCol w:w="646"/>
        <w:gridCol w:w="509"/>
        <w:gridCol w:w="961"/>
      </w:tblGrid>
      <w:tr w14:paraId="60F0AF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jc w:val="center"/>
        </w:trPr>
        <w:tc>
          <w:tcPr>
            <w:tcW w:w="906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2F243A5">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73E4E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18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A688E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项目名称</w:t>
            </w:r>
          </w:p>
        </w:tc>
        <w:tc>
          <w:tcPr>
            <w:tcW w:w="725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77A3EC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“两房”建设项目审计费用</w:t>
            </w:r>
          </w:p>
        </w:tc>
      </w:tr>
      <w:tr w14:paraId="58E81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jc w:val="center"/>
        </w:trPr>
        <w:tc>
          <w:tcPr>
            <w:tcW w:w="18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E7E72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主管部门</w:t>
            </w:r>
          </w:p>
        </w:tc>
        <w:tc>
          <w:tcPr>
            <w:tcW w:w="425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DC2296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四川省巴中市人民检察院</w:t>
            </w:r>
          </w:p>
        </w:tc>
        <w:tc>
          <w:tcPr>
            <w:tcW w:w="879" w:type="dxa"/>
            <w:tcBorders>
              <w:top w:val="nil"/>
              <w:left w:val="nil"/>
              <w:bottom w:val="nil"/>
              <w:right w:val="nil"/>
            </w:tcBorders>
            <w:shd w:val="clear" w:color="auto" w:fill="auto"/>
            <w:vAlign w:val="center"/>
          </w:tcPr>
          <w:p w14:paraId="50A7AD2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实施单位 （盖章）</w:t>
            </w:r>
          </w:p>
        </w:tc>
        <w:tc>
          <w:tcPr>
            <w:tcW w:w="21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CFDE0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四川省巴中市人民检察院</w:t>
            </w:r>
          </w:p>
        </w:tc>
      </w:tr>
      <w:tr w14:paraId="4EEA1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7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8DC33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项目基本情况</w:t>
            </w:r>
          </w:p>
        </w:tc>
        <w:tc>
          <w:tcPr>
            <w:tcW w:w="10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02AB3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1.项目年度目标完成情况</w:t>
            </w:r>
          </w:p>
        </w:tc>
        <w:tc>
          <w:tcPr>
            <w:tcW w:w="425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B102C5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项目年度目标</w:t>
            </w:r>
          </w:p>
        </w:tc>
        <w:tc>
          <w:tcPr>
            <w:tcW w:w="29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F49849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年度目标完成情况</w:t>
            </w:r>
          </w:p>
        </w:tc>
      </w:tr>
      <w:tr w14:paraId="52E0E9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jc w:val="center"/>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F9E67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0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43745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425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D6430B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目标1：完成“两房”建设项目竣工验收审计</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目标2：确保“两房”建设项目符合政策要求</w:t>
            </w:r>
          </w:p>
        </w:tc>
        <w:tc>
          <w:tcPr>
            <w:tcW w:w="29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6EF356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初步完成 “两房” 建设项目竣工验收及审计相关工作，项目建设全过程严格落实各项政策要求。</w:t>
            </w:r>
          </w:p>
        </w:tc>
      </w:tr>
      <w:tr w14:paraId="6F1E4E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jc w:val="center"/>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2ACAA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FA0D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2.项目实施内容及过程概述</w:t>
            </w:r>
          </w:p>
        </w:tc>
        <w:tc>
          <w:tcPr>
            <w:tcW w:w="725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586EA9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全程规范推进项目建设管理，完成工程竣工核验、资料归档、竣工审计全流程工作，严格对标政策文件把控建设标准，全程合规管控。</w:t>
            </w:r>
          </w:p>
        </w:tc>
      </w:tr>
      <w:tr w14:paraId="3EE9CE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7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34F4F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预算执行情况（10分）</w:t>
            </w: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E955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年度预算数（万元）</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08F2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年初预算</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4B4C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调整后预算数</w:t>
            </w:r>
          </w:p>
        </w:tc>
        <w:tc>
          <w:tcPr>
            <w:tcW w:w="23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CDE9F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预算执行数</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EE03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预算执行率</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A029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权重</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0E6C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得分</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4FEE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原因</w:t>
            </w:r>
          </w:p>
        </w:tc>
      </w:tr>
      <w:tr w14:paraId="6DCBF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jc w:val="center"/>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64CC4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0B25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总额</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A256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10.20</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0D33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10.20</w:t>
            </w:r>
          </w:p>
        </w:tc>
        <w:tc>
          <w:tcPr>
            <w:tcW w:w="23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B3427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8.00</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E9D5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78.43%</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007C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D883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8</w:t>
            </w:r>
          </w:p>
        </w:tc>
        <w:tc>
          <w:tcPr>
            <w:tcW w:w="9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B047E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审计报告未出，尾款未支付</w:t>
            </w:r>
          </w:p>
        </w:tc>
      </w:tr>
      <w:tr w14:paraId="7E5703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jc w:val="center"/>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5CCE4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E49F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其中：财政资金</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230A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10.20</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95E8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10.20</w:t>
            </w:r>
          </w:p>
        </w:tc>
        <w:tc>
          <w:tcPr>
            <w:tcW w:w="23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D3B92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8.00</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51AC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0.00%</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369F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A732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1DD7C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宋体" w:hAnsi="宋体" w:eastAsia="宋体" w:cs="宋体"/>
                <w:i w:val="0"/>
                <w:iCs w:val="0"/>
                <w:color w:val="000000"/>
                <w:kern w:val="0"/>
                <w:sz w:val="18"/>
                <w:szCs w:val="18"/>
                <w:u w:val="none"/>
                <w:lang w:val="en-US" w:eastAsia="zh-CN" w:bidi="ar"/>
              </w:rPr>
            </w:pPr>
          </w:p>
        </w:tc>
      </w:tr>
      <w:tr w14:paraId="15B37D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37B94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556B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财政专户管理资金</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A485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0.00</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6FDC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23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43836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CD8E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0.00%</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F82A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9BEA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A0F02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宋体" w:hAnsi="宋体" w:eastAsia="宋体" w:cs="宋体"/>
                <w:i w:val="0"/>
                <w:iCs w:val="0"/>
                <w:color w:val="000000"/>
                <w:kern w:val="0"/>
                <w:sz w:val="18"/>
                <w:szCs w:val="18"/>
                <w:u w:val="none"/>
                <w:lang w:val="en-US" w:eastAsia="zh-CN" w:bidi="ar"/>
              </w:rPr>
            </w:pPr>
          </w:p>
        </w:tc>
      </w:tr>
      <w:tr w14:paraId="136EE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580B0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496B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单位资金</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7A0D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0.00</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E009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23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63F67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B040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0.00%</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FDED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85E0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44BC3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宋体" w:hAnsi="宋体" w:eastAsia="宋体" w:cs="宋体"/>
                <w:i w:val="0"/>
                <w:iCs w:val="0"/>
                <w:color w:val="000000"/>
                <w:kern w:val="0"/>
                <w:sz w:val="18"/>
                <w:szCs w:val="18"/>
                <w:u w:val="none"/>
                <w:lang w:val="en-US" w:eastAsia="zh-CN" w:bidi="ar"/>
              </w:rPr>
            </w:pPr>
          </w:p>
        </w:tc>
      </w:tr>
      <w:tr w14:paraId="04A7BD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8D174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1191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其他资金</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17C9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F845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23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5B0DF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879" w:type="dxa"/>
            <w:tcBorders>
              <w:top w:val="single" w:color="000000" w:sz="4" w:space="0"/>
              <w:left w:val="single" w:color="000000" w:sz="4" w:space="0"/>
              <w:bottom w:val="nil"/>
              <w:right w:val="single" w:color="000000" w:sz="4" w:space="0"/>
            </w:tcBorders>
            <w:shd w:val="clear" w:color="auto" w:fill="auto"/>
            <w:vAlign w:val="center"/>
          </w:tcPr>
          <w:p w14:paraId="554CBB5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FB04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6778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DBC17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宋体" w:hAnsi="宋体" w:eastAsia="宋体" w:cs="宋体"/>
                <w:i w:val="0"/>
                <w:iCs w:val="0"/>
                <w:color w:val="000000"/>
                <w:kern w:val="0"/>
                <w:sz w:val="18"/>
                <w:szCs w:val="18"/>
                <w:u w:val="none"/>
                <w:lang w:val="en-US" w:eastAsia="zh-CN" w:bidi="ar"/>
              </w:rPr>
            </w:pPr>
          </w:p>
        </w:tc>
      </w:tr>
      <w:tr w14:paraId="2FCC22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7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93615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绩效指标（90分）</w:t>
            </w: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A5CA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一级指标</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748E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二级指标</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55FD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三级指标</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AD1A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指标性质</w:t>
            </w:r>
          </w:p>
        </w:tc>
        <w:tc>
          <w:tcPr>
            <w:tcW w:w="7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4760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指标值</w:t>
            </w:r>
          </w:p>
        </w:tc>
        <w:tc>
          <w:tcPr>
            <w:tcW w:w="741" w:type="dxa"/>
            <w:tcBorders>
              <w:top w:val="single" w:color="000000" w:sz="4" w:space="0"/>
              <w:left w:val="single" w:color="000000" w:sz="4" w:space="0"/>
              <w:bottom w:val="nil"/>
              <w:right w:val="nil"/>
            </w:tcBorders>
            <w:shd w:val="clear" w:color="auto" w:fill="auto"/>
            <w:vAlign w:val="center"/>
          </w:tcPr>
          <w:p w14:paraId="225A5F3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度量单位</w:t>
            </w:r>
          </w:p>
        </w:tc>
        <w:tc>
          <w:tcPr>
            <w:tcW w:w="879" w:type="dxa"/>
            <w:tcBorders>
              <w:top w:val="single" w:color="000000" w:sz="4" w:space="0"/>
              <w:left w:val="single" w:color="000000" w:sz="4" w:space="0"/>
              <w:bottom w:val="nil"/>
              <w:right w:val="single" w:color="000000" w:sz="4" w:space="0"/>
            </w:tcBorders>
            <w:shd w:val="clear" w:color="auto" w:fill="auto"/>
            <w:vAlign w:val="center"/>
          </w:tcPr>
          <w:p w14:paraId="419D8E2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完成值</w:t>
            </w:r>
          </w:p>
        </w:tc>
        <w:tc>
          <w:tcPr>
            <w:tcW w:w="646" w:type="dxa"/>
            <w:tcBorders>
              <w:top w:val="single" w:color="000000" w:sz="4" w:space="0"/>
              <w:left w:val="nil"/>
              <w:bottom w:val="single" w:color="000000" w:sz="4" w:space="0"/>
              <w:right w:val="single" w:color="000000" w:sz="4" w:space="0"/>
            </w:tcBorders>
            <w:shd w:val="clear" w:color="auto" w:fill="auto"/>
            <w:vAlign w:val="center"/>
          </w:tcPr>
          <w:p w14:paraId="6AE8AF5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权重</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1E5F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得分</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99CE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未完成原因分析</w:t>
            </w:r>
          </w:p>
        </w:tc>
      </w:tr>
      <w:tr w14:paraId="6F04AC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8CDF8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072" w:type="dxa"/>
            <w:vMerge w:val="restart"/>
            <w:tcBorders>
              <w:top w:val="single" w:color="000000" w:sz="4" w:space="0"/>
              <w:left w:val="single" w:color="000000" w:sz="4" w:space="0"/>
              <w:bottom w:val="nil"/>
              <w:right w:val="single" w:color="000000" w:sz="4" w:space="0"/>
            </w:tcBorders>
            <w:shd w:val="clear" w:color="auto" w:fill="auto"/>
            <w:vAlign w:val="center"/>
          </w:tcPr>
          <w:p w14:paraId="7351B04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产出指标</w:t>
            </w:r>
          </w:p>
        </w:tc>
        <w:tc>
          <w:tcPr>
            <w:tcW w:w="6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74B7E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数量指标</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8734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工程咨询造价公司</w:t>
            </w:r>
          </w:p>
        </w:tc>
        <w:tc>
          <w:tcPr>
            <w:tcW w:w="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4BC2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 </w:t>
            </w:r>
          </w:p>
        </w:tc>
        <w:tc>
          <w:tcPr>
            <w:tcW w:w="7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BF0D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7995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D463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646" w:type="dxa"/>
            <w:tcBorders>
              <w:top w:val="single" w:color="000000" w:sz="4" w:space="0"/>
              <w:left w:val="nil"/>
              <w:bottom w:val="single" w:color="000000" w:sz="4" w:space="0"/>
              <w:right w:val="single" w:color="000000" w:sz="4" w:space="0"/>
            </w:tcBorders>
            <w:shd w:val="clear" w:color="auto" w:fill="auto"/>
            <w:noWrap/>
            <w:vAlign w:val="center"/>
          </w:tcPr>
          <w:p w14:paraId="4459EFB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D0CE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4A05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038948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56591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072" w:type="dxa"/>
            <w:vMerge w:val="continue"/>
            <w:tcBorders>
              <w:top w:val="single" w:color="000000" w:sz="4" w:space="0"/>
              <w:left w:val="single" w:color="000000" w:sz="4" w:space="0"/>
              <w:bottom w:val="nil"/>
              <w:right w:val="single" w:color="000000" w:sz="4" w:space="0"/>
            </w:tcBorders>
            <w:shd w:val="clear" w:color="auto" w:fill="auto"/>
            <w:vAlign w:val="center"/>
          </w:tcPr>
          <w:p w14:paraId="6C54E10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5CAD0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E31F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工程竣工验收报告</w:t>
            </w:r>
          </w:p>
        </w:tc>
        <w:tc>
          <w:tcPr>
            <w:tcW w:w="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1974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 </w:t>
            </w:r>
          </w:p>
        </w:tc>
        <w:tc>
          <w:tcPr>
            <w:tcW w:w="7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81B2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8124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份</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4E0F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646" w:type="dxa"/>
            <w:tcBorders>
              <w:top w:val="single" w:color="000000" w:sz="4" w:space="0"/>
              <w:left w:val="nil"/>
              <w:bottom w:val="single" w:color="000000" w:sz="4" w:space="0"/>
              <w:right w:val="single" w:color="000000" w:sz="4" w:space="0"/>
            </w:tcBorders>
            <w:shd w:val="clear" w:color="auto" w:fill="auto"/>
            <w:noWrap/>
            <w:vAlign w:val="center"/>
          </w:tcPr>
          <w:p w14:paraId="3EB78FC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BC30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4E64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248C77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BF1B2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072" w:type="dxa"/>
            <w:vMerge w:val="continue"/>
            <w:tcBorders>
              <w:top w:val="single" w:color="000000" w:sz="4" w:space="0"/>
              <w:left w:val="single" w:color="000000" w:sz="4" w:space="0"/>
              <w:bottom w:val="nil"/>
              <w:right w:val="single" w:color="000000" w:sz="4" w:space="0"/>
            </w:tcBorders>
            <w:shd w:val="clear" w:color="auto" w:fill="auto"/>
            <w:vAlign w:val="center"/>
          </w:tcPr>
          <w:p w14:paraId="4EC1DF2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BECED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6ACF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工程承建单位</w:t>
            </w:r>
          </w:p>
        </w:tc>
        <w:tc>
          <w:tcPr>
            <w:tcW w:w="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08DA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 </w:t>
            </w:r>
          </w:p>
        </w:tc>
        <w:tc>
          <w:tcPr>
            <w:tcW w:w="7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C6AA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9B2B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FE07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646" w:type="dxa"/>
            <w:tcBorders>
              <w:top w:val="single" w:color="000000" w:sz="4" w:space="0"/>
              <w:left w:val="nil"/>
              <w:bottom w:val="single" w:color="000000" w:sz="4" w:space="0"/>
              <w:right w:val="single" w:color="000000" w:sz="4" w:space="0"/>
            </w:tcBorders>
            <w:shd w:val="clear" w:color="auto" w:fill="auto"/>
            <w:noWrap/>
            <w:vAlign w:val="center"/>
          </w:tcPr>
          <w:p w14:paraId="5887306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EE67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3E38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6CC811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8A955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072" w:type="dxa"/>
            <w:vMerge w:val="continue"/>
            <w:tcBorders>
              <w:top w:val="single" w:color="000000" w:sz="4" w:space="0"/>
              <w:left w:val="single" w:color="000000" w:sz="4" w:space="0"/>
              <w:bottom w:val="nil"/>
              <w:right w:val="single" w:color="000000" w:sz="4" w:space="0"/>
            </w:tcBorders>
            <w:shd w:val="clear" w:color="auto" w:fill="auto"/>
            <w:vAlign w:val="center"/>
          </w:tcPr>
          <w:p w14:paraId="621BB62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23B5F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3BBA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工程建设单位业主</w:t>
            </w:r>
          </w:p>
        </w:tc>
        <w:tc>
          <w:tcPr>
            <w:tcW w:w="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A5B7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 </w:t>
            </w:r>
          </w:p>
        </w:tc>
        <w:tc>
          <w:tcPr>
            <w:tcW w:w="7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3E86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73CD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2385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c>
          <w:tcPr>
            <w:tcW w:w="646" w:type="dxa"/>
            <w:tcBorders>
              <w:top w:val="single" w:color="000000" w:sz="4" w:space="0"/>
              <w:left w:val="nil"/>
              <w:bottom w:val="single" w:color="000000" w:sz="4" w:space="0"/>
              <w:right w:val="single" w:color="000000" w:sz="4" w:space="0"/>
            </w:tcBorders>
            <w:shd w:val="clear" w:color="auto" w:fill="auto"/>
            <w:noWrap/>
            <w:vAlign w:val="center"/>
          </w:tcPr>
          <w:p w14:paraId="6393099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4685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E776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53C18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902D2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072" w:type="dxa"/>
            <w:vMerge w:val="continue"/>
            <w:tcBorders>
              <w:top w:val="single" w:color="000000" w:sz="4" w:space="0"/>
              <w:left w:val="single" w:color="000000" w:sz="4" w:space="0"/>
              <w:bottom w:val="nil"/>
              <w:right w:val="single" w:color="000000" w:sz="4" w:space="0"/>
            </w:tcBorders>
            <w:shd w:val="clear" w:color="auto" w:fill="auto"/>
            <w:vAlign w:val="center"/>
          </w:tcPr>
          <w:p w14:paraId="7254AE4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638" w:type="dxa"/>
            <w:vMerge w:val="restart"/>
            <w:tcBorders>
              <w:top w:val="single" w:color="000000" w:sz="4" w:space="0"/>
              <w:left w:val="single" w:color="000000" w:sz="4" w:space="0"/>
              <w:bottom w:val="nil"/>
              <w:right w:val="single" w:color="000000" w:sz="4" w:space="0"/>
            </w:tcBorders>
            <w:shd w:val="clear" w:color="auto" w:fill="auto"/>
            <w:vAlign w:val="center"/>
          </w:tcPr>
          <w:p w14:paraId="34D965C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质量指标</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C92E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审计结论符合审计规定</w:t>
            </w:r>
          </w:p>
        </w:tc>
        <w:tc>
          <w:tcPr>
            <w:tcW w:w="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94E5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 </w:t>
            </w:r>
          </w:p>
        </w:tc>
        <w:tc>
          <w:tcPr>
            <w:tcW w:w="7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3937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CD22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D3FC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646" w:type="dxa"/>
            <w:tcBorders>
              <w:top w:val="single" w:color="000000" w:sz="4" w:space="0"/>
              <w:left w:val="nil"/>
              <w:bottom w:val="single" w:color="000000" w:sz="4" w:space="0"/>
              <w:right w:val="single" w:color="000000" w:sz="4" w:space="0"/>
            </w:tcBorders>
            <w:shd w:val="clear" w:color="auto" w:fill="auto"/>
            <w:noWrap/>
            <w:vAlign w:val="center"/>
          </w:tcPr>
          <w:p w14:paraId="0299958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B22E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ED9A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40A04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5273A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072" w:type="dxa"/>
            <w:vMerge w:val="continue"/>
            <w:tcBorders>
              <w:top w:val="single" w:color="000000" w:sz="4" w:space="0"/>
              <w:left w:val="single" w:color="000000" w:sz="4" w:space="0"/>
              <w:bottom w:val="nil"/>
              <w:right w:val="single" w:color="000000" w:sz="4" w:space="0"/>
            </w:tcBorders>
            <w:shd w:val="clear" w:color="auto" w:fill="auto"/>
            <w:vAlign w:val="center"/>
          </w:tcPr>
          <w:p w14:paraId="0EF194F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638" w:type="dxa"/>
            <w:vMerge w:val="continue"/>
            <w:tcBorders>
              <w:top w:val="single" w:color="000000" w:sz="4" w:space="0"/>
              <w:left w:val="single" w:color="000000" w:sz="4" w:space="0"/>
              <w:bottom w:val="nil"/>
              <w:right w:val="single" w:color="000000" w:sz="4" w:space="0"/>
            </w:tcBorders>
            <w:shd w:val="clear" w:color="auto" w:fill="auto"/>
            <w:vAlign w:val="center"/>
          </w:tcPr>
          <w:p w14:paraId="08CB45C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5B85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审减资金符合审计要求</w:t>
            </w:r>
          </w:p>
        </w:tc>
        <w:tc>
          <w:tcPr>
            <w:tcW w:w="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0232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 </w:t>
            </w:r>
          </w:p>
        </w:tc>
        <w:tc>
          <w:tcPr>
            <w:tcW w:w="7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75C1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42E8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E6CF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646" w:type="dxa"/>
            <w:tcBorders>
              <w:top w:val="single" w:color="000000" w:sz="4" w:space="0"/>
              <w:left w:val="nil"/>
              <w:bottom w:val="single" w:color="000000" w:sz="4" w:space="0"/>
              <w:right w:val="single" w:color="000000" w:sz="4" w:space="0"/>
            </w:tcBorders>
            <w:shd w:val="clear" w:color="auto" w:fill="auto"/>
            <w:noWrap/>
            <w:vAlign w:val="center"/>
          </w:tcPr>
          <w:p w14:paraId="2E15BAD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02BC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C479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09E01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1AB22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072" w:type="dxa"/>
            <w:vMerge w:val="continue"/>
            <w:tcBorders>
              <w:top w:val="single" w:color="000000" w:sz="4" w:space="0"/>
              <w:left w:val="single" w:color="000000" w:sz="4" w:space="0"/>
              <w:bottom w:val="nil"/>
              <w:right w:val="single" w:color="000000" w:sz="4" w:space="0"/>
            </w:tcBorders>
            <w:shd w:val="clear" w:color="auto" w:fill="auto"/>
            <w:vAlign w:val="center"/>
          </w:tcPr>
          <w:p w14:paraId="75E32C5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3527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时效指标</w:t>
            </w:r>
          </w:p>
        </w:tc>
        <w:tc>
          <w:tcPr>
            <w:tcW w:w="1311" w:type="dxa"/>
            <w:tcBorders>
              <w:top w:val="single" w:color="000000" w:sz="4" w:space="0"/>
              <w:left w:val="nil"/>
              <w:bottom w:val="single" w:color="000000" w:sz="4" w:space="0"/>
              <w:right w:val="single" w:color="000000" w:sz="4" w:space="0"/>
            </w:tcBorders>
            <w:shd w:val="clear" w:color="auto" w:fill="auto"/>
            <w:vAlign w:val="center"/>
          </w:tcPr>
          <w:p w14:paraId="41D27F4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2025年底内完成审计</w:t>
            </w:r>
          </w:p>
        </w:tc>
        <w:tc>
          <w:tcPr>
            <w:tcW w:w="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C1D1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定性</w:t>
            </w:r>
          </w:p>
        </w:tc>
        <w:tc>
          <w:tcPr>
            <w:tcW w:w="7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285F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0E29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CB22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w:t>
            </w:r>
          </w:p>
        </w:tc>
        <w:tc>
          <w:tcPr>
            <w:tcW w:w="646" w:type="dxa"/>
            <w:tcBorders>
              <w:top w:val="single" w:color="000000" w:sz="4" w:space="0"/>
              <w:left w:val="nil"/>
              <w:bottom w:val="single" w:color="000000" w:sz="4" w:space="0"/>
              <w:right w:val="single" w:color="000000" w:sz="4" w:space="0"/>
            </w:tcBorders>
            <w:shd w:val="clear" w:color="auto" w:fill="auto"/>
            <w:noWrap/>
            <w:vAlign w:val="center"/>
          </w:tcPr>
          <w:p w14:paraId="60585E2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F4D1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0</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705D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未在截止时点前出具正式审计报告</w:t>
            </w:r>
          </w:p>
        </w:tc>
      </w:tr>
      <w:tr w14:paraId="738B04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1AFB4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072" w:type="dxa"/>
            <w:vMerge w:val="continue"/>
            <w:tcBorders>
              <w:top w:val="single" w:color="000000" w:sz="4" w:space="0"/>
              <w:left w:val="single" w:color="000000" w:sz="4" w:space="0"/>
              <w:bottom w:val="nil"/>
              <w:right w:val="single" w:color="000000" w:sz="4" w:space="0"/>
            </w:tcBorders>
            <w:shd w:val="clear" w:color="auto" w:fill="auto"/>
            <w:vAlign w:val="center"/>
          </w:tcPr>
          <w:p w14:paraId="14D6B49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6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ED2A8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成本指标</w:t>
            </w:r>
          </w:p>
        </w:tc>
        <w:tc>
          <w:tcPr>
            <w:tcW w:w="1311" w:type="dxa"/>
            <w:tcBorders>
              <w:top w:val="single" w:color="000000" w:sz="4" w:space="0"/>
              <w:left w:val="nil"/>
              <w:bottom w:val="single" w:color="000000" w:sz="4" w:space="0"/>
              <w:right w:val="single" w:color="000000" w:sz="4" w:space="0"/>
            </w:tcBorders>
            <w:shd w:val="clear" w:color="auto" w:fill="auto"/>
            <w:vAlign w:val="center"/>
          </w:tcPr>
          <w:p w14:paraId="449CD90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基本审核费用</w:t>
            </w:r>
          </w:p>
        </w:tc>
        <w:tc>
          <w:tcPr>
            <w:tcW w:w="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7DE6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7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A73A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65000</w:t>
            </w:r>
          </w:p>
        </w:tc>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2E87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元</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83D6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65000</w:t>
            </w:r>
          </w:p>
        </w:tc>
        <w:tc>
          <w:tcPr>
            <w:tcW w:w="646" w:type="dxa"/>
            <w:tcBorders>
              <w:top w:val="single" w:color="000000" w:sz="4" w:space="0"/>
              <w:left w:val="nil"/>
              <w:bottom w:val="single" w:color="000000" w:sz="4" w:space="0"/>
              <w:right w:val="single" w:color="000000" w:sz="4" w:space="0"/>
            </w:tcBorders>
            <w:shd w:val="clear" w:color="auto" w:fill="auto"/>
            <w:noWrap/>
            <w:vAlign w:val="center"/>
          </w:tcPr>
          <w:p w14:paraId="3DC2DE8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D648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157E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62FDA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309E5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072" w:type="dxa"/>
            <w:vMerge w:val="continue"/>
            <w:tcBorders>
              <w:top w:val="single" w:color="000000" w:sz="4" w:space="0"/>
              <w:left w:val="single" w:color="000000" w:sz="4" w:space="0"/>
              <w:bottom w:val="nil"/>
              <w:right w:val="single" w:color="000000" w:sz="4" w:space="0"/>
            </w:tcBorders>
            <w:shd w:val="clear" w:color="auto" w:fill="auto"/>
            <w:vAlign w:val="center"/>
          </w:tcPr>
          <w:p w14:paraId="297C666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32242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311" w:type="dxa"/>
            <w:tcBorders>
              <w:top w:val="single" w:color="000000" w:sz="4" w:space="0"/>
              <w:left w:val="nil"/>
              <w:bottom w:val="single" w:color="000000" w:sz="4" w:space="0"/>
              <w:right w:val="single" w:color="000000" w:sz="4" w:space="0"/>
            </w:tcBorders>
            <w:shd w:val="clear" w:color="auto" w:fill="auto"/>
            <w:vAlign w:val="center"/>
          </w:tcPr>
          <w:p w14:paraId="6EC83B9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效益审核费用</w:t>
            </w:r>
          </w:p>
        </w:tc>
        <w:tc>
          <w:tcPr>
            <w:tcW w:w="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538E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7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A5EA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37000</w:t>
            </w:r>
          </w:p>
        </w:tc>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B061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元</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63B1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37000</w:t>
            </w:r>
          </w:p>
        </w:tc>
        <w:tc>
          <w:tcPr>
            <w:tcW w:w="646" w:type="dxa"/>
            <w:tcBorders>
              <w:top w:val="single" w:color="000000" w:sz="4" w:space="0"/>
              <w:left w:val="nil"/>
              <w:bottom w:val="single" w:color="000000" w:sz="4" w:space="0"/>
              <w:right w:val="single" w:color="000000" w:sz="4" w:space="0"/>
            </w:tcBorders>
            <w:shd w:val="clear" w:color="auto" w:fill="auto"/>
            <w:noWrap/>
            <w:vAlign w:val="center"/>
          </w:tcPr>
          <w:p w14:paraId="05140F3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25B6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39DA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3338AF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ED2A1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AE70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效益指标</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DDB6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社会效益</w:t>
            </w:r>
          </w:p>
        </w:tc>
        <w:tc>
          <w:tcPr>
            <w:tcW w:w="1311" w:type="dxa"/>
            <w:tcBorders>
              <w:top w:val="single" w:color="000000" w:sz="4" w:space="0"/>
              <w:left w:val="nil"/>
              <w:bottom w:val="single" w:color="000000" w:sz="4" w:space="0"/>
              <w:right w:val="single" w:color="000000" w:sz="4" w:space="0"/>
            </w:tcBorders>
            <w:shd w:val="clear" w:color="auto" w:fill="auto"/>
            <w:vAlign w:val="center"/>
          </w:tcPr>
          <w:p w14:paraId="070DA26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“两房”建设资金符合资金使用要求</w:t>
            </w:r>
          </w:p>
        </w:tc>
        <w:tc>
          <w:tcPr>
            <w:tcW w:w="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3624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 </w:t>
            </w:r>
          </w:p>
        </w:tc>
        <w:tc>
          <w:tcPr>
            <w:tcW w:w="7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CD16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2E64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6DC4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646" w:type="dxa"/>
            <w:tcBorders>
              <w:top w:val="single" w:color="000000" w:sz="4" w:space="0"/>
              <w:left w:val="nil"/>
              <w:bottom w:val="single" w:color="000000" w:sz="4" w:space="0"/>
              <w:right w:val="single" w:color="000000" w:sz="4" w:space="0"/>
            </w:tcBorders>
            <w:shd w:val="clear" w:color="auto" w:fill="auto"/>
            <w:noWrap/>
            <w:vAlign w:val="center"/>
          </w:tcPr>
          <w:p w14:paraId="55F1A47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A6AA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D16C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4F56A8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EE77C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6E50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满意度指标</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5A5C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服务对象满意度</w:t>
            </w:r>
          </w:p>
        </w:tc>
        <w:tc>
          <w:tcPr>
            <w:tcW w:w="1311" w:type="dxa"/>
            <w:tcBorders>
              <w:top w:val="single" w:color="000000" w:sz="4" w:space="0"/>
              <w:left w:val="nil"/>
              <w:bottom w:val="single" w:color="000000" w:sz="4" w:space="0"/>
              <w:right w:val="single" w:color="000000" w:sz="4" w:space="0"/>
            </w:tcBorders>
            <w:shd w:val="clear" w:color="auto" w:fill="auto"/>
            <w:vAlign w:val="center"/>
          </w:tcPr>
          <w:p w14:paraId="7082D08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建设业主、承建单位满意度</w:t>
            </w:r>
          </w:p>
        </w:tc>
        <w:tc>
          <w:tcPr>
            <w:tcW w:w="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BC47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7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9C24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98</w:t>
            </w:r>
          </w:p>
        </w:tc>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D03C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9919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98</w:t>
            </w:r>
          </w:p>
        </w:tc>
        <w:tc>
          <w:tcPr>
            <w:tcW w:w="646" w:type="dxa"/>
            <w:tcBorders>
              <w:top w:val="single" w:color="000000" w:sz="4" w:space="0"/>
              <w:left w:val="nil"/>
              <w:bottom w:val="single" w:color="000000" w:sz="4" w:space="0"/>
              <w:right w:val="single" w:color="000000" w:sz="4" w:space="0"/>
            </w:tcBorders>
            <w:shd w:val="clear" w:color="auto" w:fill="auto"/>
            <w:noWrap/>
            <w:vAlign w:val="center"/>
          </w:tcPr>
          <w:p w14:paraId="44BF949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066E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C96B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7FDDE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6944"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FBD2EF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合计</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6325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E969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88</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8432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229351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7673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评价结论</w:t>
            </w:r>
          </w:p>
        </w:tc>
        <w:tc>
          <w:tcPr>
            <w:tcW w:w="83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DA4668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本项目年度任务主体部分已完成，竣工验收、审计工作流程规范，建设内容完全符合相关政策管理要求。</w:t>
            </w:r>
          </w:p>
        </w:tc>
      </w:tr>
      <w:tr w14:paraId="274CE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9FE5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存在问题</w:t>
            </w:r>
          </w:p>
        </w:tc>
        <w:tc>
          <w:tcPr>
            <w:tcW w:w="83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F4F739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项目竣工审计报告未出具，资料归档细致度不足，部分流程资料完善滞后。</w:t>
            </w:r>
          </w:p>
        </w:tc>
      </w:tr>
      <w:tr w14:paraId="0AE63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B4FE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改进措施</w:t>
            </w:r>
          </w:p>
        </w:tc>
        <w:tc>
          <w:tcPr>
            <w:tcW w:w="83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BF4059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尽快出具审计报告，规范完善项目全流程资料归档，细化台账管理，提前梳理报审材料，提升项目流程办理效率。</w:t>
            </w:r>
          </w:p>
        </w:tc>
      </w:tr>
      <w:tr w14:paraId="500541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45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A1C9A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项目负责人：</w:t>
            </w:r>
          </w:p>
        </w:tc>
        <w:tc>
          <w:tcPr>
            <w:tcW w:w="453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7D7D14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财务负责人：</w:t>
            </w:r>
          </w:p>
        </w:tc>
      </w:tr>
    </w:tbl>
    <w:p w14:paraId="784008B1">
      <w:pPr>
        <w:pStyle w:val="2"/>
        <w:rPr>
          <w:rFonts w:hint="default" w:ascii="Times New Roman" w:hAnsi="Times New Roman" w:eastAsia="黑体"/>
          <w:b w:val="0"/>
          <w:bCs w:val="0"/>
          <w:color w:val="auto"/>
          <w:sz w:val="44"/>
          <w:szCs w:val="44"/>
          <w:highlight w:val="none"/>
          <w:lang w:val="en-US"/>
        </w:rPr>
      </w:pPr>
    </w:p>
    <w:p w14:paraId="0BF7778F">
      <w:pPr>
        <w:pStyle w:val="2"/>
        <w:rPr>
          <w:rFonts w:hint="eastAsia" w:ascii="Times New Roman" w:hAnsi="Times New Roman" w:eastAsia="黑体"/>
          <w:b w:val="0"/>
          <w:bCs w:val="0"/>
          <w:color w:val="auto"/>
          <w:sz w:val="44"/>
          <w:szCs w:val="44"/>
          <w:highlight w:val="none"/>
        </w:rPr>
      </w:pPr>
    </w:p>
    <w:p w14:paraId="4F350BCA">
      <w:pPr>
        <w:pStyle w:val="2"/>
        <w:rPr>
          <w:rFonts w:hint="eastAsia" w:ascii="Times New Roman" w:hAnsi="Times New Roman" w:eastAsia="黑体"/>
          <w:b w:val="0"/>
          <w:bCs w:val="0"/>
          <w:color w:val="auto"/>
          <w:sz w:val="44"/>
          <w:szCs w:val="44"/>
          <w:highlight w:val="none"/>
        </w:rPr>
      </w:pPr>
    </w:p>
    <w:p w14:paraId="46E6434A">
      <w:pPr>
        <w:pStyle w:val="2"/>
        <w:rPr>
          <w:rFonts w:hint="eastAsia" w:ascii="Times New Roman" w:hAnsi="Times New Roman" w:eastAsia="黑体"/>
          <w:b w:val="0"/>
          <w:bCs w:val="0"/>
          <w:color w:val="auto"/>
          <w:sz w:val="44"/>
          <w:szCs w:val="44"/>
          <w:highlight w:val="none"/>
        </w:rPr>
      </w:pPr>
    </w:p>
    <w:p w14:paraId="2980E9D2">
      <w:pPr>
        <w:pStyle w:val="2"/>
        <w:rPr>
          <w:rFonts w:hint="eastAsia" w:ascii="Times New Roman" w:hAnsi="Times New Roman" w:eastAsia="黑体"/>
          <w:b w:val="0"/>
          <w:bCs w:val="0"/>
          <w:color w:val="auto"/>
          <w:sz w:val="44"/>
          <w:szCs w:val="44"/>
          <w:highlight w:val="none"/>
        </w:rPr>
      </w:pPr>
    </w:p>
    <w:p w14:paraId="6E04B9AE">
      <w:pPr>
        <w:pStyle w:val="2"/>
        <w:rPr>
          <w:rFonts w:hint="eastAsia" w:ascii="Times New Roman" w:hAnsi="Times New Roman" w:eastAsia="黑体"/>
          <w:b w:val="0"/>
          <w:bCs w:val="0"/>
          <w:color w:val="auto"/>
          <w:sz w:val="44"/>
          <w:szCs w:val="44"/>
          <w:highlight w:val="none"/>
        </w:rPr>
      </w:pPr>
    </w:p>
    <w:p w14:paraId="4AE6B48E">
      <w:pPr>
        <w:pStyle w:val="2"/>
        <w:rPr>
          <w:rFonts w:hint="eastAsia" w:ascii="Times New Roman" w:hAnsi="Times New Roman" w:eastAsia="黑体"/>
          <w:b w:val="0"/>
          <w:bCs w:val="0"/>
          <w:color w:val="auto"/>
          <w:sz w:val="44"/>
          <w:szCs w:val="44"/>
          <w:highlight w:val="none"/>
        </w:rPr>
      </w:pPr>
    </w:p>
    <w:p w14:paraId="1D40FC41">
      <w:pPr>
        <w:pStyle w:val="2"/>
        <w:rPr>
          <w:rFonts w:hint="eastAsia" w:ascii="Times New Roman" w:hAnsi="Times New Roman" w:eastAsia="黑体"/>
          <w:b w:val="0"/>
          <w:bCs w:val="0"/>
          <w:color w:val="auto"/>
          <w:sz w:val="44"/>
          <w:szCs w:val="44"/>
          <w:highlight w:val="none"/>
        </w:rPr>
        <w:sectPr>
          <w:pgSz w:w="11906" w:h="16838"/>
          <w:pgMar w:top="2098" w:right="1531" w:bottom="1984" w:left="1531" w:header="851" w:footer="992" w:gutter="0"/>
          <w:pgNumType w:fmt="decimal"/>
          <w:cols w:space="425" w:num="1"/>
          <w:docGrid w:type="lines" w:linePitch="312" w:charSpace="0"/>
        </w:sectPr>
      </w:pPr>
    </w:p>
    <w:tbl>
      <w:tblPr>
        <w:tblStyle w:val="16"/>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17"/>
        <w:gridCol w:w="1133"/>
        <w:gridCol w:w="1028"/>
        <w:gridCol w:w="1213"/>
        <w:gridCol w:w="677"/>
        <w:gridCol w:w="701"/>
        <w:gridCol w:w="730"/>
        <w:gridCol w:w="770"/>
        <w:gridCol w:w="493"/>
        <w:gridCol w:w="486"/>
        <w:gridCol w:w="1212"/>
      </w:tblGrid>
      <w:tr w14:paraId="68E72F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jc w:val="center"/>
        </w:trPr>
        <w:tc>
          <w:tcPr>
            <w:tcW w:w="906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9E67F6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11BC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17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C2D79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31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4EC047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服装购置经费</w:t>
            </w:r>
          </w:p>
        </w:tc>
      </w:tr>
      <w:tr w14:paraId="2EDFA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jc w:val="center"/>
        </w:trPr>
        <w:tc>
          <w:tcPr>
            <w:tcW w:w="17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F81FA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34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13ED22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四川省巴中市人民检察院</w:t>
            </w:r>
          </w:p>
        </w:tc>
        <w:tc>
          <w:tcPr>
            <w:tcW w:w="770" w:type="dxa"/>
            <w:tcBorders>
              <w:top w:val="nil"/>
              <w:left w:val="nil"/>
              <w:bottom w:val="nil"/>
              <w:right w:val="nil"/>
            </w:tcBorders>
            <w:shd w:val="clear" w:color="auto" w:fill="auto"/>
            <w:vAlign w:val="center"/>
          </w:tcPr>
          <w:p w14:paraId="0848AD6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219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1E5A2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四川省巴中市人民检察院</w:t>
            </w:r>
          </w:p>
        </w:tc>
      </w:tr>
      <w:tr w14:paraId="2D4A51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6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40226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项目基本情况</w:t>
            </w:r>
          </w:p>
        </w:tc>
        <w:tc>
          <w:tcPr>
            <w:tcW w:w="11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71089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1.项目年度目标完成情况</w:t>
            </w:r>
          </w:p>
        </w:tc>
        <w:tc>
          <w:tcPr>
            <w:tcW w:w="434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A5D79A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项目年度目标</w:t>
            </w:r>
          </w:p>
        </w:tc>
        <w:tc>
          <w:tcPr>
            <w:tcW w:w="296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9F399B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年度目标完成情况</w:t>
            </w:r>
          </w:p>
        </w:tc>
      </w:tr>
      <w:tr w14:paraId="0F8777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jc w:val="center"/>
        </w:trPr>
        <w:tc>
          <w:tcPr>
            <w:tcW w:w="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520E1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1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43852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434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743352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目标1：完成2025年检察人员、司法警察人员、聘用制书记员换装工作</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目标2：展示检察人员良好形象，提升检察机关社会影响力</w:t>
            </w:r>
          </w:p>
        </w:tc>
        <w:tc>
          <w:tcPr>
            <w:tcW w:w="296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1C1766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已全面完成 2025 年全体检察人员、司法警察、聘用制书记员统一换装工作，人员着装规范统一，充分展现检察队伍良好风貌，有效提升机关整体形象与社会影响力，年度目标全部圆满达成。</w:t>
            </w:r>
          </w:p>
        </w:tc>
      </w:tr>
      <w:tr w14:paraId="7CE25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jc w:val="center"/>
        </w:trPr>
        <w:tc>
          <w:tcPr>
            <w:tcW w:w="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FFBDA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49CA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2.项目实施内容及过程概述</w:t>
            </w:r>
          </w:p>
        </w:tc>
        <w:tc>
          <w:tcPr>
            <w:tcW w:w="731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2C5692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严格按照制服配备标准，有序完成人员统计、服装采购、分发换装、着装规范核验全流程工作，规范完成新制服配发，统一着装管理要求。</w:t>
            </w:r>
          </w:p>
        </w:tc>
      </w:tr>
      <w:tr w14:paraId="133B3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6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0DACC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预算执行情况（10分）</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A28F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年度预算数（万元）</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84F3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年初预算</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F565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调整后预算数</w:t>
            </w:r>
          </w:p>
        </w:tc>
        <w:tc>
          <w:tcPr>
            <w:tcW w:w="210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8C4F3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预算执行数</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5F28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预算执行率</w:t>
            </w:r>
          </w:p>
        </w:tc>
        <w:tc>
          <w:tcPr>
            <w:tcW w:w="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004B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DFFA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得分</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B768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原因</w:t>
            </w:r>
          </w:p>
        </w:tc>
      </w:tr>
      <w:tr w14:paraId="23B95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jc w:val="center"/>
        </w:trPr>
        <w:tc>
          <w:tcPr>
            <w:tcW w:w="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B9F20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5F15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总额</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EAE4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2.97</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B005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2.97</w:t>
            </w:r>
          </w:p>
        </w:tc>
        <w:tc>
          <w:tcPr>
            <w:tcW w:w="210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F8DBA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2.97</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9CA3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100.00%</w:t>
            </w:r>
          </w:p>
        </w:tc>
        <w:tc>
          <w:tcPr>
            <w:tcW w:w="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E971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64C1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12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CC0B4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宋体" w:hAnsi="宋体" w:eastAsia="宋体" w:cs="宋体"/>
                <w:i w:val="0"/>
                <w:iCs w:val="0"/>
                <w:color w:val="000000"/>
                <w:kern w:val="0"/>
                <w:sz w:val="18"/>
                <w:szCs w:val="18"/>
                <w:u w:val="none"/>
                <w:lang w:val="en-US" w:eastAsia="zh-CN" w:bidi="ar"/>
              </w:rPr>
            </w:pPr>
          </w:p>
        </w:tc>
      </w:tr>
      <w:tr w14:paraId="40320A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jc w:val="center"/>
        </w:trPr>
        <w:tc>
          <w:tcPr>
            <w:tcW w:w="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3AC4F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D1FA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其中：财政资金</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6637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2.97</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F4B7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2.97</w:t>
            </w:r>
          </w:p>
        </w:tc>
        <w:tc>
          <w:tcPr>
            <w:tcW w:w="210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8ACD0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2.97</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B2D6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0.00%</w:t>
            </w:r>
          </w:p>
        </w:tc>
        <w:tc>
          <w:tcPr>
            <w:tcW w:w="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8441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80E5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12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4D82C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宋体" w:hAnsi="宋体" w:eastAsia="宋体" w:cs="宋体"/>
                <w:i w:val="0"/>
                <w:iCs w:val="0"/>
                <w:color w:val="000000"/>
                <w:kern w:val="0"/>
                <w:sz w:val="18"/>
                <w:szCs w:val="18"/>
                <w:u w:val="none"/>
                <w:lang w:val="en-US" w:eastAsia="zh-CN" w:bidi="ar"/>
              </w:rPr>
            </w:pPr>
          </w:p>
        </w:tc>
      </w:tr>
      <w:tr w14:paraId="5502A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8A178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1A84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财政专户管理资金</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DB0F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0.00</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13D1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210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1D5A1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1B63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0.00%</w:t>
            </w:r>
          </w:p>
        </w:tc>
        <w:tc>
          <w:tcPr>
            <w:tcW w:w="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B81D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762D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12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B19BC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宋体" w:hAnsi="宋体" w:eastAsia="宋体" w:cs="宋体"/>
                <w:i w:val="0"/>
                <w:iCs w:val="0"/>
                <w:color w:val="000000"/>
                <w:kern w:val="0"/>
                <w:sz w:val="18"/>
                <w:szCs w:val="18"/>
                <w:u w:val="none"/>
                <w:lang w:val="en-US" w:eastAsia="zh-CN" w:bidi="ar"/>
              </w:rPr>
            </w:pPr>
          </w:p>
        </w:tc>
      </w:tr>
      <w:tr w14:paraId="75BAE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3E56D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EC39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单位资金</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8D0B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0.00</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4299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210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92F02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F5B6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0.00%</w:t>
            </w:r>
          </w:p>
        </w:tc>
        <w:tc>
          <w:tcPr>
            <w:tcW w:w="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80B9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CC51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12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2CC6F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宋体" w:hAnsi="宋体" w:eastAsia="宋体" w:cs="宋体"/>
                <w:i w:val="0"/>
                <w:iCs w:val="0"/>
                <w:color w:val="000000"/>
                <w:kern w:val="0"/>
                <w:sz w:val="18"/>
                <w:szCs w:val="18"/>
                <w:u w:val="none"/>
                <w:lang w:val="en-US" w:eastAsia="zh-CN" w:bidi="ar"/>
              </w:rPr>
            </w:pPr>
          </w:p>
        </w:tc>
      </w:tr>
      <w:tr w14:paraId="7E9C56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4AE00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00F3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其他资金</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4CF8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2F92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210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CAA49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770" w:type="dxa"/>
            <w:tcBorders>
              <w:top w:val="single" w:color="000000" w:sz="4" w:space="0"/>
              <w:left w:val="single" w:color="000000" w:sz="4" w:space="0"/>
              <w:bottom w:val="nil"/>
              <w:right w:val="single" w:color="000000" w:sz="4" w:space="0"/>
            </w:tcBorders>
            <w:shd w:val="clear" w:color="auto" w:fill="auto"/>
            <w:vAlign w:val="center"/>
          </w:tcPr>
          <w:p w14:paraId="65E2596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6260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7D55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12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0A374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宋体" w:hAnsi="宋体" w:eastAsia="宋体" w:cs="宋体"/>
                <w:i w:val="0"/>
                <w:iCs w:val="0"/>
                <w:color w:val="000000"/>
                <w:kern w:val="0"/>
                <w:sz w:val="18"/>
                <w:szCs w:val="18"/>
                <w:u w:val="none"/>
                <w:lang w:val="en-US" w:eastAsia="zh-CN" w:bidi="ar"/>
              </w:rPr>
            </w:pPr>
          </w:p>
        </w:tc>
      </w:tr>
      <w:tr w14:paraId="3B0B7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6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1FFAA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绩效指标（90分）</w:t>
            </w:r>
          </w:p>
        </w:tc>
        <w:tc>
          <w:tcPr>
            <w:tcW w:w="1133" w:type="dxa"/>
            <w:tcBorders>
              <w:top w:val="single" w:color="000000" w:sz="4" w:space="0"/>
              <w:left w:val="single" w:color="000000" w:sz="4" w:space="0"/>
              <w:bottom w:val="nil"/>
              <w:right w:val="single" w:color="000000" w:sz="4" w:space="0"/>
            </w:tcBorders>
            <w:shd w:val="clear" w:color="auto" w:fill="auto"/>
            <w:vAlign w:val="center"/>
          </w:tcPr>
          <w:p w14:paraId="2503157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一级指标</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5B4D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二级指标</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B7A3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三级指标</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ED14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指标性质</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BC07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指标值</w:t>
            </w:r>
          </w:p>
        </w:tc>
        <w:tc>
          <w:tcPr>
            <w:tcW w:w="730" w:type="dxa"/>
            <w:tcBorders>
              <w:top w:val="single" w:color="000000" w:sz="4" w:space="0"/>
              <w:left w:val="single" w:color="000000" w:sz="4" w:space="0"/>
              <w:bottom w:val="single" w:color="000000" w:sz="4" w:space="0"/>
              <w:right w:val="nil"/>
            </w:tcBorders>
            <w:shd w:val="clear" w:color="auto" w:fill="auto"/>
            <w:vAlign w:val="center"/>
          </w:tcPr>
          <w:p w14:paraId="60CF02D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度量单位</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E971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完成值</w:t>
            </w:r>
          </w:p>
        </w:tc>
        <w:tc>
          <w:tcPr>
            <w:tcW w:w="493" w:type="dxa"/>
            <w:tcBorders>
              <w:top w:val="single" w:color="000000" w:sz="4" w:space="0"/>
              <w:left w:val="nil"/>
              <w:bottom w:val="single" w:color="000000" w:sz="4" w:space="0"/>
              <w:right w:val="single" w:color="000000" w:sz="4" w:space="0"/>
            </w:tcBorders>
            <w:shd w:val="clear" w:color="auto" w:fill="auto"/>
            <w:vAlign w:val="center"/>
          </w:tcPr>
          <w:p w14:paraId="420AE86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E750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得分</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B732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未完成原因分析</w:t>
            </w:r>
          </w:p>
        </w:tc>
      </w:tr>
      <w:tr w14:paraId="31D8B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FAB2C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1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6DE10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产出指标</w:t>
            </w:r>
          </w:p>
        </w:tc>
        <w:tc>
          <w:tcPr>
            <w:tcW w:w="1028" w:type="dxa"/>
            <w:vMerge w:val="restart"/>
            <w:tcBorders>
              <w:top w:val="single" w:color="000000" w:sz="4" w:space="0"/>
              <w:left w:val="nil"/>
              <w:bottom w:val="nil"/>
              <w:right w:val="single" w:color="000000" w:sz="4" w:space="0"/>
            </w:tcBorders>
            <w:shd w:val="clear" w:color="auto" w:fill="auto"/>
            <w:vAlign w:val="center"/>
          </w:tcPr>
          <w:p w14:paraId="478EEB0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数量指标</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70ED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检察人员</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696F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596C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79</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47E1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人</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BFA7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79</w:t>
            </w:r>
          </w:p>
        </w:tc>
        <w:tc>
          <w:tcPr>
            <w:tcW w:w="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3F14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D6C5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F002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20FE4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60BCE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1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65B8D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028" w:type="dxa"/>
            <w:vMerge w:val="continue"/>
            <w:tcBorders>
              <w:top w:val="single" w:color="000000" w:sz="4" w:space="0"/>
              <w:left w:val="nil"/>
              <w:bottom w:val="nil"/>
              <w:right w:val="single" w:color="000000" w:sz="4" w:space="0"/>
            </w:tcBorders>
            <w:shd w:val="clear" w:color="auto" w:fill="auto"/>
            <w:vAlign w:val="center"/>
          </w:tcPr>
          <w:p w14:paraId="780FA8F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4FA3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司法警察人员</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B4B2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E5FD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4</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E250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人</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3151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4</w:t>
            </w:r>
          </w:p>
        </w:tc>
        <w:tc>
          <w:tcPr>
            <w:tcW w:w="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CAC3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6710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4810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370748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4BDB8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1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8A7C4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028" w:type="dxa"/>
            <w:vMerge w:val="continue"/>
            <w:tcBorders>
              <w:top w:val="single" w:color="000000" w:sz="4" w:space="0"/>
              <w:left w:val="nil"/>
              <w:bottom w:val="nil"/>
              <w:right w:val="single" w:color="000000" w:sz="4" w:space="0"/>
            </w:tcBorders>
            <w:shd w:val="clear" w:color="auto" w:fill="auto"/>
            <w:vAlign w:val="center"/>
          </w:tcPr>
          <w:p w14:paraId="6CF9668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9526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聘用制书记员</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FAE8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C278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27</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A9AE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人</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13FA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27</w:t>
            </w:r>
          </w:p>
        </w:tc>
        <w:tc>
          <w:tcPr>
            <w:tcW w:w="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BBC2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CA92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71BC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473BC6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jc w:val="center"/>
        </w:trPr>
        <w:tc>
          <w:tcPr>
            <w:tcW w:w="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3A77E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1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D9092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028" w:type="dxa"/>
            <w:tcBorders>
              <w:top w:val="single" w:color="000000" w:sz="4" w:space="0"/>
              <w:left w:val="nil"/>
              <w:bottom w:val="nil"/>
              <w:right w:val="single" w:color="000000" w:sz="4" w:space="0"/>
            </w:tcBorders>
            <w:shd w:val="clear" w:color="auto" w:fill="auto"/>
            <w:vAlign w:val="center"/>
          </w:tcPr>
          <w:p w14:paraId="5CC7292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质量指标</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4E3C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检察制服、法警制服的配发范围、品种、数量和价格符合文件要求</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AE3C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定性</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6ADF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7902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4E92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A5D3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32C7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F778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2672C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CC4B9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1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904C8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028" w:type="dxa"/>
            <w:tcBorders>
              <w:top w:val="single" w:color="000000" w:sz="4" w:space="0"/>
              <w:left w:val="nil"/>
              <w:bottom w:val="single" w:color="000000" w:sz="4" w:space="0"/>
              <w:right w:val="single" w:color="000000" w:sz="4" w:space="0"/>
            </w:tcBorders>
            <w:shd w:val="clear" w:color="auto" w:fill="auto"/>
            <w:vAlign w:val="center"/>
          </w:tcPr>
          <w:p w14:paraId="4AA89AA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时效指标</w:t>
            </w:r>
          </w:p>
        </w:tc>
        <w:tc>
          <w:tcPr>
            <w:tcW w:w="1213" w:type="dxa"/>
            <w:tcBorders>
              <w:top w:val="single" w:color="000000" w:sz="4" w:space="0"/>
              <w:left w:val="nil"/>
              <w:bottom w:val="single" w:color="000000" w:sz="4" w:space="0"/>
              <w:right w:val="single" w:color="000000" w:sz="4" w:space="0"/>
            </w:tcBorders>
            <w:shd w:val="clear" w:color="auto" w:fill="auto"/>
            <w:vAlign w:val="center"/>
          </w:tcPr>
          <w:p w14:paraId="7CFE124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2025年底前完成换装工作</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93B0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定性</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ABBA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D6AE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86E2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E0F6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99B6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8A77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67F336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3FA9D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1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C8F47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028" w:type="dxa"/>
            <w:vMerge w:val="restart"/>
            <w:tcBorders>
              <w:top w:val="single" w:color="000000" w:sz="4" w:space="0"/>
              <w:left w:val="nil"/>
              <w:bottom w:val="single" w:color="000000" w:sz="4" w:space="0"/>
              <w:right w:val="single" w:color="000000" w:sz="4" w:space="0"/>
            </w:tcBorders>
            <w:shd w:val="clear" w:color="auto" w:fill="auto"/>
            <w:vAlign w:val="center"/>
          </w:tcPr>
          <w:p w14:paraId="4A06281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成本指标</w:t>
            </w:r>
          </w:p>
        </w:tc>
        <w:tc>
          <w:tcPr>
            <w:tcW w:w="1213" w:type="dxa"/>
            <w:tcBorders>
              <w:top w:val="single" w:color="000000" w:sz="4" w:space="0"/>
              <w:left w:val="nil"/>
              <w:bottom w:val="single" w:color="000000" w:sz="4" w:space="0"/>
              <w:right w:val="single" w:color="000000" w:sz="4" w:space="0"/>
            </w:tcBorders>
            <w:shd w:val="clear" w:color="auto" w:fill="auto"/>
            <w:vAlign w:val="center"/>
          </w:tcPr>
          <w:p w14:paraId="5AD6D23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检察人员、聘用制书记员服装费用</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E16D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3F76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258</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BA76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元/人</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6FBD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258</w:t>
            </w:r>
          </w:p>
        </w:tc>
        <w:tc>
          <w:tcPr>
            <w:tcW w:w="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1657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24DB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A441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5FE107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C771C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1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A4C84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028" w:type="dxa"/>
            <w:vMerge w:val="continue"/>
            <w:tcBorders>
              <w:top w:val="single" w:color="000000" w:sz="4" w:space="0"/>
              <w:left w:val="nil"/>
              <w:bottom w:val="single" w:color="000000" w:sz="4" w:space="0"/>
              <w:right w:val="single" w:color="000000" w:sz="4" w:space="0"/>
            </w:tcBorders>
            <w:shd w:val="clear" w:color="auto" w:fill="auto"/>
            <w:vAlign w:val="center"/>
          </w:tcPr>
          <w:p w14:paraId="3A96AF1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213" w:type="dxa"/>
            <w:tcBorders>
              <w:top w:val="single" w:color="000000" w:sz="4" w:space="0"/>
              <w:left w:val="nil"/>
              <w:bottom w:val="single" w:color="000000" w:sz="4" w:space="0"/>
              <w:right w:val="single" w:color="000000" w:sz="4" w:space="0"/>
            </w:tcBorders>
            <w:shd w:val="clear" w:color="auto" w:fill="auto"/>
            <w:vAlign w:val="center"/>
          </w:tcPr>
          <w:p w14:paraId="7DF95B6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司法警察人员服装费用</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F6DB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DCAE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598</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F350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元/人</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AE75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598</w:t>
            </w:r>
          </w:p>
        </w:tc>
        <w:tc>
          <w:tcPr>
            <w:tcW w:w="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C713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6CD6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C3B7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687FDE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3E0F7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1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2C467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效益指标</w:t>
            </w:r>
          </w:p>
        </w:tc>
        <w:tc>
          <w:tcPr>
            <w:tcW w:w="1028" w:type="dxa"/>
            <w:tcBorders>
              <w:top w:val="single" w:color="000000" w:sz="4" w:space="0"/>
              <w:left w:val="nil"/>
              <w:bottom w:val="single" w:color="000000" w:sz="4" w:space="0"/>
              <w:right w:val="single" w:color="000000" w:sz="4" w:space="0"/>
            </w:tcBorders>
            <w:shd w:val="clear" w:color="auto" w:fill="auto"/>
            <w:vAlign w:val="center"/>
          </w:tcPr>
          <w:p w14:paraId="0E7E1B1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社会效益</w:t>
            </w:r>
          </w:p>
        </w:tc>
        <w:tc>
          <w:tcPr>
            <w:tcW w:w="1213" w:type="dxa"/>
            <w:tcBorders>
              <w:top w:val="single" w:color="000000" w:sz="4" w:space="0"/>
              <w:left w:val="nil"/>
              <w:bottom w:val="single" w:color="000000" w:sz="4" w:space="0"/>
              <w:right w:val="single" w:color="000000" w:sz="4" w:space="0"/>
            </w:tcBorders>
            <w:shd w:val="clear" w:color="auto" w:fill="auto"/>
            <w:vAlign w:val="center"/>
          </w:tcPr>
          <w:p w14:paraId="3960455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规范开展各类办案工作</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3630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定性</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956D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EF7E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0ABB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8202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C189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E884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2CDB27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C0FC8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1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E83DB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028" w:type="dxa"/>
            <w:tcBorders>
              <w:top w:val="single" w:color="000000" w:sz="4" w:space="0"/>
              <w:left w:val="nil"/>
              <w:bottom w:val="single" w:color="000000" w:sz="4" w:space="0"/>
              <w:right w:val="single" w:color="000000" w:sz="4" w:space="0"/>
            </w:tcBorders>
            <w:shd w:val="clear" w:color="auto" w:fill="auto"/>
            <w:vAlign w:val="center"/>
          </w:tcPr>
          <w:p w14:paraId="6DF40C2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可持续影响</w:t>
            </w:r>
          </w:p>
        </w:tc>
        <w:tc>
          <w:tcPr>
            <w:tcW w:w="1213" w:type="dxa"/>
            <w:tcBorders>
              <w:top w:val="single" w:color="000000" w:sz="4" w:space="0"/>
              <w:left w:val="nil"/>
              <w:bottom w:val="single" w:color="000000" w:sz="4" w:space="0"/>
              <w:right w:val="single" w:color="000000" w:sz="4" w:space="0"/>
            </w:tcBorders>
            <w:shd w:val="clear" w:color="auto" w:fill="auto"/>
            <w:vAlign w:val="center"/>
          </w:tcPr>
          <w:p w14:paraId="2AB4731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展示检察人员良好形象，提升检察机关社会影响力</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C327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定性</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1213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55A5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9F17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7161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95BD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BD36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063D2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38053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4A5C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满意度指标</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9626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服务对象满意度</w:t>
            </w:r>
          </w:p>
        </w:tc>
        <w:tc>
          <w:tcPr>
            <w:tcW w:w="1213" w:type="dxa"/>
            <w:tcBorders>
              <w:top w:val="single" w:color="000000" w:sz="4" w:space="0"/>
              <w:left w:val="nil"/>
              <w:bottom w:val="single" w:color="000000" w:sz="4" w:space="0"/>
              <w:right w:val="single" w:color="000000" w:sz="4" w:space="0"/>
            </w:tcBorders>
            <w:shd w:val="clear" w:color="auto" w:fill="auto"/>
            <w:vAlign w:val="center"/>
          </w:tcPr>
          <w:p w14:paraId="4235E09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换装人员满意度</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4D12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BE3C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99</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CF43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03E4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99</w:t>
            </w:r>
          </w:p>
        </w:tc>
        <w:tc>
          <w:tcPr>
            <w:tcW w:w="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366D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7006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66A5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44DD2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6869"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1DA4F2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合计</w:t>
            </w:r>
          </w:p>
        </w:tc>
        <w:tc>
          <w:tcPr>
            <w:tcW w:w="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89D0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FB93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8FB3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61870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jc w:val="center"/>
        </w:trPr>
        <w:tc>
          <w:tcPr>
            <w:tcW w:w="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0518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评价结论</w:t>
            </w:r>
          </w:p>
        </w:tc>
        <w:tc>
          <w:tcPr>
            <w:tcW w:w="844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4FDF01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本次换装工作按期保质全部完成，着装规范统一，有效彰显检察队伍正规化形象，圆满实现年度各项工作目标。</w:t>
            </w:r>
          </w:p>
        </w:tc>
      </w:tr>
      <w:tr w14:paraId="50D0FD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jc w:val="center"/>
        </w:trPr>
        <w:tc>
          <w:tcPr>
            <w:tcW w:w="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E0CB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存在问题</w:t>
            </w:r>
          </w:p>
        </w:tc>
        <w:tc>
          <w:tcPr>
            <w:tcW w:w="844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6444C0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着装台账细节管理不够完善。</w:t>
            </w:r>
          </w:p>
        </w:tc>
      </w:tr>
      <w:tr w14:paraId="142B51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jc w:val="center"/>
        </w:trPr>
        <w:tc>
          <w:tcPr>
            <w:tcW w:w="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E92D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改进措施</w:t>
            </w:r>
          </w:p>
        </w:tc>
        <w:tc>
          <w:tcPr>
            <w:tcW w:w="844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F1BE9A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强化日常着装督查管理，健全人员着装档案台账，持续规范日常着装行为。</w:t>
            </w:r>
          </w:p>
        </w:tc>
      </w:tr>
      <w:tr w14:paraId="62012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466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BE4330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项目负责人：</w:t>
            </w:r>
          </w:p>
        </w:tc>
        <w:tc>
          <w:tcPr>
            <w:tcW w:w="439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14811E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财务负责人：</w:t>
            </w:r>
          </w:p>
        </w:tc>
      </w:tr>
    </w:tbl>
    <w:p w14:paraId="79496830">
      <w:pPr>
        <w:pStyle w:val="2"/>
        <w:rPr>
          <w:rFonts w:hint="default" w:ascii="Times New Roman" w:hAnsi="Times New Roman" w:eastAsia="黑体"/>
          <w:b/>
          <w:bCs/>
          <w:color w:val="auto"/>
          <w:sz w:val="44"/>
          <w:szCs w:val="44"/>
          <w:highlight w:val="none"/>
          <w:lang w:val="en-US"/>
        </w:rPr>
        <w:sectPr>
          <w:pgSz w:w="11906" w:h="16838"/>
          <w:pgMar w:top="2098" w:right="1531" w:bottom="1984" w:left="1531" w:header="851" w:footer="992" w:gutter="0"/>
          <w:pgNumType w:fmt="decimal"/>
          <w:cols w:space="425" w:num="1"/>
          <w:docGrid w:type="lines" w:linePitch="312" w:charSpace="0"/>
        </w:sectPr>
      </w:pPr>
    </w:p>
    <w:tbl>
      <w:tblPr>
        <w:tblStyle w:val="16"/>
        <w:tblW w:w="5016"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41"/>
        <w:gridCol w:w="1089"/>
        <w:gridCol w:w="601"/>
        <w:gridCol w:w="1051"/>
        <w:gridCol w:w="469"/>
        <w:gridCol w:w="204"/>
        <w:gridCol w:w="638"/>
        <w:gridCol w:w="597"/>
        <w:gridCol w:w="29"/>
        <w:gridCol w:w="920"/>
        <w:gridCol w:w="821"/>
        <w:gridCol w:w="29"/>
        <w:gridCol w:w="821"/>
        <w:gridCol w:w="850"/>
        <w:gridCol w:w="29"/>
      </w:tblGrid>
      <w:tr w14:paraId="74549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9" w:type="dxa"/>
          <w:trHeight w:val="904" w:hRule="atLeast"/>
          <w:jc w:val="center"/>
        </w:trPr>
        <w:tc>
          <w:tcPr>
            <w:tcW w:w="9060"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68D9C9A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3537F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9" w:type="dxa"/>
          <w:trHeight w:val="286" w:hRule="atLeast"/>
          <w:jc w:val="center"/>
        </w:trPr>
        <w:tc>
          <w:tcPr>
            <w:tcW w:w="20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63F8C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030"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59F85D9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公开招录经费</w:t>
            </w:r>
          </w:p>
        </w:tc>
      </w:tr>
      <w:tr w14:paraId="3CBC0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9" w:type="dxa"/>
          <w:trHeight w:val="512" w:hRule="atLeast"/>
          <w:jc w:val="center"/>
        </w:trPr>
        <w:tc>
          <w:tcPr>
            <w:tcW w:w="20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BC4D6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56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DB7CEB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四川省巴中市人民检察院</w:t>
            </w:r>
          </w:p>
        </w:tc>
        <w:tc>
          <w:tcPr>
            <w:tcW w:w="949" w:type="dxa"/>
            <w:gridSpan w:val="2"/>
            <w:tcBorders>
              <w:top w:val="nil"/>
              <w:left w:val="nil"/>
              <w:bottom w:val="nil"/>
              <w:right w:val="nil"/>
            </w:tcBorders>
            <w:shd w:val="clear" w:color="auto" w:fill="auto"/>
            <w:vAlign w:val="center"/>
          </w:tcPr>
          <w:p w14:paraId="383D4CA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left"/>
              <w:textAlignment w:val="center"/>
              <w:rPr>
                <w:rFonts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252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5B7655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四川省巴中市人民检察院</w:t>
            </w:r>
          </w:p>
        </w:tc>
      </w:tr>
      <w:tr w14:paraId="2E2F4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9" w:type="dxa"/>
          <w:trHeight w:val="286" w:hRule="atLeast"/>
          <w:jc w:val="center"/>
        </w:trPr>
        <w:tc>
          <w:tcPr>
            <w:tcW w:w="9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AF495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ED0D5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56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EE3B08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47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8ABE82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733D2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9" w:type="dxa"/>
          <w:trHeight w:val="1020" w:hRule="atLeast"/>
          <w:jc w:val="center"/>
        </w:trPr>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44077C">
            <w:pPr>
              <w:keepNext w:val="0"/>
              <w:keepLines w:val="0"/>
              <w:pageBreakBefore w:val="0"/>
              <w:widowControl/>
              <w:kinsoku/>
              <w:wordWrap/>
              <w:overflowPunct/>
              <w:topLinePunct w:val="0"/>
              <w:autoSpaceDE/>
              <w:autoSpaceDN/>
              <w:bidi w:val="0"/>
              <w:adjustRightInd/>
              <w:snapToGrid/>
              <w:spacing w:line="240" w:lineRule="auto"/>
              <w:rPr>
                <w:rFonts w:hint="eastAsia" w:ascii="宋体" w:hAnsi="宋体" w:eastAsia="宋体" w:cs="宋体"/>
                <w:i w:val="0"/>
                <w:iCs w:val="0"/>
                <w:color w:val="000000"/>
                <w:sz w:val="18"/>
                <w:szCs w:val="18"/>
                <w:u w:val="none"/>
              </w:rPr>
            </w:pPr>
          </w:p>
        </w:tc>
        <w:tc>
          <w:tcPr>
            <w:tcW w:w="10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4D45EC">
            <w:pPr>
              <w:keepNext w:val="0"/>
              <w:keepLines w:val="0"/>
              <w:pageBreakBefore w:val="0"/>
              <w:widowControl/>
              <w:kinsoku/>
              <w:wordWrap/>
              <w:overflowPunct/>
              <w:topLinePunct w:val="0"/>
              <w:autoSpaceDE/>
              <w:autoSpaceDN/>
              <w:bidi w:val="0"/>
              <w:adjustRightInd/>
              <w:snapToGrid/>
              <w:spacing w:line="240" w:lineRule="auto"/>
              <w:rPr>
                <w:rFonts w:hint="eastAsia" w:ascii="宋体" w:hAnsi="宋体" w:eastAsia="宋体" w:cs="宋体"/>
                <w:i w:val="0"/>
                <w:iCs w:val="0"/>
                <w:color w:val="000000"/>
                <w:sz w:val="18"/>
                <w:szCs w:val="18"/>
                <w:u w:val="none"/>
              </w:rPr>
            </w:pPr>
          </w:p>
        </w:tc>
        <w:tc>
          <w:tcPr>
            <w:tcW w:w="356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5FBBA3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目标1：根据相关规定，全市公开招录聘用制书记员，有利于建设正规化、专业化、职业化的人才队伍，推动各类检察工作顺利开展。</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目标2：贯彻落实司法体制改革，实行检察机关人员分类管理，提升检察机关办案质量。</w:t>
            </w:r>
          </w:p>
        </w:tc>
        <w:tc>
          <w:tcPr>
            <w:tcW w:w="347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A864F7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本年度已依规完成全市聘用制书记员公开招录全部工作，建成规范化专业人才队伍，落实人员分类管理要求，有效夯实办案辅助力量，提升整体办案质效，圆满完成全部年度目标。</w:t>
            </w:r>
          </w:p>
        </w:tc>
      </w:tr>
      <w:tr w14:paraId="500FF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9" w:type="dxa"/>
          <w:trHeight w:val="693" w:hRule="atLeast"/>
          <w:jc w:val="center"/>
        </w:trPr>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7ABA81">
            <w:pPr>
              <w:keepNext w:val="0"/>
              <w:keepLines w:val="0"/>
              <w:pageBreakBefore w:val="0"/>
              <w:widowControl/>
              <w:kinsoku/>
              <w:wordWrap/>
              <w:overflowPunct/>
              <w:topLinePunct w:val="0"/>
              <w:autoSpaceDE/>
              <w:autoSpaceDN/>
              <w:bidi w:val="0"/>
              <w:adjustRightInd/>
              <w:snapToGrid/>
              <w:spacing w:line="240" w:lineRule="auto"/>
              <w:rPr>
                <w:rFonts w:hint="eastAsia" w:ascii="宋体" w:hAnsi="宋体" w:eastAsia="宋体" w:cs="宋体"/>
                <w:i w:val="0"/>
                <w:iCs w:val="0"/>
                <w:color w:val="000000"/>
                <w:sz w:val="18"/>
                <w:szCs w:val="18"/>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29EF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030"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7852CC1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严格按照招录相关政策规定，规范完成公告发布、报名审核、笔试面试、体检政审、公示聘用全流程招录工作，配齐岗位人员，健全岗位管理体系，落实司法改革人员分类管理要求。</w:t>
            </w:r>
          </w:p>
        </w:tc>
      </w:tr>
      <w:tr w14:paraId="2BA7C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9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435CC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E134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6D88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C6E2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ABBA66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预算执行数</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C5FA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预算执行率</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01081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权重</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0675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得分</w:t>
            </w:r>
          </w:p>
        </w:tc>
        <w:tc>
          <w:tcPr>
            <w:tcW w:w="8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91E6D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B6A1C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jc w:val="center"/>
        </w:trPr>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7D0BEB">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1982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46D0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3.69</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7ECC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3.69</w:t>
            </w:r>
          </w:p>
        </w:tc>
        <w:tc>
          <w:tcPr>
            <w:tcW w:w="1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5EB0B7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3.69</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9381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100.00%</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72EE3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E647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87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79D29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黑体" w:hAnsi="黑体" w:eastAsia="黑体" w:cs="黑体"/>
                <w:i w:val="0"/>
                <w:iCs w:val="0"/>
                <w:color w:val="000000"/>
                <w:sz w:val="18"/>
                <w:szCs w:val="18"/>
                <w:u w:val="none"/>
              </w:rPr>
            </w:pPr>
          </w:p>
        </w:tc>
      </w:tr>
      <w:tr w14:paraId="5BF19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jc w:val="center"/>
        </w:trPr>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A68459">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7734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6A00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3.69</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9EF9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3.69</w:t>
            </w:r>
          </w:p>
        </w:tc>
        <w:tc>
          <w:tcPr>
            <w:tcW w:w="1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352736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3.69</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68E0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0.00%</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735A9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FD31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87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CDAACD">
            <w:pPr>
              <w:keepNext w:val="0"/>
              <w:keepLines w:val="0"/>
              <w:pageBreakBefore w:val="0"/>
              <w:widowControl/>
              <w:kinsoku/>
              <w:wordWrap/>
              <w:overflowPunct/>
              <w:topLinePunct w:val="0"/>
              <w:autoSpaceDE/>
              <w:autoSpaceDN/>
              <w:bidi w:val="0"/>
              <w:adjustRightInd/>
              <w:snapToGrid/>
              <w:spacing w:line="240" w:lineRule="auto"/>
              <w:rPr>
                <w:rFonts w:hint="default" w:ascii="黑体" w:hAnsi="黑体" w:eastAsia="黑体" w:cs="黑体"/>
                <w:i w:val="0"/>
                <w:iCs w:val="0"/>
                <w:color w:val="000000"/>
                <w:sz w:val="18"/>
                <w:szCs w:val="18"/>
                <w:u w:val="none"/>
              </w:rPr>
            </w:pPr>
          </w:p>
        </w:tc>
      </w:tr>
      <w:tr w14:paraId="2680E9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7165F0">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FB72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1758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0.00</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9454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A0F304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9B07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0.00%</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10DCB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493C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87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1FA5AB">
            <w:pPr>
              <w:keepNext w:val="0"/>
              <w:keepLines w:val="0"/>
              <w:pageBreakBefore w:val="0"/>
              <w:widowControl/>
              <w:kinsoku/>
              <w:wordWrap/>
              <w:overflowPunct/>
              <w:topLinePunct w:val="0"/>
              <w:autoSpaceDE/>
              <w:autoSpaceDN/>
              <w:bidi w:val="0"/>
              <w:adjustRightInd/>
              <w:snapToGrid/>
              <w:spacing w:line="240" w:lineRule="auto"/>
              <w:rPr>
                <w:rFonts w:hint="default" w:ascii="黑体" w:hAnsi="黑体" w:eastAsia="黑体" w:cs="黑体"/>
                <w:i w:val="0"/>
                <w:iCs w:val="0"/>
                <w:color w:val="000000"/>
                <w:sz w:val="18"/>
                <w:szCs w:val="18"/>
                <w:u w:val="none"/>
              </w:rPr>
            </w:pPr>
          </w:p>
        </w:tc>
      </w:tr>
      <w:tr w14:paraId="29175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55E625">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60DD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19F1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0.00</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72C8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F41A3E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C31E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0.00%</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EAB7F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100B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87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B71D08">
            <w:pPr>
              <w:keepNext w:val="0"/>
              <w:keepLines w:val="0"/>
              <w:pageBreakBefore w:val="0"/>
              <w:widowControl/>
              <w:kinsoku/>
              <w:wordWrap/>
              <w:overflowPunct/>
              <w:topLinePunct w:val="0"/>
              <w:autoSpaceDE/>
              <w:autoSpaceDN/>
              <w:bidi w:val="0"/>
              <w:adjustRightInd/>
              <w:snapToGrid/>
              <w:spacing w:line="240" w:lineRule="auto"/>
              <w:rPr>
                <w:rFonts w:hint="default" w:ascii="黑体" w:hAnsi="黑体" w:eastAsia="黑体" w:cs="黑体"/>
                <w:i w:val="0"/>
                <w:iCs w:val="0"/>
                <w:color w:val="000000"/>
                <w:sz w:val="18"/>
                <w:szCs w:val="18"/>
                <w:u w:val="none"/>
              </w:rPr>
            </w:pPr>
          </w:p>
        </w:tc>
      </w:tr>
      <w:tr w14:paraId="60E96F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7B3375">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1819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其他资金</w:t>
            </w:r>
          </w:p>
        </w:tc>
        <w:tc>
          <w:tcPr>
            <w:tcW w:w="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3413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6100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E84BDB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34B4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51209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CAE1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87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43B49C">
            <w:pPr>
              <w:keepNext w:val="0"/>
              <w:keepLines w:val="0"/>
              <w:pageBreakBefore w:val="0"/>
              <w:widowControl/>
              <w:kinsoku/>
              <w:wordWrap/>
              <w:overflowPunct/>
              <w:topLinePunct w:val="0"/>
              <w:autoSpaceDE/>
              <w:autoSpaceDN/>
              <w:bidi w:val="0"/>
              <w:adjustRightInd/>
              <w:snapToGrid/>
              <w:spacing w:line="240" w:lineRule="auto"/>
              <w:rPr>
                <w:rFonts w:hint="default" w:ascii="黑体" w:hAnsi="黑体" w:eastAsia="黑体" w:cs="黑体"/>
                <w:i w:val="0"/>
                <w:iCs w:val="0"/>
                <w:color w:val="000000"/>
                <w:sz w:val="18"/>
                <w:szCs w:val="18"/>
                <w:u w:val="none"/>
              </w:rPr>
            </w:pPr>
          </w:p>
        </w:tc>
      </w:tr>
      <w:tr w14:paraId="62229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9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A3F1C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绩效指标（90分）</w:t>
            </w:r>
          </w:p>
        </w:tc>
        <w:tc>
          <w:tcPr>
            <w:tcW w:w="10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2DF4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一级指标</w:t>
            </w:r>
          </w:p>
        </w:tc>
        <w:tc>
          <w:tcPr>
            <w:tcW w:w="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C3BF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二级指标</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20E4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三级指标</w:t>
            </w:r>
          </w:p>
        </w:tc>
        <w:tc>
          <w:tcPr>
            <w:tcW w:w="6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9E943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指标性</w:t>
            </w:r>
            <w:r>
              <w:rPr>
                <w:rFonts w:hint="default" w:ascii="宋体" w:hAnsi="宋体" w:eastAsia="宋体" w:cs="宋体"/>
                <w:i w:val="0"/>
                <w:iCs w:val="0"/>
                <w:color w:val="000000"/>
                <w:kern w:val="0"/>
                <w:sz w:val="18"/>
                <w:szCs w:val="18"/>
                <w:u w:val="none"/>
                <w:lang w:val="en-US" w:eastAsia="zh-CN" w:bidi="ar"/>
              </w:rPr>
              <w:t xml:space="preserve"> </w:t>
            </w:r>
            <w:r>
              <w:rPr>
                <w:rFonts w:ascii="宋体" w:hAnsi="宋体" w:eastAsia="宋体" w:cs="宋体"/>
                <w:i w:val="0"/>
                <w:iCs w:val="0"/>
                <w:color w:val="000000"/>
                <w:kern w:val="0"/>
                <w:sz w:val="18"/>
                <w:szCs w:val="18"/>
                <w:u w:val="none"/>
                <w:lang w:val="en-US" w:eastAsia="zh-CN" w:bidi="ar"/>
              </w:rPr>
              <w:t>质</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11E2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指标值</w:t>
            </w:r>
          </w:p>
        </w:tc>
        <w:tc>
          <w:tcPr>
            <w:tcW w:w="6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06E7A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度量单位</w:t>
            </w:r>
          </w:p>
        </w:tc>
        <w:tc>
          <w:tcPr>
            <w:tcW w:w="920" w:type="dxa"/>
            <w:tcBorders>
              <w:top w:val="single" w:color="000000" w:sz="4" w:space="0"/>
              <w:left w:val="single" w:color="000000" w:sz="4" w:space="0"/>
              <w:bottom w:val="nil"/>
              <w:right w:val="single" w:color="000000" w:sz="4" w:space="0"/>
            </w:tcBorders>
            <w:shd w:val="clear" w:color="auto" w:fill="auto"/>
            <w:vAlign w:val="center"/>
          </w:tcPr>
          <w:p w14:paraId="56B6A17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完成值</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69EE8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权重</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45C4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得分</w:t>
            </w:r>
          </w:p>
        </w:tc>
        <w:tc>
          <w:tcPr>
            <w:tcW w:w="8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944E8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未完成原因分析</w:t>
            </w:r>
          </w:p>
        </w:tc>
      </w:tr>
      <w:tr w14:paraId="12A812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6F2AE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089" w:type="dxa"/>
            <w:vMerge w:val="restart"/>
            <w:tcBorders>
              <w:top w:val="single" w:color="000000" w:sz="4" w:space="0"/>
              <w:left w:val="single" w:color="000000" w:sz="4" w:space="0"/>
              <w:bottom w:val="nil"/>
              <w:right w:val="single" w:color="000000" w:sz="4" w:space="0"/>
            </w:tcBorders>
            <w:shd w:val="clear" w:color="auto" w:fill="auto"/>
            <w:vAlign w:val="center"/>
          </w:tcPr>
          <w:p w14:paraId="41F5DD3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产出指标</w:t>
            </w:r>
          </w:p>
        </w:tc>
        <w:tc>
          <w:tcPr>
            <w:tcW w:w="601" w:type="dxa"/>
            <w:vMerge w:val="restart"/>
            <w:tcBorders>
              <w:top w:val="single" w:color="000000" w:sz="4" w:space="0"/>
              <w:left w:val="single" w:color="000000" w:sz="4" w:space="0"/>
              <w:bottom w:val="nil"/>
              <w:right w:val="single" w:color="000000" w:sz="4" w:space="0"/>
            </w:tcBorders>
            <w:shd w:val="clear" w:color="auto" w:fill="auto"/>
            <w:vAlign w:val="center"/>
          </w:tcPr>
          <w:p w14:paraId="3165D20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数量指标</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4B1E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全市公开招录聘用制书记员</w:t>
            </w:r>
          </w:p>
        </w:tc>
        <w:tc>
          <w:tcPr>
            <w:tcW w:w="6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9C7E6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F267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w:t>
            </w:r>
          </w:p>
        </w:tc>
        <w:tc>
          <w:tcPr>
            <w:tcW w:w="6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31812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次</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AA52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D07C6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A65F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8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5A552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5FE61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6F59AC">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089" w:type="dxa"/>
            <w:vMerge w:val="continue"/>
            <w:tcBorders>
              <w:top w:val="single" w:color="000000" w:sz="4" w:space="0"/>
              <w:left w:val="single" w:color="000000" w:sz="4" w:space="0"/>
              <w:bottom w:val="nil"/>
              <w:right w:val="single" w:color="000000" w:sz="4" w:space="0"/>
            </w:tcBorders>
            <w:shd w:val="clear" w:color="auto" w:fill="auto"/>
            <w:vAlign w:val="center"/>
          </w:tcPr>
          <w:p w14:paraId="3B916D5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601" w:type="dxa"/>
            <w:vMerge w:val="continue"/>
            <w:tcBorders>
              <w:top w:val="single" w:color="000000" w:sz="4" w:space="0"/>
              <w:left w:val="single" w:color="000000" w:sz="4" w:space="0"/>
              <w:bottom w:val="nil"/>
              <w:right w:val="single" w:color="000000" w:sz="4" w:space="0"/>
            </w:tcBorders>
            <w:shd w:val="clear" w:color="auto" w:fill="auto"/>
            <w:vAlign w:val="center"/>
          </w:tcPr>
          <w:p w14:paraId="5EA51A3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6D72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考务工作人员</w:t>
            </w:r>
          </w:p>
        </w:tc>
        <w:tc>
          <w:tcPr>
            <w:tcW w:w="6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C918E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B92B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6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209C0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人、次</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B282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18</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5A033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D647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8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0A963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19B74C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F7D3E6">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089" w:type="dxa"/>
            <w:vMerge w:val="continue"/>
            <w:tcBorders>
              <w:top w:val="single" w:color="000000" w:sz="4" w:space="0"/>
              <w:left w:val="single" w:color="000000" w:sz="4" w:space="0"/>
              <w:bottom w:val="nil"/>
              <w:right w:val="single" w:color="000000" w:sz="4" w:space="0"/>
            </w:tcBorders>
            <w:shd w:val="clear" w:color="auto" w:fill="auto"/>
            <w:vAlign w:val="center"/>
          </w:tcPr>
          <w:p w14:paraId="0EBCB6C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601" w:type="dxa"/>
            <w:vMerge w:val="restart"/>
            <w:tcBorders>
              <w:top w:val="single" w:color="000000" w:sz="4" w:space="0"/>
              <w:left w:val="single" w:color="000000" w:sz="4" w:space="0"/>
              <w:bottom w:val="nil"/>
              <w:right w:val="single" w:color="000000" w:sz="4" w:space="0"/>
            </w:tcBorders>
            <w:shd w:val="clear" w:color="auto" w:fill="auto"/>
            <w:vAlign w:val="center"/>
          </w:tcPr>
          <w:p w14:paraId="0C6EA98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质量指标</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F73E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考录过程实现公平公正公开</w:t>
            </w:r>
          </w:p>
        </w:tc>
        <w:tc>
          <w:tcPr>
            <w:tcW w:w="6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55E6B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定性</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93D8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6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3A303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EFBF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0BCBD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5CD6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8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50E2D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5ECA02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BE9C1A">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089" w:type="dxa"/>
            <w:vMerge w:val="continue"/>
            <w:tcBorders>
              <w:top w:val="single" w:color="000000" w:sz="4" w:space="0"/>
              <w:left w:val="single" w:color="000000" w:sz="4" w:space="0"/>
              <w:bottom w:val="nil"/>
              <w:right w:val="single" w:color="000000" w:sz="4" w:space="0"/>
            </w:tcBorders>
            <w:shd w:val="clear" w:color="auto" w:fill="auto"/>
            <w:vAlign w:val="center"/>
          </w:tcPr>
          <w:p w14:paraId="0DA593C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601" w:type="dxa"/>
            <w:vMerge w:val="continue"/>
            <w:tcBorders>
              <w:top w:val="single" w:color="000000" w:sz="4" w:space="0"/>
              <w:left w:val="single" w:color="000000" w:sz="4" w:space="0"/>
              <w:bottom w:val="nil"/>
              <w:right w:val="single" w:color="000000" w:sz="4" w:space="0"/>
            </w:tcBorders>
            <w:shd w:val="clear" w:color="auto" w:fill="auto"/>
            <w:vAlign w:val="center"/>
          </w:tcPr>
          <w:p w14:paraId="62B2C86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4E8C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录取人员符合岗位要求，认真履行岗位职责</w:t>
            </w:r>
          </w:p>
        </w:tc>
        <w:tc>
          <w:tcPr>
            <w:tcW w:w="6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18A7E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定性</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6A68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6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D51D4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8D45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A26A1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9667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8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1D38A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025AFA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7920AC">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089" w:type="dxa"/>
            <w:vMerge w:val="continue"/>
            <w:tcBorders>
              <w:top w:val="single" w:color="000000" w:sz="4" w:space="0"/>
              <w:left w:val="single" w:color="000000" w:sz="4" w:space="0"/>
              <w:bottom w:val="nil"/>
              <w:right w:val="single" w:color="000000" w:sz="4" w:space="0"/>
            </w:tcBorders>
            <w:shd w:val="clear" w:color="auto" w:fill="auto"/>
            <w:vAlign w:val="center"/>
          </w:tcPr>
          <w:p w14:paraId="0F58700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CA2D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时效指标</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17C1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及时根据招录计划完成人员招录</w:t>
            </w:r>
          </w:p>
        </w:tc>
        <w:tc>
          <w:tcPr>
            <w:tcW w:w="6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684E1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定性</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56B8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6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A2872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5A79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C970C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9F1F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8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D905E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346D3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0B7C29">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089" w:type="dxa"/>
            <w:vMerge w:val="continue"/>
            <w:tcBorders>
              <w:top w:val="single" w:color="000000" w:sz="4" w:space="0"/>
              <w:left w:val="single" w:color="000000" w:sz="4" w:space="0"/>
              <w:bottom w:val="nil"/>
              <w:right w:val="single" w:color="000000" w:sz="4" w:space="0"/>
            </w:tcBorders>
            <w:shd w:val="clear" w:color="auto" w:fill="auto"/>
            <w:vAlign w:val="center"/>
          </w:tcPr>
          <w:p w14:paraId="4B372152">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6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C797F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成本指标</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64E6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考务人员劳务费</w:t>
            </w:r>
          </w:p>
        </w:tc>
        <w:tc>
          <w:tcPr>
            <w:tcW w:w="67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AE08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7E98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500</w:t>
            </w:r>
          </w:p>
        </w:tc>
        <w:tc>
          <w:tcPr>
            <w:tcW w:w="6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B0675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元/人</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0719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400</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38841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FB23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8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ADA8DE">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r>
      <w:tr w14:paraId="546016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37B350">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089" w:type="dxa"/>
            <w:vMerge w:val="continue"/>
            <w:tcBorders>
              <w:top w:val="single" w:color="000000" w:sz="4" w:space="0"/>
              <w:left w:val="single" w:color="000000" w:sz="4" w:space="0"/>
              <w:bottom w:val="nil"/>
              <w:right w:val="single" w:color="000000" w:sz="4" w:space="0"/>
            </w:tcBorders>
            <w:shd w:val="clear" w:color="auto" w:fill="auto"/>
            <w:vAlign w:val="center"/>
          </w:tcPr>
          <w:p w14:paraId="616BCC95">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83EFB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AA4E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办公费、餐费、差旅费等支出</w:t>
            </w:r>
          </w:p>
        </w:tc>
        <w:tc>
          <w:tcPr>
            <w:tcW w:w="67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7208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10F9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1.5</w:t>
            </w:r>
          </w:p>
        </w:tc>
        <w:tc>
          <w:tcPr>
            <w:tcW w:w="6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E7B08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万元</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F4B5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1.5</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BA1CB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C0C6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8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1EAA7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483A60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613C28">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0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A9A0F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效益指标</w:t>
            </w:r>
          </w:p>
        </w:tc>
        <w:tc>
          <w:tcPr>
            <w:tcW w:w="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1F94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经济效益</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1B9A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提升检察机关办案质量</w:t>
            </w:r>
          </w:p>
        </w:tc>
        <w:tc>
          <w:tcPr>
            <w:tcW w:w="6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CC5B9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7353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98</w:t>
            </w:r>
          </w:p>
        </w:tc>
        <w:tc>
          <w:tcPr>
            <w:tcW w:w="6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2DBEC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B293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98</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B7D9C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1D04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8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D6E90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5559F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071BB5">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0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6E002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7404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可持续影响</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5732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贯彻落实司法体制改革，实行检察机关人员分类管理</w:t>
            </w:r>
          </w:p>
        </w:tc>
        <w:tc>
          <w:tcPr>
            <w:tcW w:w="6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81583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定性</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CD4D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6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4E148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CB6E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DDB05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E750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8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C8FEA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4CD02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E8AE95">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76DB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满意度指标</w:t>
            </w:r>
          </w:p>
        </w:tc>
        <w:tc>
          <w:tcPr>
            <w:tcW w:w="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E696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服务对象满意度</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0D16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报考人员满意度</w:t>
            </w:r>
          </w:p>
        </w:tc>
        <w:tc>
          <w:tcPr>
            <w:tcW w:w="6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9DF82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B96B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90</w:t>
            </w:r>
          </w:p>
        </w:tc>
        <w:tc>
          <w:tcPr>
            <w:tcW w:w="6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F2ECE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8513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90</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D32B6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E7FA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8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B0574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6F7DD8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9" w:type="dxa"/>
          <w:trHeight w:val="286" w:hRule="atLeast"/>
          <w:jc w:val="center"/>
        </w:trPr>
        <w:tc>
          <w:tcPr>
            <w:tcW w:w="653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562AFE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合计</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71B2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61387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99C2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102737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9" w:type="dxa"/>
          <w:trHeight w:val="603" w:hRule="atLeast"/>
          <w:jc w:val="center"/>
        </w:trPr>
        <w:tc>
          <w:tcPr>
            <w:tcW w:w="9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CE12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评价结论</w:t>
            </w:r>
          </w:p>
        </w:tc>
        <w:tc>
          <w:tcPr>
            <w:tcW w:w="8119"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1915786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本次书记员招录工作流程规范、全程公开透明，队伍建设成效显著，完善了检察人员分类管理体系，有效助力检察办案工作提质增效，项目成效达标。</w:t>
            </w:r>
          </w:p>
        </w:tc>
      </w:tr>
      <w:tr w14:paraId="73DB8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9" w:type="dxa"/>
          <w:trHeight w:val="572" w:hRule="atLeast"/>
          <w:jc w:val="center"/>
        </w:trPr>
        <w:tc>
          <w:tcPr>
            <w:tcW w:w="9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EDEE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存在问题</w:t>
            </w:r>
          </w:p>
        </w:tc>
        <w:tc>
          <w:tcPr>
            <w:tcW w:w="8119"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0478A87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新招录人员业务实操能力有待提升，后续常态化岗位培训机制不够完善。</w:t>
            </w:r>
          </w:p>
        </w:tc>
      </w:tr>
      <w:tr w14:paraId="73715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9" w:type="dxa"/>
          <w:trHeight w:val="633" w:hRule="atLeast"/>
          <w:jc w:val="center"/>
        </w:trPr>
        <w:tc>
          <w:tcPr>
            <w:tcW w:w="9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687C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改进措施</w:t>
            </w:r>
          </w:p>
        </w:tc>
        <w:tc>
          <w:tcPr>
            <w:tcW w:w="8119"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436F29D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健全岗前及常态化业务培训体系，强化岗位实操锻炼，持续提升书记员专业履职能力。</w:t>
            </w:r>
          </w:p>
        </w:tc>
      </w:tr>
      <w:tr w14:paraId="51D0D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9" w:type="dxa"/>
          <w:trHeight w:val="286" w:hRule="atLeast"/>
          <w:jc w:val="center"/>
        </w:trPr>
        <w:tc>
          <w:tcPr>
            <w:tcW w:w="415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2B4A92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w:t>
            </w:r>
          </w:p>
        </w:tc>
        <w:tc>
          <w:tcPr>
            <w:tcW w:w="490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296F34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w:t>
            </w:r>
          </w:p>
        </w:tc>
      </w:tr>
    </w:tbl>
    <w:p w14:paraId="0EE8B1E9">
      <w:pPr>
        <w:pStyle w:val="2"/>
        <w:rPr>
          <w:rFonts w:hint="default" w:ascii="Times New Roman" w:hAnsi="Times New Roman" w:eastAsia="黑体"/>
          <w:b/>
          <w:bCs/>
          <w:color w:val="auto"/>
          <w:sz w:val="44"/>
          <w:szCs w:val="44"/>
          <w:highlight w:val="none"/>
          <w:lang w:val="en-US"/>
        </w:rPr>
        <w:sectPr>
          <w:pgSz w:w="11906" w:h="16838"/>
          <w:pgMar w:top="2098" w:right="1531" w:bottom="1984" w:left="1531" w:header="851" w:footer="992" w:gutter="0"/>
          <w:pgNumType w:fmt="decimal"/>
          <w:cols w:space="425" w:num="1"/>
          <w:docGrid w:type="lines" w:linePitch="312" w:charSpace="0"/>
        </w:sectPr>
      </w:pPr>
    </w:p>
    <w:tbl>
      <w:tblPr>
        <w:tblStyle w:val="16"/>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30"/>
        <w:gridCol w:w="1104"/>
        <w:gridCol w:w="689"/>
        <w:gridCol w:w="1037"/>
        <w:gridCol w:w="576"/>
        <w:gridCol w:w="812"/>
        <w:gridCol w:w="666"/>
        <w:gridCol w:w="1051"/>
        <w:gridCol w:w="491"/>
        <w:gridCol w:w="486"/>
        <w:gridCol w:w="1118"/>
      </w:tblGrid>
      <w:tr w14:paraId="31B9B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jc w:val="center"/>
        </w:trPr>
        <w:tc>
          <w:tcPr>
            <w:tcW w:w="906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DBB5EE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7B88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21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ECC15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2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C93E38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援彝援藏工作经费</w:t>
            </w:r>
          </w:p>
        </w:tc>
      </w:tr>
      <w:tr w14:paraId="3FA42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jc w:val="center"/>
        </w:trPr>
        <w:tc>
          <w:tcPr>
            <w:tcW w:w="21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4A2D0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7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3C3F6E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四川省巴中市人民检察院</w:t>
            </w:r>
          </w:p>
        </w:tc>
        <w:tc>
          <w:tcPr>
            <w:tcW w:w="1051" w:type="dxa"/>
            <w:tcBorders>
              <w:top w:val="nil"/>
              <w:left w:val="nil"/>
              <w:bottom w:val="nil"/>
              <w:right w:val="nil"/>
            </w:tcBorders>
            <w:shd w:val="clear" w:color="auto" w:fill="auto"/>
            <w:vAlign w:val="center"/>
          </w:tcPr>
          <w:p w14:paraId="4E20877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20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8678C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四川省巴中市人民检察院</w:t>
            </w:r>
          </w:p>
        </w:tc>
      </w:tr>
      <w:tr w14:paraId="47161D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10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FD8C0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项目基本情况</w:t>
            </w:r>
          </w:p>
        </w:tc>
        <w:tc>
          <w:tcPr>
            <w:tcW w:w="11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FAE1D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1.项目年度目标完成情况</w:t>
            </w:r>
          </w:p>
        </w:tc>
        <w:tc>
          <w:tcPr>
            <w:tcW w:w="37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1D1401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项目年度目标</w:t>
            </w:r>
          </w:p>
        </w:tc>
        <w:tc>
          <w:tcPr>
            <w:tcW w:w="314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871E81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年度目标完成情况</w:t>
            </w:r>
          </w:p>
        </w:tc>
      </w:tr>
      <w:tr w14:paraId="7C176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jc w:val="center"/>
        </w:trPr>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493F9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1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8D54D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37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841CCB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目标1：援助美姑县检察院，使其法律监督能力全面提高，队伍素质全面提升，装备和经费保障全面改善，基础工作夯实。</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目标2：建立援藏援彝长效机制，促进彝区经济社会加快发展，科学发展</w:t>
            </w:r>
          </w:p>
        </w:tc>
        <w:tc>
          <w:tcPr>
            <w:tcW w:w="314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1E2E96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本年度帮扶工作全部落地见效，有效提升美姑县检察院法律监督履职能力与队伍综合素养，办案装备、经费保障条件全面改善，基层基础工作持续夯实；成功搭建双向交流长效帮扶机制，助力彝区法治建设与经济社会高质量发展，圆满达成年度各项目标。</w:t>
            </w:r>
          </w:p>
        </w:tc>
      </w:tr>
      <w:tr w14:paraId="0EEA4A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jc w:val="center"/>
        </w:trPr>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782A4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222B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2.项目实施内容及过程概述</w:t>
            </w:r>
          </w:p>
        </w:tc>
        <w:tc>
          <w:tcPr>
            <w:tcW w:w="692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1C926C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通过业务授课指导、骨干跟班学习、办案经验交流、物资装备帮扶、经费支持保障等方式开展全方位结对帮扶，完善基层检察工作基础建设，健全常态化双向沟通协作机制，持续深化司法对口支援工作。</w:t>
            </w:r>
          </w:p>
        </w:tc>
      </w:tr>
      <w:tr w14:paraId="13468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10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EDBF9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预算执行情况（10分）</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3FC6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年度预算数（万元）</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3D20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年初预算</w:t>
            </w: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5784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调整后预算数</w:t>
            </w:r>
          </w:p>
        </w:tc>
        <w:tc>
          <w:tcPr>
            <w:tcW w:w="205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BDB9A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预算执行数</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3717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预算执行率</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BF2E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E5B8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得分</w:t>
            </w:r>
          </w:p>
        </w:tc>
        <w:tc>
          <w:tcPr>
            <w:tcW w:w="1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2AF3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原因</w:t>
            </w:r>
          </w:p>
        </w:tc>
      </w:tr>
      <w:tr w14:paraId="2C1FC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jc w:val="center"/>
        </w:trPr>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B3278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DFB2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总额</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79E0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4.00</w:t>
            </w: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BC57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2.50</w:t>
            </w:r>
          </w:p>
        </w:tc>
        <w:tc>
          <w:tcPr>
            <w:tcW w:w="205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65C5D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2.50</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9B13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100.00%</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890B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E722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11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3CB41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根据党组安排，帮扶资金需求减少，故进行预算调减。</w:t>
            </w:r>
          </w:p>
        </w:tc>
      </w:tr>
      <w:tr w14:paraId="496E43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jc w:val="center"/>
        </w:trPr>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B19F79">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1B65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其中：财政资金</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5248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4.00</w:t>
            </w: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40A5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2.50</w:t>
            </w:r>
          </w:p>
        </w:tc>
        <w:tc>
          <w:tcPr>
            <w:tcW w:w="205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B2C10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2.50</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71B1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0.00%</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5AB8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7267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5CC114">
            <w:pPr>
              <w:keepNext w:val="0"/>
              <w:keepLines w:val="0"/>
              <w:pageBreakBefore w:val="0"/>
              <w:widowControl/>
              <w:kinsoku/>
              <w:wordWrap/>
              <w:overflowPunct/>
              <w:topLinePunct w:val="0"/>
              <w:autoSpaceDE/>
              <w:autoSpaceDN/>
              <w:bidi w:val="0"/>
              <w:adjustRightInd/>
              <w:snapToGrid/>
              <w:spacing w:line="240" w:lineRule="auto"/>
              <w:jc w:val="center"/>
              <w:rPr>
                <w:rFonts w:hint="default" w:ascii="黑体" w:hAnsi="黑体" w:eastAsia="黑体" w:cs="黑体"/>
                <w:i w:val="0"/>
                <w:iCs w:val="0"/>
                <w:color w:val="000000"/>
                <w:sz w:val="18"/>
                <w:szCs w:val="18"/>
                <w:u w:val="none"/>
              </w:rPr>
            </w:pPr>
          </w:p>
        </w:tc>
      </w:tr>
      <w:tr w14:paraId="7D539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F1B86F">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EDAB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财政专户管理资金</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4911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0.00</w:t>
            </w: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A274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205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50D94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1C85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0.00%</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57CC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4126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5A383C">
            <w:pPr>
              <w:keepNext w:val="0"/>
              <w:keepLines w:val="0"/>
              <w:pageBreakBefore w:val="0"/>
              <w:widowControl/>
              <w:kinsoku/>
              <w:wordWrap/>
              <w:overflowPunct/>
              <w:topLinePunct w:val="0"/>
              <w:autoSpaceDE/>
              <w:autoSpaceDN/>
              <w:bidi w:val="0"/>
              <w:adjustRightInd/>
              <w:snapToGrid/>
              <w:spacing w:line="240" w:lineRule="auto"/>
              <w:jc w:val="center"/>
              <w:rPr>
                <w:rFonts w:hint="default" w:ascii="黑体" w:hAnsi="黑体" w:eastAsia="黑体" w:cs="黑体"/>
                <w:i w:val="0"/>
                <w:iCs w:val="0"/>
                <w:color w:val="000000"/>
                <w:sz w:val="18"/>
                <w:szCs w:val="18"/>
                <w:u w:val="none"/>
              </w:rPr>
            </w:pPr>
          </w:p>
        </w:tc>
      </w:tr>
      <w:tr w14:paraId="10B5D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E47DF8">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4C5A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单位资金</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DD8D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0.00</w:t>
            </w: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A449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205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536A9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6BC2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0.00%</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89DC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EAE8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A15D7B">
            <w:pPr>
              <w:keepNext w:val="0"/>
              <w:keepLines w:val="0"/>
              <w:pageBreakBefore w:val="0"/>
              <w:widowControl/>
              <w:kinsoku/>
              <w:wordWrap/>
              <w:overflowPunct/>
              <w:topLinePunct w:val="0"/>
              <w:autoSpaceDE/>
              <w:autoSpaceDN/>
              <w:bidi w:val="0"/>
              <w:adjustRightInd/>
              <w:snapToGrid/>
              <w:spacing w:line="240" w:lineRule="auto"/>
              <w:jc w:val="center"/>
              <w:rPr>
                <w:rFonts w:hint="default" w:ascii="黑体" w:hAnsi="黑体" w:eastAsia="黑体" w:cs="黑体"/>
                <w:i w:val="0"/>
                <w:iCs w:val="0"/>
                <w:color w:val="000000"/>
                <w:sz w:val="18"/>
                <w:szCs w:val="18"/>
                <w:u w:val="none"/>
              </w:rPr>
            </w:pPr>
          </w:p>
        </w:tc>
      </w:tr>
      <w:tr w14:paraId="7BD318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9512CF">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49D8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其他资金</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497D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F748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205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D1719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6648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A76F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2BE7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EADACB">
            <w:pPr>
              <w:keepNext w:val="0"/>
              <w:keepLines w:val="0"/>
              <w:pageBreakBefore w:val="0"/>
              <w:widowControl/>
              <w:kinsoku/>
              <w:wordWrap/>
              <w:overflowPunct/>
              <w:topLinePunct w:val="0"/>
              <w:autoSpaceDE/>
              <w:autoSpaceDN/>
              <w:bidi w:val="0"/>
              <w:adjustRightInd/>
              <w:snapToGrid/>
              <w:spacing w:line="240" w:lineRule="auto"/>
              <w:jc w:val="center"/>
              <w:rPr>
                <w:rFonts w:hint="default" w:ascii="黑体" w:hAnsi="黑体" w:eastAsia="黑体" w:cs="黑体"/>
                <w:i w:val="0"/>
                <w:iCs w:val="0"/>
                <w:color w:val="000000"/>
                <w:sz w:val="18"/>
                <w:szCs w:val="18"/>
                <w:u w:val="none"/>
              </w:rPr>
            </w:pPr>
          </w:p>
        </w:tc>
      </w:tr>
      <w:tr w14:paraId="126C4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10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7081C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绩效指标（90分）</w:t>
            </w:r>
          </w:p>
        </w:tc>
        <w:tc>
          <w:tcPr>
            <w:tcW w:w="1104" w:type="dxa"/>
            <w:tcBorders>
              <w:top w:val="single" w:color="000000" w:sz="4" w:space="0"/>
              <w:left w:val="single" w:color="000000" w:sz="4" w:space="0"/>
              <w:bottom w:val="nil"/>
              <w:right w:val="single" w:color="000000" w:sz="4" w:space="0"/>
            </w:tcBorders>
            <w:shd w:val="clear" w:color="auto" w:fill="auto"/>
            <w:vAlign w:val="center"/>
          </w:tcPr>
          <w:p w14:paraId="34F856A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一级指标</w:t>
            </w:r>
          </w:p>
        </w:tc>
        <w:tc>
          <w:tcPr>
            <w:tcW w:w="689" w:type="dxa"/>
            <w:tcBorders>
              <w:top w:val="single" w:color="000000" w:sz="4" w:space="0"/>
              <w:left w:val="single" w:color="000000" w:sz="4" w:space="0"/>
              <w:bottom w:val="nil"/>
              <w:right w:val="single" w:color="000000" w:sz="4" w:space="0"/>
            </w:tcBorders>
            <w:shd w:val="clear" w:color="auto" w:fill="auto"/>
            <w:vAlign w:val="center"/>
          </w:tcPr>
          <w:p w14:paraId="3708568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二级指标</w:t>
            </w: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93A0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三级指标</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9AED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指标性质</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FC97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指标值</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EFCD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度量单位</w:t>
            </w:r>
          </w:p>
        </w:tc>
        <w:tc>
          <w:tcPr>
            <w:tcW w:w="1051" w:type="dxa"/>
            <w:tcBorders>
              <w:top w:val="single" w:color="000000" w:sz="4" w:space="0"/>
              <w:left w:val="single" w:color="000000" w:sz="4" w:space="0"/>
              <w:bottom w:val="nil"/>
              <w:right w:val="single" w:color="000000" w:sz="4" w:space="0"/>
            </w:tcBorders>
            <w:shd w:val="clear" w:color="auto" w:fill="auto"/>
            <w:vAlign w:val="center"/>
          </w:tcPr>
          <w:p w14:paraId="4E6BC2A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完成值</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AB78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0110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得分</w:t>
            </w:r>
          </w:p>
        </w:tc>
        <w:tc>
          <w:tcPr>
            <w:tcW w:w="1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1AAA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未完成原因分析</w:t>
            </w:r>
          </w:p>
        </w:tc>
      </w:tr>
      <w:tr w14:paraId="333D1F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0BBE81">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1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B4583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产出指标</w:t>
            </w:r>
          </w:p>
        </w:tc>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B6D45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数量指标</w:t>
            </w:r>
          </w:p>
        </w:tc>
        <w:tc>
          <w:tcPr>
            <w:tcW w:w="1037" w:type="dxa"/>
            <w:tcBorders>
              <w:top w:val="single" w:color="000000" w:sz="4" w:space="0"/>
              <w:left w:val="nil"/>
              <w:bottom w:val="single" w:color="000000" w:sz="4" w:space="0"/>
              <w:right w:val="single" w:color="000000" w:sz="4" w:space="0"/>
            </w:tcBorders>
            <w:shd w:val="clear" w:color="auto" w:fill="auto"/>
            <w:vAlign w:val="center"/>
          </w:tcPr>
          <w:p w14:paraId="54A0552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结对帮扶</w:t>
            </w:r>
          </w:p>
        </w:tc>
        <w:tc>
          <w:tcPr>
            <w:tcW w:w="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9A89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B12B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w:t>
            </w: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362B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人/年</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0E6D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20</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1C4B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C508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1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72BD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136993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170C86">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1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800B1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31B2C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037" w:type="dxa"/>
            <w:tcBorders>
              <w:top w:val="single" w:color="000000" w:sz="4" w:space="0"/>
              <w:left w:val="nil"/>
              <w:bottom w:val="single" w:color="000000" w:sz="4" w:space="0"/>
              <w:right w:val="single" w:color="000000" w:sz="4" w:space="0"/>
            </w:tcBorders>
            <w:shd w:val="clear" w:color="auto" w:fill="auto"/>
            <w:vAlign w:val="center"/>
          </w:tcPr>
          <w:p w14:paraId="5904611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人才培训</w:t>
            </w:r>
          </w:p>
        </w:tc>
        <w:tc>
          <w:tcPr>
            <w:tcW w:w="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8268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4A63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0D95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人/年</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2C8B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0EE7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7658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1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FA80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5579F0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035489">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1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9CA3C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C22F0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质量指标</w:t>
            </w:r>
          </w:p>
        </w:tc>
        <w:tc>
          <w:tcPr>
            <w:tcW w:w="1037" w:type="dxa"/>
            <w:tcBorders>
              <w:top w:val="single" w:color="000000" w:sz="4" w:space="0"/>
              <w:left w:val="nil"/>
              <w:bottom w:val="single" w:color="000000" w:sz="4" w:space="0"/>
              <w:right w:val="single" w:color="000000" w:sz="4" w:space="0"/>
            </w:tcBorders>
            <w:shd w:val="clear" w:color="auto" w:fill="auto"/>
            <w:vAlign w:val="center"/>
          </w:tcPr>
          <w:p w14:paraId="20FE702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研究和分析急需解决的问题和长远施援工作的可行性</w:t>
            </w:r>
          </w:p>
        </w:tc>
        <w:tc>
          <w:tcPr>
            <w:tcW w:w="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4AD8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9728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98</w:t>
            </w: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D014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AF18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98</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1617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5E39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1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6D4D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7E6BEB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3ACFE1">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1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E4F30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FCA64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037" w:type="dxa"/>
            <w:tcBorders>
              <w:top w:val="single" w:color="000000" w:sz="4" w:space="0"/>
              <w:left w:val="nil"/>
              <w:bottom w:val="single" w:color="000000" w:sz="4" w:space="0"/>
              <w:right w:val="single" w:color="000000" w:sz="4" w:space="0"/>
            </w:tcBorders>
            <w:shd w:val="clear" w:color="auto" w:fill="auto"/>
            <w:vAlign w:val="center"/>
          </w:tcPr>
          <w:p w14:paraId="1B2F9DF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提高培训人员的从检能力</w:t>
            </w:r>
          </w:p>
        </w:tc>
        <w:tc>
          <w:tcPr>
            <w:tcW w:w="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5C8F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6541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85</w:t>
            </w: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0E4D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B49E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90</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DE47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4B74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1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343B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548535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106422">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1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4D978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689" w:type="dxa"/>
            <w:vMerge w:val="restart"/>
            <w:tcBorders>
              <w:top w:val="nil"/>
              <w:left w:val="nil"/>
              <w:bottom w:val="nil"/>
              <w:right w:val="single" w:color="000000" w:sz="4" w:space="0"/>
            </w:tcBorders>
            <w:shd w:val="clear" w:color="auto" w:fill="auto"/>
            <w:vAlign w:val="center"/>
          </w:tcPr>
          <w:p w14:paraId="509F6F3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时效指标</w:t>
            </w: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28D3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2025年3月底前研究可行性</w:t>
            </w:r>
          </w:p>
        </w:tc>
        <w:tc>
          <w:tcPr>
            <w:tcW w:w="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BBD9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定性</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9015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834F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E8BF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1E8B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8CAC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1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5CE7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6B0CE8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2FD59A">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1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5C3E1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689" w:type="dxa"/>
            <w:vMerge w:val="continue"/>
            <w:tcBorders>
              <w:top w:val="nil"/>
              <w:left w:val="nil"/>
              <w:bottom w:val="nil"/>
              <w:right w:val="single" w:color="000000" w:sz="4" w:space="0"/>
            </w:tcBorders>
            <w:shd w:val="clear" w:color="auto" w:fill="auto"/>
            <w:vAlign w:val="center"/>
          </w:tcPr>
          <w:p w14:paraId="3DA60F4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07A1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2025年底前帮助提升从检能力</w:t>
            </w:r>
          </w:p>
        </w:tc>
        <w:tc>
          <w:tcPr>
            <w:tcW w:w="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CC8E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2A1F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95</w:t>
            </w: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353A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2589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3E48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71EC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1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A25D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4C3DD3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43D147">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1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C2A8AA">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689" w:type="dxa"/>
            <w:tcBorders>
              <w:top w:val="single" w:color="000000" w:sz="4" w:space="0"/>
              <w:left w:val="nil"/>
              <w:bottom w:val="single" w:color="000000" w:sz="4" w:space="0"/>
              <w:right w:val="single" w:color="000000" w:sz="4" w:space="0"/>
            </w:tcBorders>
            <w:shd w:val="clear" w:color="auto" w:fill="auto"/>
            <w:vAlign w:val="center"/>
          </w:tcPr>
          <w:p w14:paraId="4B5D646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成本指标</w:t>
            </w: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A8C4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办公费、差旅费等</w:t>
            </w:r>
          </w:p>
        </w:tc>
        <w:tc>
          <w:tcPr>
            <w:tcW w:w="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1238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056B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w:t>
            </w: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8C03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万元</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F53B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2.5</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3B8F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39ED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20</w:t>
            </w:r>
          </w:p>
        </w:tc>
        <w:tc>
          <w:tcPr>
            <w:tcW w:w="1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9CE6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4032B5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5E5CA6">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1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275D1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效益指标</w:t>
            </w:r>
          </w:p>
        </w:tc>
        <w:tc>
          <w:tcPr>
            <w:tcW w:w="689" w:type="dxa"/>
            <w:tcBorders>
              <w:top w:val="single" w:color="000000" w:sz="4" w:space="0"/>
              <w:left w:val="nil"/>
              <w:bottom w:val="single" w:color="000000" w:sz="4" w:space="0"/>
              <w:right w:val="single" w:color="000000" w:sz="4" w:space="0"/>
            </w:tcBorders>
            <w:shd w:val="clear" w:color="auto" w:fill="auto"/>
            <w:vAlign w:val="center"/>
          </w:tcPr>
          <w:p w14:paraId="5E3132C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社会效益</w:t>
            </w: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77CA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更好地服务四川彝区长治久安和高质量发展。</w:t>
            </w:r>
          </w:p>
        </w:tc>
        <w:tc>
          <w:tcPr>
            <w:tcW w:w="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115B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定性</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1B71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7E56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7030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8241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9ED9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1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F058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33713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D727A9">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1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20E9B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689" w:type="dxa"/>
            <w:tcBorders>
              <w:top w:val="single" w:color="000000" w:sz="4" w:space="0"/>
              <w:left w:val="nil"/>
              <w:bottom w:val="single" w:color="000000" w:sz="4" w:space="0"/>
              <w:right w:val="single" w:color="000000" w:sz="4" w:space="0"/>
            </w:tcBorders>
            <w:shd w:val="clear" w:color="auto" w:fill="auto"/>
            <w:vAlign w:val="center"/>
          </w:tcPr>
          <w:p w14:paraId="2D8AD4E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可持续影响</w:t>
            </w:r>
          </w:p>
        </w:tc>
        <w:tc>
          <w:tcPr>
            <w:tcW w:w="1037" w:type="dxa"/>
            <w:tcBorders>
              <w:top w:val="single" w:color="000000" w:sz="4" w:space="0"/>
              <w:left w:val="nil"/>
              <w:bottom w:val="single" w:color="000000" w:sz="4" w:space="0"/>
              <w:right w:val="single" w:color="000000" w:sz="4" w:space="0"/>
            </w:tcBorders>
            <w:shd w:val="clear" w:color="auto" w:fill="auto"/>
            <w:vAlign w:val="center"/>
          </w:tcPr>
          <w:p w14:paraId="31E2D41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推动美姑县检察院民主法治建设不断完善，提升检察履职能力</w:t>
            </w:r>
          </w:p>
        </w:tc>
        <w:tc>
          <w:tcPr>
            <w:tcW w:w="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7C51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定性</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7962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521F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86D0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A9A8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BF4F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1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DF86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23872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E3A0C1">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879F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满意度指标</w:t>
            </w:r>
          </w:p>
        </w:tc>
        <w:tc>
          <w:tcPr>
            <w:tcW w:w="689" w:type="dxa"/>
            <w:tcBorders>
              <w:top w:val="single" w:color="000000" w:sz="4" w:space="0"/>
              <w:left w:val="nil"/>
              <w:bottom w:val="single" w:color="000000" w:sz="4" w:space="0"/>
              <w:right w:val="single" w:color="000000" w:sz="4" w:space="0"/>
            </w:tcBorders>
            <w:shd w:val="clear" w:color="auto" w:fill="auto"/>
            <w:vAlign w:val="center"/>
          </w:tcPr>
          <w:p w14:paraId="4418E06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服务对象满意度</w:t>
            </w:r>
          </w:p>
        </w:tc>
        <w:tc>
          <w:tcPr>
            <w:tcW w:w="1037" w:type="dxa"/>
            <w:tcBorders>
              <w:top w:val="single" w:color="000000" w:sz="4" w:space="0"/>
              <w:left w:val="nil"/>
              <w:bottom w:val="single" w:color="000000" w:sz="4" w:space="0"/>
              <w:right w:val="single" w:color="000000" w:sz="4" w:space="0"/>
            </w:tcBorders>
            <w:shd w:val="clear" w:color="auto" w:fill="auto"/>
            <w:vAlign w:val="center"/>
          </w:tcPr>
          <w:p w14:paraId="46BD82B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美姑县检察院干警、美姑县人民群众满意度</w:t>
            </w:r>
          </w:p>
        </w:tc>
        <w:tc>
          <w:tcPr>
            <w:tcW w:w="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02BB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8022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90</w:t>
            </w: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09F0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0C5C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90</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DD15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E04A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1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E078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3A6FC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696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8562D9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合计</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285E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145D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1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0ECB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671F84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jc w:val="center"/>
        </w:trPr>
        <w:tc>
          <w:tcPr>
            <w:tcW w:w="10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7A12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评价结论</w:t>
            </w:r>
          </w:p>
        </w:tc>
        <w:tc>
          <w:tcPr>
            <w:tcW w:w="803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D165DD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本次对口援彝帮扶工作成效显著，基层检察软硬件实力全面提升，长效帮扶机制初步建立，圆满完成年度帮扶任务，充分发挥司法帮扶助力地方发展作用。</w:t>
            </w:r>
          </w:p>
        </w:tc>
      </w:tr>
      <w:tr w14:paraId="6A64A0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jc w:val="center"/>
        </w:trPr>
        <w:tc>
          <w:tcPr>
            <w:tcW w:w="10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DEDD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存在问题</w:t>
            </w:r>
          </w:p>
        </w:tc>
        <w:tc>
          <w:tcPr>
            <w:tcW w:w="803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441846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跨区域远程帮扶频次不足，特色化精准帮扶举措不够丰富，长效机制精细化运行程度有待提升。</w:t>
            </w:r>
          </w:p>
        </w:tc>
      </w:tr>
      <w:tr w14:paraId="2597DF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jc w:val="center"/>
        </w:trPr>
        <w:tc>
          <w:tcPr>
            <w:tcW w:w="10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440D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改进措施</w:t>
            </w:r>
          </w:p>
        </w:tc>
        <w:tc>
          <w:tcPr>
            <w:tcW w:w="803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F9FAFB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加密线上线下双向帮扶交流，结合当地工作需求优化精准帮扶举措，细化完善长效协作机制，持续深化对口支援工作成效。</w:t>
            </w:r>
          </w:p>
        </w:tc>
      </w:tr>
      <w:tr w14:paraId="2D7DD5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44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8CE6F0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项目负责人：</w:t>
            </w:r>
          </w:p>
        </w:tc>
        <w:tc>
          <w:tcPr>
            <w:tcW w:w="462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FC2CAF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财务负责人：</w:t>
            </w:r>
          </w:p>
        </w:tc>
      </w:tr>
    </w:tbl>
    <w:p w14:paraId="516EC76F">
      <w:pPr>
        <w:pStyle w:val="2"/>
        <w:rPr>
          <w:rFonts w:hint="default" w:ascii="Times New Roman" w:hAnsi="Times New Roman" w:eastAsia="黑体"/>
          <w:b/>
          <w:bCs/>
          <w:color w:val="auto"/>
          <w:sz w:val="44"/>
          <w:szCs w:val="44"/>
          <w:highlight w:val="none"/>
          <w:lang w:val="en-US"/>
        </w:rPr>
        <w:sectPr>
          <w:pgSz w:w="11906" w:h="16838"/>
          <w:pgMar w:top="2098" w:right="1531" w:bottom="1984" w:left="1531" w:header="851" w:footer="992" w:gutter="0"/>
          <w:pgNumType w:fmt="decimal"/>
          <w:cols w:space="425" w:num="1"/>
          <w:docGrid w:type="lines" w:linePitch="312" w:charSpace="0"/>
        </w:sectPr>
      </w:pPr>
    </w:p>
    <w:tbl>
      <w:tblPr>
        <w:tblStyle w:val="16"/>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96"/>
        <w:gridCol w:w="1052"/>
        <w:gridCol w:w="707"/>
        <w:gridCol w:w="1280"/>
        <w:gridCol w:w="668"/>
        <w:gridCol w:w="690"/>
        <w:gridCol w:w="576"/>
        <w:gridCol w:w="935"/>
        <w:gridCol w:w="493"/>
        <w:gridCol w:w="486"/>
        <w:gridCol w:w="1177"/>
      </w:tblGrid>
      <w:tr w14:paraId="32ED7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jc w:val="center"/>
        </w:trPr>
        <w:tc>
          <w:tcPr>
            <w:tcW w:w="906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A773E6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3C305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20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00913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项目名称</w:t>
            </w:r>
          </w:p>
        </w:tc>
        <w:tc>
          <w:tcPr>
            <w:tcW w:w="70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6D946E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检察业务宣传经费</w:t>
            </w:r>
          </w:p>
        </w:tc>
      </w:tr>
      <w:tr w14:paraId="7523E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jc w:val="center"/>
        </w:trPr>
        <w:tc>
          <w:tcPr>
            <w:tcW w:w="20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576C8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主管部门</w:t>
            </w:r>
          </w:p>
        </w:tc>
        <w:tc>
          <w:tcPr>
            <w:tcW w:w="392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FD1FF9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四川省巴中市人民检察院</w:t>
            </w:r>
          </w:p>
        </w:tc>
        <w:tc>
          <w:tcPr>
            <w:tcW w:w="935" w:type="dxa"/>
            <w:tcBorders>
              <w:top w:val="nil"/>
              <w:left w:val="nil"/>
              <w:bottom w:val="nil"/>
              <w:right w:val="nil"/>
            </w:tcBorders>
            <w:shd w:val="clear" w:color="auto" w:fill="auto"/>
            <w:vAlign w:val="center"/>
          </w:tcPr>
          <w:p w14:paraId="6C4A16D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实施单位 （盖章）</w:t>
            </w:r>
          </w:p>
        </w:tc>
        <w:tc>
          <w:tcPr>
            <w:tcW w:w="21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2DE79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四川省巴中市人民检察院</w:t>
            </w:r>
          </w:p>
        </w:tc>
      </w:tr>
      <w:tr w14:paraId="4E38DD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9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52181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项目基本情况</w:t>
            </w:r>
          </w:p>
        </w:tc>
        <w:tc>
          <w:tcPr>
            <w:tcW w:w="1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CA23C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1.项目年度目标完成情况</w:t>
            </w:r>
          </w:p>
        </w:tc>
        <w:tc>
          <w:tcPr>
            <w:tcW w:w="392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6C58C5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项目年度目标</w:t>
            </w:r>
          </w:p>
        </w:tc>
        <w:tc>
          <w:tcPr>
            <w:tcW w:w="309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BECF8C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年度目标完成情况</w:t>
            </w:r>
          </w:p>
        </w:tc>
      </w:tr>
      <w:tr w14:paraId="076AB7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0" w:hRule="atLeast"/>
          <w:jc w:val="center"/>
        </w:trPr>
        <w:tc>
          <w:tcPr>
            <w:tcW w:w="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D7E61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9B3EB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392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C749AA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目标1：围绕主责主业、重大活动、重要时间节点，整合基层院资源、创意，充分借助外部平台优势和技术支持，讲好巴中检察故事。</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目标2：构建全方位、多角度、立体宣传格局，为检察工作发展营造良好社会舆论环境，提升检察机关的社会影响力。</w:t>
            </w:r>
          </w:p>
        </w:tc>
        <w:tc>
          <w:tcPr>
            <w:tcW w:w="309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E4814B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本年度紧扣检察主责主业、重大活动及关键时间节点，整合基层宣传资源，借力各类平台优势完成宣传创作，生动讲好巴中检察故事。成功搭建全方位立体化宣传格局，营造了良好舆论环境，有效提升检察机关社会影响力，圆满完成全部年度目标。</w:t>
            </w:r>
          </w:p>
        </w:tc>
      </w:tr>
      <w:tr w14:paraId="29E20A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jc w:val="center"/>
        </w:trPr>
        <w:tc>
          <w:tcPr>
            <w:tcW w:w="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11D49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EDA5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2.项目实施内容及过程概述</w:t>
            </w:r>
          </w:p>
        </w:tc>
        <w:tc>
          <w:tcPr>
            <w:tcW w:w="701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008CC0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围绕检察履职、普法宣传、专项工作、重要节点开展系列宣传策划，统筹新媒体、传统媒体多平台发布优质稿件，结合创意图文、短视频等形式拓宽传播渠道，整合全市基层院宣传力量，构建多维度立体宣传体系。</w:t>
            </w:r>
          </w:p>
        </w:tc>
      </w:tr>
      <w:tr w14:paraId="730E2E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9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74A93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预算执行情况（10分）</w:t>
            </w:r>
          </w:p>
        </w:tc>
        <w:tc>
          <w:tcPr>
            <w:tcW w:w="1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CF90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年度预算数（万元）</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FBD8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年初预算</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293D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调整后预算数</w:t>
            </w:r>
          </w:p>
        </w:tc>
        <w:tc>
          <w:tcPr>
            <w:tcW w:w="19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90F45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预算执行数</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146E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预算执行率</w:t>
            </w:r>
          </w:p>
        </w:tc>
        <w:tc>
          <w:tcPr>
            <w:tcW w:w="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6228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1DEF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得分</w:t>
            </w:r>
          </w:p>
        </w:tc>
        <w:tc>
          <w:tcPr>
            <w:tcW w:w="1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2C7E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原因</w:t>
            </w:r>
          </w:p>
        </w:tc>
      </w:tr>
      <w:tr w14:paraId="052A74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jc w:val="center"/>
        </w:trPr>
        <w:tc>
          <w:tcPr>
            <w:tcW w:w="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E4429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71D1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总额</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B7C4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25.00</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9E8B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25.00</w:t>
            </w:r>
          </w:p>
        </w:tc>
        <w:tc>
          <w:tcPr>
            <w:tcW w:w="19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CCEB4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25.00</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AC58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100.00%</w:t>
            </w:r>
          </w:p>
        </w:tc>
        <w:tc>
          <w:tcPr>
            <w:tcW w:w="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C063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D4E7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11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586E6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宋体" w:hAnsi="宋体" w:eastAsia="宋体" w:cs="宋体"/>
                <w:i w:val="0"/>
                <w:iCs w:val="0"/>
                <w:color w:val="000000"/>
                <w:kern w:val="0"/>
                <w:sz w:val="18"/>
                <w:szCs w:val="18"/>
                <w:u w:val="none"/>
                <w:lang w:val="en-US" w:eastAsia="zh-CN" w:bidi="ar"/>
              </w:rPr>
            </w:pPr>
          </w:p>
        </w:tc>
      </w:tr>
      <w:tr w14:paraId="070DE9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jc w:val="center"/>
        </w:trPr>
        <w:tc>
          <w:tcPr>
            <w:tcW w:w="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85DFA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A395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其中：财政资金</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3AB1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25.00</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B3D8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25.00</w:t>
            </w:r>
          </w:p>
        </w:tc>
        <w:tc>
          <w:tcPr>
            <w:tcW w:w="19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FCD15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25.00</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B462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0.00%</w:t>
            </w:r>
          </w:p>
        </w:tc>
        <w:tc>
          <w:tcPr>
            <w:tcW w:w="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F5CA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C5EF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11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0540D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宋体" w:hAnsi="宋体" w:eastAsia="宋体" w:cs="宋体"/>
                <w:i w:val="0"/>
                <w:iCs w:val="0"/>
                <w:color w:val="000000"/>
                <w:kern w:val="0"/>
                <w:sz w:val="18"/>
                <w:szCs w:val="18"/>
                <w:u w:val="none"/>
                <w:lang w:val="en-US" w:eastAsia="zh-CN" w:bidi="ar"/>
              </w:rPr>
            </w:pPr>
          </w:p>
        </w:tc>
      </w:tr>
      <w:tr w14:paraId="3034C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841BD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925F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财政专户管理资金</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8BE9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0.00</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D666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9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2AAF4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C10E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0.00%</w:t>
            </w:r>
          </w:p>
        </w:tc>
        <w:tc>
          <w:tcPr>
            <w:tcW w:w="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9591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36C7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11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AF71E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宋体" w:hAnsi="宋体" w:eastAsia="宋体" w:cs="宋体"/>
                <w:i w:val="0"/>
                <w:iCs w:val="0"/>
                <w:color w:val="000000"/>
                <w:kern w:val="0"/>
                <w:sz w:val="18"/>
                <w:szCs w:val="18"/>
                <w:u w:val="none"/>
                <w:lang w:val="en-US" w:eastAsia="zh-CN" w:bidi="ar"/>
              </w:rPr>
            </w:pPr>
          </w:p>
        </w:tc>
      </w:tr>
      <w:tr w14:paraId="3EE2D6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D1B5A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18E5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单位资金</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2614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0.00</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D51E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9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CFE3C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82EE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0.00%</w:t>
            </w:r>
          </w:p>
        </w:tc>
        <w:tc>
          <w:tcPr>
            <w:tcW w:w="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1EB0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BE0E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11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CC4CE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宋体" w:hAnsi="宋体" w:eastAsia="宋体" w:cs="宋体"/>
                <w:i w:val="0"/>
                <w:iCs w:val="0"/>
                <w:color w:val="000000"/>
                <w:kern w:val="0"/>
                <w:sz w:val="18"/>
                <w:szCs w:val="18"/>
                <w:u w:val="none"/>
                <w:lang w:val="en-US" w:eastAsia="zh-CN" w:bidi="ar"/>
              </w:rPr>
            </w:pPr>
          </w:p>
        </w:tc>
      </w:tr>
      <w:tr w14:paraId="36C6D9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04660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6BA1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其他资金</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9301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DDFC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9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CC693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E30F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1636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8A89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11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B9CC0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宋体" w:hAnsi="宋体" w:eastAsia="宋体" w:cs="宋体"/>
                <w:i w:val="0"/>
                <w:iCs w:val="0"/>
                <w:color w:val="000000"/>
                <w:kern w:val="0"/>
                <w:sz w:val="18"/>
                <w:szCs w:val="18"/>
                <w:u w:val="none"/>
                <w:lang w:val="en-US" w:eastAsia="zh-CN" w:bidi="ar"/>
              </w:rPr>
            </w:pPr>
          </w:p>
        </w:tc>
      </w:tr>
      <w:tr w14:paraId="77EA01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9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8DB32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绩效指标（90分）</w:t>
            </w:r>
          </w:p>
        </w:tc>
        <w:tc>
          <w:tcPr>
            <w:tcW w:w="1052" w:type="dxa"/>
            <w:tcBorders>
              <w:top w:val="single" w:color="000000" w:sz="4" w:space="0"/>
              <w:left w:val="single" w:color="000000" w:sz="4" w:space="0"/>
              <w:bottom w:val="nil"/>
              <w:right w:val="single" w:color="000000" w:sz="4" w:space="0"/>
            </w:tcBorders>
            <w:shd w:val="clear" w:color="auto" w:fill="auto"/>
            <w:vAlign w:val="center"/>
          </w:tcPr>
          <w:p w14:paraId="1FA711D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一级指标</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27B4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二级指标</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4ABC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三级指标</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CDAD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指标性质</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71C7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指标值</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6F22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度量单位</w:t>
            </w:r>
          </w:p>
        </w:tc>
        <w:tc>
          <w:tcPr>
            <w:tcW w:w="935" w:type="dxa"/>
            <w:tcBorders>
              <w:top w:val="single" w:color="000000" w:sz="4" w:space="0"/>
              <w:left w:val="single" w:color="000000" w:sz="4" w:space="0"/>
              <w:bottom w:val="nil"/>
              <w:right w:val="single" w:color="000000" w:sz="4" w:space="0"/>
            </w:tcBorders>
            <w:shd w:val="clear" w:color="auto" w:fill="auto"/>
            <w:vAlign w:val="center"/>
          </w:tcPr>
          <w:p w14:paraId="46875ED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完成值</w:t>
            </w:r>
          </w:p>
        </w:tc>
        <w:tc>
          <w:tcPr>
            <w:tcW w:w="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ED86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A619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得分</w:t>
            </w:r>
          </w:p>
        </w:tc>
        <w:tc>
          <w:tcPr>
            <w:tcW w:w="1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4C1A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未完成原因分析</w:t>
            </w:r>
          </w:p>
        </w:tc>
      </w:tr>
      <w:tr w14:paraId="04CC80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9CBBF1">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96930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产出指标</w:t>
            </w:r>
          </w:p>
        </w:tc>
        <w:tc>
          <w:tcPr>
            <w:tcW w:w="7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8EA11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数量指标</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3471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新闻发布（通气）会</w:t>
            </w:r>
          </w:p>
        </w:tc>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774C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1A1E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2CF0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次</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06E4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w:t>
            </w:r>
          </w:p>
        </w:tc>
        <w:tc>
          <w:tcPr>
            <w:tcW w:w="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236A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86A5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1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C170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389639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5E1ED1">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C1622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3515E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F555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集中（系列）采访</w:t>
            </w:r>
          </w:p>
        </w:tc>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C92A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77A1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D199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次</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0F5F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w:t>
            </w:r>
          </w:p>
        </w:tc>
        <w:tc>
          <w:tcPr>
            <w:tcW w:w="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7A71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B01F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1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9D13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4A932E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0FF2A5">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E3C95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5FECC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7440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官方网站、微博、微信、客户端更新数量</w:t>
            </w:r>
          </w:p>
        </w:tc>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0E7E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AB37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200</w:t>
            </w:r>
          </w:p>
        </w:tc>
        <w:tc>
          <w:tcPr>
            <w:tcW w:w="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8400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条</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E703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284</w:t>
            </w:r>
          </w:p>
        </w:tc>
        <w:tc>
          <w:tcPr>
            <w:tcW w:w="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A16C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187C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1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DC27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613E11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A20E35">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01144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707" w:type="dxa"/>
            <w:vMerge w:val="restart"/>
            <w:tcBorders>
              <w:top w:val="nil"/>
              <w:left w:val="nil"/>
              <w:bottom w:val="nil"/>
              <w:right w:val="single" w:color="000000" w:sz="4" w:space="0"/>
            </w:tcBorders>
            <w:shd w:val="clear" w:color="auto" w:fill="auto"/>
            <w:vAlign w:val="center"/>
          </w:tcPr>
          <w:p w14:paraId="703026F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质量指标</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1747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亮点工作、典型案例、先进人物得到有深度的宣传</w:t>
            </w:r>
          </w:p>
        </w:tc>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D6F4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70C0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96E7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6B50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7EDF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DF8A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1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5D97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0EA80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87924B">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97ECA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707" w:type="dxa"/>
            <w:vMerge w:val="continue"/>
            <w:tcBorders>
              <w:top w:val="nil"/>
              <w:left w:val="nil"/>
              <w:bottom w:val="nil"/>
              <w:right w:val="single" w:color="000000" w:sz="4" w:space="0"/>
            </w:tcBorders>
            <w:shd w:val="clear" w:color="auto" w:fill="auto"/>
            <w:vAlign w:val="center"/>
          </w:tcPr>
          <w:p w14:paraId="319BBD4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D252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严格把关，避免出现媒体宣传事故</w:t>
            </w:r>
          </w:p>
        </w:tc>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B123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EADD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62F6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5425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F14F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45A0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1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57C9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0CAF3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950101">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57D61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707" w:type="dxa"/>
            <w:tcBorders>
              <w:top w:val="single" w:color="000000" w:sz="4" w:space="0"/>
              <w:left w:val="nil"/>
              <w:bottom w:val="single" w:color="000000" w:sz="4" w:space="0"/>
              <w:right w:val="single" w:color="000000" w:sz="4" w:space="0"/>
            </w:tcBorders>
            <w:shd w:val="clear" w:color="auto" w:fill="auto"/>
            <w:vAlign w:val="center"/>
          </w:tcPr>
          <w:p w14:paraId="38D897E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时效指标</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99AA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及时进行检察宣传，新闻报道</w:t>
            </w:r>
          </w:p>
        </w:tc>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52BF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42E7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2001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2BC2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8291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B5F0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1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54AB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57E60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jc w:val="center"/>
        </w:trPr>
        <w:tc>
          <w:tcPr>
            <w:tcW w:w="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48B483">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E5A59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707" w:type="dxa"/>
            <w:tcBorders>
              <w:top w:val="single" w:color="000000" w:sz="4" w:space="0"/>
              <w:left w:val="nil"/>
              <w:bottom w:val="single" w:color="000000" w:sz="4" w:space="0"/>
              <w:right w:val="single" w:color="000000" w:sz="4" w:space="0"/>
            </w:tcBorders>
            <w:shd w:val="clear" w:color="auto" w:fill="auto"/>
            <w:vAlign w:val="center"/>
          </w:tcPr>
          <w:p w14:paraId="512A877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成本指标</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7F0C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宣传人员培训、视频制作、宣传活动开展、宣传资料印刷等支出</w:t>
            </w:r>
          </w:p>
        </w:tc>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63C8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6C24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25</w:t>
            </w:r>
          </w:p>
        </w:tc>
        <w:tc>
          <w:tcPr>
            <w:tcW w:w="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8385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万元</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D104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25</w:t>
            </w:r>
          </w:p>
        </w:tc>
        <w:tc>
          <w:tcPr>
            <w:tcW w:w="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50D0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903E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20</w:t>
            </w:r>
          </w:p>
        </w:tc>
        <w:tc>
          <w:tcPr>
            <w:tcW w:w="1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3276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7CD025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4EC681">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ADB1D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效益指标</w:t>
            </w:r>
          </w:p>
        </w:tc>
        <w:tc>
          <w:tcPr>
            <w:tcW w:w="707" w:type="dxa"/>
            <w:tcBorders>
              <w:top w:val="single" w:color="000000" w:sz="4" w:space="0"/>
              <w:left w:val="nil"/>
              <w:bottom w:val="single" w:color="000000" w:sz="4" w:space="0"/>
              <w:right w:val="single" w:color="000000" w:sz="4" w:space="0"/>
            </w:tcBorders>
            <w:shd w:val="clear" w:color="auto" w:fill="auto"/>
            <w:vAlign w:val="center"/>
          </w:tcPr>
          <w:p w14:paraId="50F7619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社会效益</w:t>
            </w:r>
          </w:p>
        </w:tc>
        <w:tc>
          <w:tcPr>
            <w:tcW w:w="1280" w:type="dxa"/>
            <w:tcBorders>
              <w:top w:val="single" w:color="000000" w:sz="4" w:space="0"/>
              <w:left w:val="nil"/>
              <w:bottom w:val="single" w:color="000000" w:sz="4" w:space="0"/>
              <w:right w:val="single" w:color="000000" w:sz="4" w:space="0"/>
            </w:tcBorders>
            <w:shd w:val="clear" w:color="auto" w:fill="auto"/>
            <w:vAlign w:val="center"/>
          </w:tcPr>
          <w:p w14:paraId="72E9B57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规范运维、充分运用检察门户网站、官方新媒体开展宣传</w:t>
            </w:r>
          </w:p>
        </w:tc>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FC35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E5D9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98</w:t>
            </w:r>
          </w:p>
        </w:tc>
        <w:tc>
          <w:tcPr>
            <w:tcW w:w="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0761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7358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8E0E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7894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1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2948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6042D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jc w:val="center"/>
        </w:trPr>
        <w:tc>
          <w:tcPr>
            <w:tcW w:w="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34152C">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F60E6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707" w:type="dxa"/>
            <w:tcBorders>
              <w:top w:val="single" w:color="000000" w:sz="4" w:space="0"/>
              <w:left w:val="nil"/>
              <w:bottom w:val="single" w:color="000000" w:sz="4" w:space="0"/>
              <w:right w:val="single" w:color="000000" w:sz="4" w:space="0"/>
            </w:tcBorders>
            <w:shd w:val="clear" w:color="auto" w:fill="auto"/>
            <w:vAlign w:val="center"/>
          </w:tcPr>
          <w:p w14:paraId="04A0DD7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可持续影响</w:t>
            </w:r>
          </w:p>
        </w:tc>
        <w:tc>
          <w:tcPr>
            <w:tcW w:w="1280" w:type="dxa"/>
            <w:tcBorders>
              <w:top w:val="single" w:color="000000" w:sz="4" w:space="0"/>
              <w:left w:val="nil"/>
              <w:bottom w:val="single" w:color="000000" w:sz="4" w:space="0"/>
              <w:right w:val="single" w:color="000000" w:sz="4" w:space="0"/>
            </w:tcBorders>
            <w:shd w:val="clear" w:color="auto" w:fill="auto"/>
            <w:vAlign w:val="center"/>
          </w:tcPr>
          <w:p w14:paraId="36EA1BB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提高全市检察宣传工作水平、提升检察机关社会影响力</w:t>
            </w:r>
          </w:p>
        </w:tc>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174F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F03C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98</w:t>
            </w:r>
          </w:p>
        </w:tc>
        <w:tc>
          <w:tcPr>
            <w:tcW w:w="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ED02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D10C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98</w:t>
            </w:r>
          </w:p>
        </w:tc>
        <w:tc>
          <w:tcPr>
            <w:tcW w:w="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692D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F10F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1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173A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33351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2394E9">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1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62B6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满意度指标</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B827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服务对象满意度</w:t>
            </w:r>
          </w:p>
        </w:tc>
        <w:tc>
          <w:tcPr>
            <w:tcW w:w="1280" w:type="dxa"/>
            <w:tcBorders>
              <w:top w:val="single" w:color="000000" w:sz="4" w:space="0"/>
              <w:left w:val="nil"/>
              <w:bottom w:val="single" w:color="000000" w:sz="4" w:space="0"/>
              <w:right w:val="single" w:color="000000" w:sz="4" w:space="0"/>
            </w:tcBorders>
            <w:shd w:val="clear" w:color="auto" w:fill="auto"/>
            <w:vAlign w:val="center"/>
          </w:tcPr>
          <w:p w14:paraId="1F8DC09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群众满意度</w:t>
            </w:r>
          </w:p>
        </w:tc>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1DD6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8B64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95</w:t>
            </w:r>
          </w:p>
        </w:tc>
        <w:tc>
          <w:tcPr>
            <w:tcW w:w="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9978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88F3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95</w:t>
            </w:r>
          </w:p>
        </w:tc>
        <w:tc>
          <w:tcPr>
            <w:tcW w:w="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183F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C3DB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1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0467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34E54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6904"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04E775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合计</w:t>
            </w:r>
          </w:p>
        </w:tc>
        <w:tc>
          <w:tcPr>
            <w:tcW w:w="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8F9E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7A5D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1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56DA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1F6A0C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jc w:val="center"/>
        </w:trPr>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BD00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评价结论</w:t>
            </w:r>
          </w:p>
        </w:tc>
        <w:tc>
          <w:tcPr>
            <w:tcW w:w="806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80C341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宣传工作成效显著，宣传格局全面成型，内容传播力、影响力持续提升，充分展现巴中检察工作风貌，圆满达成年度宣传工作各项目标。</w:t>
            </w:r>
          </w:p>
        </w:tc>
      </w:tr>
      <w:tr w14:paraId="32CA3B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jc w:val="center"/>
        </w:trPr>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3D94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存在问题</w:t>
            </w:r>
          </w:p>
        </w:tc>
        <w:tc>
          <w:tcPr>
            <w:tcW w:w="806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B6629A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特色原创精品宣传作品偏少，基层院宣传联动深度不足，新媒体形式创新力度有待加强。</w:t>
            </w:r>
          </w:p>
        </w:tc>
      </w:tr>
      <w:tr w14:paraId="5E0C9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jc w:val="center"/>
        </w:trPr>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4067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改进措施</w:t>
            </w:r>
          </w:p>
        </w:tc>
        <w:tc>
          <w:tcPr>
            <w:tcW w:w="806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339D6D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深挖本土检察特色打造精品原创内容，深化基层院宣传资源联动，丰富宣传创作形式，持续优化全媒体立体宣传体系。</w:t>
            </w:r>
          </w:p>
        </w:tc>
      </w:tr>
      <w:tr w14:paraId="66BCB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470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E461A5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项目负责人：</w:t>
            </w:r>
          </w:p>
        </w:tc>
        <w:tc>
          <w:tcPr>
            <w:tcW w:w="435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A5AF11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财务负责人：</w:t>
            </w:r>
          </w:p>
        </w:tc>
      </w:tr>
    </w:tbl>
    <w:p w14:paraId="537D442E">
      <w:pPr>
        <w:pStyle w:val="2"/>
        <w:rPr>
          <w:rFonts w:hint="default" w:ascii="Times New Roman" w:hAnsi="Times New Roman" w:eastAsia="黑体"/>
          <w:b/>
          <w:bCs/>
          <w:color w:val="auto"/>
          <w:sz w:val="44"/>
          <w:szCs w:val="44"/>
          <w:highlight w:val="none"/>
          <w:lang w:val="en-US"/>
        </w:rPr>
        <w:sectPr>
          <w:pgSz w:w="11906" w:h="16838"/>
          <w:pgMar w:top="2098" w:right="1531" w:bottom="1984" w:left="1531" w:header="851" w:footer="992" w:gutter="0"/>
          <w:pgNumType w:fmt="decimal"/>
          <w:cols w:space="425" w:num="1"/>
          <w:docGrid w:type="lines" w:linePitch="312" w:charSpace="0"/>
        </w:sectPr>
      </w:pPr>
    </w:p>
    <w:tbl>
      <w:tblPr>
        <w:tblStyle w:val="16"/>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17"/>
        <w:gridCol w:w="1000"/>
        <w:gridCol w:w="741"/>
        <w:gridCol w:w="1397"/>
        <w:gridCol w:w="672"/>
        <w:gridCol w:w="621"/>
        <w:gridCol w:w="689"/>
        <w:gridCol w:w="696"/>
        <w:gridCol w:w="580"/>
        <w:gridCol w:w="586"/>
        <w:gridCol w:w="961"/>
      </w:tblGrid>
      <w:tr w14:paraId="4CB5EA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jc w:val="center"/>
        </w:trPr>
        <w:tc>
          <w:tcPr>
            <w:tcW w:w="906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397363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3F96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2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A7B86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项目名称</w:t>
            </w:r>
          </w:p>
        </w:tc>
        <w:tc>
          <w:tcPr>
            <w:tcW w:w="694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BA8D15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公开听证经费</w:t>
            </w:r>
          </w:p>
        </w:tc>
      </w:tr>
      <w:tr w14:paraId="41FB5D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jc w:val="center"/>
        </w:trPr>
        <w:tc>
          <w:tcPr>
            <w:tcW w:w="2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01903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主管部门</w:t>
            </w:r>
          </w:p>
        </w:tc>
        <w:tc>
          <w:tcPr>
            <w:tcW w:w="41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AE0FFB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四川省巴中市人民检察院</w:t>
            </w:r>
          </w:p>
        </w:tc>
        <w:tc>
          <w:tcPr>
            <w:tcW w:w="696" w:type="dxa"/>
            <w:tcBorders>
              <w:top w:val="nil"/>
              <w:left w:val="nil"/>
              <w:bottom w:val="nil"/>
              <w:right w:val="nil"/>
            </w:tcBorders>
            <w:shd w:val="clear" w:color="auto" w:fill="auto"/>
            <w:vAlign w:val="center"/>
          </w:tcPr>
          <w:p w14:paraId="49A5546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实施单位 （盖章）</w:t>
            </w:r>
          </w:p>
        </w:tc>
        <w:tc>
          <w:tcPr>
            <w:tcW w:w="2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4B497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四川省巴中市人民检察院</w:t>
            </w:r>
          </w:p>
        </w:tc>
      </w:tr>
      <w:tr w14:paraId="7F997E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11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E0F4C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项目基本情况</w:t>
            </w:r>
          </w:p>
        </w:tc>
        <w:tc>
          <w:tcPr>
            <w:tcW w:w="10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7577A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1.项目年度目标完成情况</w:t>
            </w:r>
          </w:p>
        </w:tc>
        <w:tc>
          <w:tcPr>
            <w:tcW w:w="41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DBB464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项目年度目标</w:t>
            </w:r>
          </w:p>
        </w:tc>
        <w:tc>
          <w:tcPr>
            <w:tcW w:w="282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787812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年度目标完成情况</w:t>
            </w:r>
          </w:p>
        </w:tc>
      </w:tr>
      <w:tr w14:paraId="063B6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0" w:hRule="atLeast"/>
          <w:jc w:val="center"/>
        </w:trPr>
        <w:tc>
          <w:tcPr>
            <w:tcW w:w="11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03EBA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1AAF5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41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B64490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目标1：根据《人民检察院审查案件公开听证工作规定》邀请听证员参与案件公开听证，接受社会监督和舆论监督，赢得人民群众对检察工作的理解和支持。</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目标2：推进听证员作用发挥，践行全过程人民民主。</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目标3：促进公正履职、保护当事人合法权益。</w:t>
            </w:r>
          </w:p>
        </w:tc>
        <w:tc>
          <w:tcPr>
            <w:tcW w:w="282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D622BA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本年度严格按照案件公开听证相关工作规定，规范邀请听证员全程参与案件公开听证，主动接受社会各界监督，充分发挥听证员监督评议作用，扎实践行全过程人民民主，以公开听证促进公正司法，切实维护案件当事人合法权益，赢得群众认可与支持，全部年度目标均圆满完成。</w:t>
            </w:r>
          </w:p>
        </w:tc>
      </w:tr>
      <w:tr w14:paraId="49C1A6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jc w:val="center"/>
        </w:trPr>
        <w:tc>
          <w:tcPr>
            <w:tcW w:w="11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26349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7C43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2.项目实施内容及过程概述</w:t>
            </w:r>
          </w:p>
        </w:tc>
        <w:tc>
          <w:tcPr>
            <w:tcW w:w="694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52B87D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严格依照听证工作规范，规范开展听证选任、案件筛选、听证组织、意见采纳、事后回访全流程工作，按需邀请各界听证员参与各类案件公开听证，充分听取听证意见，完整留存听证档案，闭环落实听证各项工作要求。</w:t>
            </w:r>
          </w:p>
        </w:tc>
      </w:tr>
      <w:tr w14:paraId="3222E6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11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DDD06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预算执行情况（10分）</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6D65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年度预算数（万元）</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C317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年初预算</w:t>
            </w:r>
          </w:p>
        </w:tc>
        <w:tc>
          <w:tcPr>
            <w:tcW w:w="1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A726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调整后预算数</w:t>
            </w:r>
          </w:p>
        </w:tc>
        <w:tc>
          <w:tcPr>
            <w:tcW w:w="19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1DD70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预算执行数</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DD26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预算执行率</w:t>
            </w:r>
          </w:p>
        </w:tc>
        <w:tc>
          <w:tcPr>
            <w:tcW w:w="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37B3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权重</w:t>
            </w: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9BB4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得分</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A8E3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原因</w:t>
            </w:r>
          </w:p>
        </w:tc>
      </w:tr>
      <w:tr w14:paraId="62A48B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jc w:val="center"/>
        </w:trPr>
        <w:tc>
          <w:tcPr>
            <w:tcW w:w="11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CC407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8F88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总额</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19C1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1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7B4C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19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ADF9E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F300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100.00%</w:t>
            </w:r>
          </w:p>
        </w:tc>
        <w:tc>
          <w:tcPr>
            <w:tcW w:w="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6F5D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3C71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9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80EC0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宋体" w:hAnsi="宋体" w:eastAsia="宋体" w:cs="宋体"/>
                <w:i w:val="0"/>
                <w:iCs w:val="0"/>
                <w:color w:val="000000"/>
                <w:kern w:val="0"/>
                <w:sz w:val="18"/>
                <w:szCs w:val="18"/>
                <w:u w:val="none"/>
                <w:lang w:val="en-US" w:eastAsia="zh-CN" w:bidi="ar"/>
              </w:rPr>
            </w:pPr>
          </w:p>
        </w:tc>
      </w:tr>
      <w:tr w14:paraId="2F4736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jc w:val="center"/>
        </w:trPr>
        <w:tc>
          <w:tcPr>
            <w:tcW w:w="11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3BE9F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6047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其中：财政资金</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760E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1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91D6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19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56A2D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451A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0.00%</w:t>
            </w:r>
          </w:p>
        </w:tc>
        <w:tc>
          <w:tcPr>
            <w:tcW w:w="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A913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3B88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7E63A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宋体" w:hAnsi="宋体" w:eastAsia="宋体" w:cs="宋体"/>
                <w:i w:val="0"/>
                <w:iCs w:val="0"/>
                <w:color w:val="000000"/>
                <w:kern w:val="0"/>
                <w:sz w:val="18"/>
                <w:szCs w:val="18"/>
                <w:u w:val="none"/>
                <w:lang w:val="en-US" w:eastAsia="zh-CN" w:bidi="ar"/>
              </w:rPr>
            </w:pPr>
          </w:p>
        </w:tc>
      </w:tr>
      <w:tr w14:paraId="7787E2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11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11323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E2FB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财政专户管理资金</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3481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0.00</w:t>
            </w:r>
          </w:p>
        </w:tc>
        <w:tc>
          <w:tcPr>
            <w:tcW w:w="1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1C30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9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4C0CF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9F74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0.00%</w:t>
            </w:r>
          </w:p>
        </w:tc>
        <w:tc>
          <w:tcPr>
            <w:tcW w:w="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DE5C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9061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0885A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宋体" w:hAnsi="宋体" w:eastAsia="宋体" w:cs="宋体"/>
                <w:i w:val="0"/>
                <w:iCs w:val="0"/>
                <w:color w:val="000000"/>
                <w:kern w:val="0"/>
                <w:sz w:val="18"/>
                <w:szCs w:val="18"/>
                <w:u w:val="none"/>
                <w:lang w:val="en-US" w:eastAsia="zh-CN" w:bidi="ar"/>
              </w:rPr>
            </w:pPr>
          </w:p>
        </w:tc>
      </w:tr>
      <w:tr w14:paraId="6FAB1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11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EF2F9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9709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单位资金</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65CA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0.00</w:t>
            </w:r>
          </w:p>
        </w:tc>
        <w:tc>
          <w:tcPr>
            <w:tcW w:w="1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A00C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9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4BFB0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C7ED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0.00%</w:t>
            </w:r>
          </w:p>
        </w:tc>
        <w:tc>
          <w:tcPr>
            <w:tcW w:w="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5403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222F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36A09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宋体" w:hAnsi="宋体" w:eastAsia="宋体" w:cs="宋体"/>
                <w:i w:val="0"/>
                <w:iCs w:val="0"/>
                <w:color w:val="000000"/>
                <w:kern w:val="0"/>
                <w:sz w:val="18"/>
                <w:szCs w:val="18"/>
                <w:u w:val="none"/>
                <w:lang w:val="en-US" w:eastAsia="zh-CN" w:bidi="ar"/>
              </w:rPr>
            </w:pPr>
          </w:p>
        </w:tc>
      </w:tr>
      <w:tr w14:paraId="54A181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11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F4DE0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3DCF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其他资金</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78C6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2C7D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9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899B7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73E1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89F9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AC40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75664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宋体" w:hAnsi="宋体" w:eastAsia="宋体" w:cs="宋体"/>
                <w:i w:val="0"/>
                <w:iCs w:val="0"/>
                <w:color w:val="000000"/>
                <w:kern w:val="0"/>
                <w:sz w:val="18"/>
                <w:szCs w:val="18"/>
                <w:u w:val="none"/>
                <w:lang w:val="en-US" w:eastAsia="zh-CN" w:bidi="ar"/>
              </w:rPr>
            </w:pPr>
          </w:p>
        </w:tc>
      </w:tr>
      <w:tr w14:paraId="6E67F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11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0373F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绩效指标（90分）</w:t>
            </w:r>
          </w:p>
        </w:tc>
        <w:tc>
          <w:tcPr>
            <w:tcW w:w="1000" w:type="dxa"/>
            <w:tcBorders>
              <w:top w:val="single" w:color="000000" w:sz="4" w:space="0"/>
              <w:left w:val="single" w:color="000000" w:sz="4" w:space="0"/>
              <w:bottom w:val="nil"/>
              <w:right w:val="single" w:color="000000" w:sz="4" w:space="0"/>
            </w:tcBorders>
            <w:shd w:val="clear" w:color="auto" w:fill="auto"/>
            <w:vAlign w:val="center"/>
          </w:tcPr>
          <w:p w14:paraId="1CD905A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一级指标</w:t>
            </w:r>
          </w:p>
        </w:tc>
        <w:tc>
          <w:tcPr>
            <w:tcW w:w="741" w:type="dxa"/>
            <w:tcBorders>
              <w:top w:val="single" w:color="000000" w:sz="4" w:space="0"/>
              <w:left w:val="single" w:color="000000" w:sz="4" w:space="0"/>
              <w:bottom w:val="nil"/>
              <w:right w:val="single" w:color="000000" w:sz="4" w:space="0"/>
            </w:tcBorders>
            <w:shd w:val="clear" w:color="auto" w:fill="auto"/>
            <w:vAlign w:val="center"/>
          </w:tcPr>
          <w:p w14:paraId="7B39D9B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二级指标</w:t>
            </w:r>
          </w:p>
        </w:tc>
        <w:tc>
          <w:tcPr>
            <w:tcW w:w="1397" w:type="dxa"/>
            <w:tcBorders>
              <w:top w:val="single" w:color="000000" w:sz="4" w:space="0"/>
              <w:left w:val="single" w:color="000000" w:sz="4" w:space="0"/>
              <w:bottom w:val="nil"/>
              <w:right w:val="single" w:color="000000" w:sz="4" w:space="0"/>
            </w:tcBorders>
            <w:shd w:val="clear" w:color="auto" w:fill="auto"/>
            <w:vAlign w:val="center"/>
          </w:tcPr>
          <w:p w14:paraId="457FE3B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三级指标</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5647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指标性质</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C271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指标值</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3657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度量单位</w:t>
            </w:r>
          </w:p>
        </w:tc>
        <w:tc>
          <w:tcPr>
            <w:tcW w:w="696" w:type="dxa"/>
            <w:tcBorders>
              <w:top w:val="single" w:color="000000" w:sz="4" w:space="0"/>
              <w:left w:val="single" w:color="000000" w:sz="4" w:space="0"/>
              <w:bottom w:val="nil"/>
              <w:right w:val="single" w:color="000000" w:sz="4" w:space="0"/>
            </w:tcBorders>
            <w:shd w:val="clear" w:color="auto" w:fill="auto"/>
            <w:vAlign w:val="center"/>
          </w:tcPr>
          <w:p w14:paraId="1068A6F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完成值</w:t>
            </w:r>
          </w:p>
        </w:tc>
        <w:tc>
          <w:tcPr>
            <w:tcW w:w="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FD86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权重</w:t>
            </w: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4A03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得分</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6824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未完成原因分析</w:t>
            </w:r>
          </w:p>
        </w:tc>
      </w:tr>
      <w:tr w14:paraId="325AEE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11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AB41E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0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35B7A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产出指标</w:t>
            </w:r>
          </w:p>
        </w:tc>
        <w:tc>
          <w:tcPr>
            <w:tcW w:w="7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CB4D0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数量指标</w:t>
            </w:r>
          </w:p>
        </w:tc>
        <w:tc>
          <w:tcPr>
            <w:tcW w:w="1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6CCD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员额检察官人数</w:t>
            </w:r>
          </w:p>
        </w:tc>
        <w:tc>
          <w:tcPr>
            <w:tcW w:w="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5B08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 </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4F53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25</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993D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人</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443F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25</w:t>
            </w:r>
          </w:p>
        </w:tc>
        <w:tc>
          <w:tcPr>
            <w:tcW w:w="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4B6A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D9BF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59E9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34161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11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D3B19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547D0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7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5E92C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B6AC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额检察官以听证方式办理案件数</w:t>
            </w:r>
          </w:p>
        </w:tc>
        <w:tc>
          <w:tcPr>
            <w:tcW w:w="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6F51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FEDD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334A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次</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EF50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w:t>
            </w:r>
          </w:p>
        </w:tc>
        <w:tc>
          <w:tcPr>
            <w:tcW w:w="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F5CD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33E1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7EAF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213BD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11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F0BC4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36764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7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75241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A40D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单次听证会听证员人数</w:t>
            </w:r>
          </w:p>
        </w:tc>
        <w:tc>
          <w:tcPr>
            <w:tcW w:w="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D71B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F4FF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C17B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人/次</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8700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32A6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24C6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25A5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3269E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11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8C351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F9307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7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D12DA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质量指标</w:t>
            </w:r>
          </w:p>
        </w:tc>
        <w:tc>
          <w:tcPr>
            <w:tcW w:w="1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53AC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创新听证方式，扩展听证内容，规范听证流程</w:t>
            </w:r>
          </w:p>
        </w:tc>
        <w:tc>
          <w:tcPr>
            <w:tcW w:w="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2855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 </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88EE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6BB0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F511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876B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180C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AD47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250B1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11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8600B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26885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7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AABE9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8194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听证员费用参照人民监督员标准执行</w:t>
            </w:r>
          </w:p>
        </w:tc>
        <w:tc>
          <w:tcPr>
            <w:tcW w:w="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7AEB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 </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92CC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3C32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8583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270D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C14F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87E7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44E5F2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11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E7454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BF3FE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8BDA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时效指标</w:t>
            </w:r>
          </w:p>
        </w:tc>
        <w:tc>
          <w:tcPr>
            <w:tcW w:w="1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3E9D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2025年底内完成听证任务</w:t>
            </w:r>
          </w:p>
        </w:tc>
        <w:tc>
          <w:tcPr>
            <w:tcW w:w="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0961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定性</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4D9F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2B92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B518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1FBB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84C9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32FD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531213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jc w:val="center"/>
        </w:trPr>
        <w:tc>
          <w:tcPr>
            <w:tcW w:w="11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7F616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489B1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7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926C4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成本指标</w:t>
            </w:r>
          </w:p>
        </w:tc>
        <w:tc>
          <w:tcPr>
            <w:tcW w:w="1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CEB2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听证员参加听证会的交通费、食宿费、劳务费等合理费用</w:t>
            </w:r>
          </w:p>
        </w:tc>
        <w:tc>
          <w:tcPr>
            <w:tcW w:w="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DC72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7A74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FD6C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万元</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80E3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w:t>
            </w:r>
          </w:p>
        </w:tc>
        <w:tc>
          <w:tcPr>
            <w:tcW w:w="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5DA5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0BD2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ED48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7E583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11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7C113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5184E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7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1CF28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640C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听证费用标准</w:t>
            </w:r>
          </w:p>
        </w:tc>
        <w:tc>
          <w:tcPr>
            <w:tcW w:w="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FF80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 </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0599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200</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039A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人/次</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03A6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200</w:t>
            </w:r>
          </w:p>
        </w:tc>
        <w:tc>
          <w:tcPr>
            <w:tcW w:w="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7671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E315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870C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60D94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11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BE324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0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F4713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效益指标</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FDAC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社会效益</w:t>
            </w:r>
          </w:p>
        </w:tc>
        <w:tc>
          <w:tcPr>
            <w:tcW w:w="1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DE7B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促进公正履职、保护当事人合法权益</w:t>
            </w:r>
          </w:p>
        </w:tc>
        <w:tc>
          <w:tcPr>
            <w:tcW w:w="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6771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 </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79BF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B90D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9F4A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BF72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BE36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CA03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3C1D9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11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8605E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4A81B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7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12162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可持续影响</w:t>
            </w:r>
          </w:p>
        </w:tc>
        <w:tc>
          <w:tcPr>
            <w:tcW w:w="1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8222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提高案件办理质量、检察官依法履职</w:t>
            </w:r>
          </w:p>
        </w:tc>
        <w:tc>
          <w:tcPr>
            <w:tcW w:w="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7419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定性</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93FA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9C82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68C1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6F3E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8A1E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9F88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568F4B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11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90EF3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B33BD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7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5A435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CD5D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接受社会监督，提升人民群众对检察工作满意度</w:t>
            </w:r>
          </w:p>
        </w:tc>
        <w:tc>
          <w:tcPr>
            <w:tcW w:w="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4712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定性</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F5CD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16C6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4F90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C13D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71FE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6064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58DB01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11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E0119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0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5DDA2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满意度指标</w:t>
            </w:r>
          </w:p>
        </w:tc>
        <w:tc>
          <w:tcPr>
            <w:tcW w:w="7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EE01D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服务对象满意度</w:t>
            </w:r>
          </w:p>
        </w:tc>
        <w:tc>
          <w:tcPr>
            <w:tcW w:w="1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CCC5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听证员满意度</w:t>
            </w:r>
          </w:p>
        </w:tc>
        <w:tc>
          <w:tcPr>
            <w:tcW w:w="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69FA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6A7C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90</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5ABE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6C53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90</w:t>
            </w:r>
          </w:p>
        </w:tc>
        <w:tc>
          <w:tcPr>
            <w:tcW w:w="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5C93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A071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3680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4F0980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11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ED8AE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8AF12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7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99921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C177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人民群众满意度</w:t>
            </w:r>
          </w:p>
        </w:tc>
        <w:tc>
          <w:tcPr>
            <w:tcW w:w="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B8BC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9D02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90</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C6F0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8AA6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90</w:t>
            </w:r>
          </w:p>
        </w:tc>
        <w:tc>
          <w:tcPr>
            <w:tcW w:w="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EBFE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1332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FF3B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284771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693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C74ECA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合计</w:t>
            </w:r>
          </w:p>
        </w:tc>
        <w:tc>
          <w:tcPr>
            <w:tcW w:w="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9453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6EAE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9BF2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50DBDF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jc w:val="center"/>
        </w:trPr>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CE3B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评价结论</w:t>
            </w:r>
          </w:p>
        </w:tc>
        <w:tc>
          <w:tcPr>
            <w:tcW w:w="794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A9D257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案件公开听证工作开展规范有序，听证员作用有效发挥，司法透明度显著提升，切实以公开促公正、以听证护民生，圆满完成年度各项工作任务。</w:t>
            </w:r>
          </w:p>
        </w:tc>
      </w:tr>
      <w:tr w14:paraId="3288D6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jc w:val="center"/>
        </w:trPr>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FB76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存在问题</w:t>
            </w:r>
          </w:p>
        </w:tc>
        <w:tc>
          <w:tcPr>
            <w:tcW w:w="794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A6B31A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听证类型覆盖不够全面，听证员常态化培训不足，听证意见转化落实机制不够细化。</w:t>
            </w:r>
          </w:p>
        </w:tc>
      </w:tr>
      <w:tr w14:paraId="62FEC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jc w:val="center"/>
        </w:trPr>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5B0F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改进措施</w:t>
            </w:r>
          </w:p>
        </w:tc>
        <w:tc>
          <w:tcPr>
            <w:tcW w:w="794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B96B24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拓宽案件听证覆盖范围，定期开展听证员业务培训，健全听证意见采纳反馈闭环机制，持续提升公开听证质效。</w:t>
            </w:r>
          </w:p>
        </w:tc>
      </w:tr>
      <w:tr w14:paraId="5F8BA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492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AD49DC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项目负责人：</w:t>
            </w:r>
          </w:p>
        </w:tc>
        <w:tc>
          <w:tcPr>
            <w:tcW w:w="413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A5AB7E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财务负责人：</w:t>
            </w:r>
          </w:p>
        </w:tc>
      </w:tr>
    </w:tbl>
    <w:p w14:paraId="3CD1A973">
      <w:pPr>
        <w:pStyle w:val="2"/>
        <w:rPr>
          <w:rFonts w:hint="default" w:ascii="Times New Roman" w:hAnsi="Times New Roman" w:eastAsia="黑体"/>
          <w:b/>
          <w:bCs/>
          <w:color w:val="auto"/>
          <w:sz w:val="44"/>
          <w:szCs w:val="44"/>
          <w:highlight w:val="none"/>
          <w:lang w:val="en-US"/>
        </w:rPr>
        <w:sectPr>
          <w:pgSz w:w="11906" w:h="16838"/>
          <w:pgMar w:top="2098" w:right="1531" w:bottom="1984" w:left="1531" w:header="851" w:footer="992" w:gutter="0"/>
          <w:pgNumType w:fmt="decimal"/>
          <w:cols w:space="425" w:num="1"/>
          <w:docGrid w:type="lines" w:linePitch="312" w:charSpace="0"/>
        </w:sectPr>
      </w:pPr>
    </w:p>
    <w:tbl>
      <w:tblPr>
        <w:tblStyle w:val="16"/>
        <w:tblW w:w="5001"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48"/>
        <w:gridCol w:w="1317"/>
        <w:gridCol w:w="750"/>
        <w:gridCol w:w="1250"/>
        <w:gridCol w:w="668"/>
        <w:gridCol w:w="625"/>
        <w:gridCol w:w="708"/>
        <w:gridCol w:w="909"/>
        <w:gridCol w:w="506"/>
        <w:gridCol w:w="396"/>
        <w:gridCol w:w="883"/>
        <w:gridCol w:w="2"/>
      </w:tblGrid>
      <w:tr w14:paraId="24AA8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 w:type="dxa"/>
          <w:trHeight w:val="904" w:hRule="atLeast"/>
          <w:jc w:val="center"/>
        </w:trPr>
        <w:tc>
          <w:tcPr>
            <w:tcW w:w="906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2F00095">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D436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 w:type="dxa"/>
          <w:trHeight w:val="286" w:hRule="atLeast"/>
          <w:jc w:val="center"/>
        </w:trPr>
        <w:tc>
          <w:tcPr>
            <w:tcW w:w="23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F21F13">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项目名称</w:t>
            </w:r>
          </w:p>
        </w:tc>
        <w:tc>
          <w:tcPr>
            <w:tcW w:w="669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84EE7BF">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检察业务经费</w:t>
            </w:r>
          </w:p>
        </w:tc>
      </w:tr>
      <w:tr w14:paraId="74DDC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 w:type="dxa"/>
          <w:trHeight w:val="512" w:hRule="atLeast"/>
          <w:jc w:val="center"/>
        </w:trPr>
        <w:tc>
          <w:tcPr>
            <w:tcW w:w="23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4BEADD">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主管部门</w:t>
            </w:r>
          </w:p>
        </w:tc>
        <w:tc>
          <w:tcPr>
            <w:tcW w:w="400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2A26C5C">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四川省巴中市人民检察院</w:t>
            </w:r>
          </w:p>
        </w:tc>
        <w:tc>
          <w:tcPr>
            <w:tcW w:w="909" w:type="dxa"/>
            <w:tcBorders>
              <w:top w:val="nil"/>
              <w:left w:val="nil"/>
              <w:bottom w:val="nil"/>
              <w:right w:val="nil"/>
            </w:tcBorders>
            <w:shd w:val="clear" w:color="auto" w:fill="auto"/>
            <w:vAlign w:val="center"/>
          </w:tcPr>
          <w:p w14:paraId="337157B6">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实施单位 （盖章）</w:t>
            </w:r>
          </w:p>
        </w:tc>
        <w:tc>
          <w:tcPr>
            <w:tcW w:w="17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71A088">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四川省巴中市人民检察院</w:t>
            </w:r>
          </w:p>
        </w:tc>
      </w:tr>
      <w:tr w14:paraId="57DE07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 w:type="dxa"/>
          <w:trHeight w:val="286" w:hRule="atLeast"/>
          <w:jc w:val="center"/>
        </w:trPr>
        <w:tc>
          <w:tcPr>
            <w:tcW w:w="1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D5FA1F">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项目基本情况</w:t>
            </w:r>
          </w:p>
        </w:tc>
        <w:tc>
          <w:tcPr>
            <w:tcW w:w="13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69A109">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1.项目年度目标完成情况</w:t>
            </w:r>
          </w:p>
        </w:tc>
        <w:tc>
          <w:tcPr>
            <w:tcW w:w="400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20BD98D">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项目年度目标</w:t>
            </w:r>
          </w:p>
        </w:tc>
        <w:tc>
          <w:tcPr>
            <w:tcW w:w="269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A2065C1">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年度目标完成情况</w:t>
            </w:r>
          </w:p>
        </w:tc>
      </w:tr>
      <w:tr w14:paraId="7E8E6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 w:type="dxa"/>
          <w:trHeight w:val="1060" w:hRule="atLeast"/>
          <w:jc w:val="center"/>
        </w:trPr>
        <w:tc>
          <w:tcPr>
            <w:tcW w:w="1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3B5227">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3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BB0B48">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400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EDA1408">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目标1：完成扫黑除恶等各类办案任务，提升干警从检能力，提高办案质量。</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目标2：促进法治公平，彰显司法正义，实现社会长治久安。</w:t>
            </w:r>
          </w:p>
        </w:tc>
        <w:tc>
          <w:tcPr>
            <w:tcW w:w="269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9DC6847">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本年度圆满完成扫黑除恶及各类刑事办案任务，干警综合履职办案能力显著提升，案件办理质效全面优化。以办案维护司法公平正义，有力筑牢社会治安防线，有效保障社会长治久安，全部年度目标均顺利达成。</w:t>
            </w:r>
          </w:p>
        </w:tc>
      </w:tr>
      <w:tr w14:paraId="07DE60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 w:type="dxa"/>
          <w:trHeight w:val="693" w:hRule="atLeast"/>
          <w:jc w:val="center"/>
        </w:trPr>
        <w:tc>
          <w:tcPr>
            <w:tcW w:w="1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A61AD1">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264B3">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2.项目实施内容及过程概述</w:t>
            </w:r>
          </w:p>
        </w:tc>
        <w:tc>
          <w:tcPr>
            <w:tcW w:w="669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2E9D739">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常态化开展扫黑除恶斗争，严格依法办理各类刑事案件，规范案件审查、办理全流程，强化类案研判、业务学习练兵，严把案件事实、证据、法律关口，从严打击各类违法犯罪，做实以案促治、源头治理工作。</w:t>
            </w:r>
          </w:p>
        </w:tc>
      </w:tr>
      <w:tr w14:paraId="7EF3F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 w:type="dxa"/>
          <w:trHeight w:val="361" w:hRule="atLeast"/>
          <w:jc w:val="center"/>
        </w:trPr>
        <w:tc>
          <w:tcPr>
            <w:tcW w:w="1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883433">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预算执行情况（10分）</w:t>
            </w:r>
          </w:p>
        </w:tc>
        <w:tc>
          <w:tcPr>
            <w:tcW w:w="1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F98B9">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年度预算数（万元）</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6C532">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年初预算</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4F30D">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调整后预算数</w:t>
            </w:r>
          </w:p>
        </w:tc>
        <w:tc>
          <w:tcPr>
            <w:tcW w:w="20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DE362E">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预算执行数</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320C4">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预算执行率</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4C440">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权重</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962EE">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得分</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23432">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原因</w:t>
            </w:r>
          </w:p>
        </w:tc>
      </w:tr>
      <w:tr w14:paraId="49C822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 w:type="dxa"/>
          <w:trHeight w:val="346" w:hRule="atLeast"/>
          <w:jc w:val="center"/>
        </w:trPr>
        <w:tc>
          <w:tcPr>
            <w:tcW w:w="1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565895">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49BD9">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总额</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4C70F">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115.14</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9FACC">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115.14</w:t>
            </w:r>
          </w:p>
        </w:tc>
        <w:tc>
          <w:tcPr>
            <w:tcW w:w="20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FB2469">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114.64</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E007A">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99.57%</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485E6">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C8F77">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8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4110A1">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default" w:ascii="宋体" w:hAnsi="宋体" w:eastAsia="宋体" w:cs="宋体"/>
                <w:i w:val="0"/>
                <w:iCs w:val="0"/>
                <w:color w:val="000000"/>
                <w:kern w:val="0"/>
                <w:sz w:val="18"/>
                <w:szCs w:val="18"/>
                <w:u w:val="none"/>
                <w:lang w:val="en-US" w:eastAsia="zh-CN" w:bidi="ar"/>
              </w:rPr>
            </w:pPr>
          </w:p>
        </w:tc>
      </w:tr>
      <w:tr w14:paraId="6876C8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 w:type="dxa"/>
          <w:trHeight w:val="391" w:hRule="atLeast"/>
          <w:jc w:val="center"/>
        </w:trPr>
        <w:tc>
          <w:tcPr>
            <w:tcW w:w="1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AF72D1">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DFA84">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其中：财政资金</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D6E40">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115.14</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12852">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115.14</w:t>
            </w:r>
          </w:p>
        </w:tc>
        <w:tc>
          <w:tcPr>
            <w:tcW w:w="20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AAFDE2">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114.64</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25FA9">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D7205">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E8316">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4B156F">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default" w:ascii="宋体" w:hAnsi="宋体" w:eastAsia="宋体" w:cs="宋体"/>
                <w:i w:val="0"/>
                <w:iCs w:val="0"/>
                <w:color w:val="000000"/>
                <w:kern w:val="0"/>
                <w:sz w:val="18"/>
                <w:szCs w:val="18"/>
                <w:u w:val="none"/>
                <w:lang w:val="en-US" w:eastAsia="zh-CN" w:bidi="ar"/>
              </w:rPr>
            </w:pPr>
          </w:p>
        </w:tc>
      </w:tr>
      <w:tr w14:paraId="75869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 w:type="dxa"/>
          <w:trHeight w:val="407" w:hRule="atLeast"/>
          <w:jc w:val="center"/>
        </w:trPr>
        <w:tc>
          <w:tcPr>
            <w:tcW w:w="1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640BA2">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9A6A4">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财政专户管理资金</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66E50">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0.00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36B7D">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20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E921E9">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023FC">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E713B">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FD53B">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BB56AD">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default" w:ascii="宋体" w:hAnsi="宋体" w:eastAsia="宋体" w:cs="宋体"/>
                <w:i w:val="0"/>
                <w:iCs w:val="0"/>
                <w:color w:val="000000"/>
                <w:kern w:val="0"/>
                <w:sz w:val="18"/>
                <w:szCs w:val="18"/>
                <w:u w:val="none"/>
                <w:lang w:val="en-US" w:eastAsia="zh-CN" w:bidi="ar"/>
              </w:rPr>
            </w:pPr>
          </w:p>
        </w:tc>
      </w:tr>
      <w:tr w14:paraId="281364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 w:type="dxa"/>
          <w:trHeight w:val="361" w:hRule="atLeast"/>
          <w:jc w:val="center"/>
        </w:trPr>
        <w:tc>
          <w:tcPr>
            <w:tcW w:w="1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372CF9">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851DB">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单位资金</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D4757">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0.00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8BAA5">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20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64A1E4">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4894B">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B0723">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D83F4">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F7041B">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default" w:ascii="宋体" w:hAnsi="宋体" w:eastAsia="宋体" w:cs="宋体"/>
                <w:i w:val="0"/>
                <w:iCs w:val="0"/>
                <w:color w:val="000000"/>
                <w:kern w:val="0"/>
                <w:sz w:val="18"/>
                <w:szCs w:val="18"/>
                <w:u w:val="none"/>
                <w:lang w:val="en-US" w:eastAsia="zh-CN" w:bidi="ar"/>
              </w:rPr>
            </w:pPr>
          </w:p>
        </w:tc>
      </w:tr>
      <w:tr w14:paraId="5DA041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 w:type="dxa"/>
          <w:trHeight w:val="339" w:hRule="atLeast"/>
          <w:jc w:val="center"/>
        </w:trPr>
        <w:tc>
          <w:tcPr>
            <w:tcW w:w="1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CA92C9">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9ADF2">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其他资金</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687F2">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18B13">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20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A8B904">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F559F">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040B0">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47597">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562111">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default" w:ascii="宋体" w:hAnsi="宋体" w:eastAsia="宋体" w:cs="宋体"/>
                <w:i w:val="0"/>
                <w:iCs w:val="0"/>
                <w:color w:val="000000"/>
                <w:kern w:val="0"/>
                <w:sz w:val="18"/>
                <w:szCs w:val="18"/>
                <w:u w:val="none"/>
                <w:lang w:val="en-US" w:eastAsia="zh-CN" w:bidi="ar"/>
              </w:rPr>
            </w:pPr>
          </w:p>
        </w:tc>
      </w:tr>
      <w:tr w14:paraId="28688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1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9A6DDA">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绩效指标（90分）</w:t>
            </w:r>
          </w:p>
        </w:tc>
        <w:tc>
          <w:tcPr>
            <w:tcW w:w="1317" w:type="dxa"/>
            <w:tcBorders>
              <w:top w:val="single" w:color="000000" w:sz="4" w:space="0"/>
              <w:left w:val="single" w:color="000000" w:sz="4" w:space="0"/>
              <w:bottom w:val="nil"/>
              <w:right w:val="single" w:color="000000" w:sz="4" w:space="0"/>
            </w:tcBorders>
            <w:shd w:val="clear" w:color="auto" w:fill="auto"/>
            <w:vAlign w:val="center"/>
          </w:tcPr>
          <w:p w14:paraId="2785B5A3">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一级指标</w:t>
            </w:r>
          </w:p>
        </w:tc>
        <w:tc>
          <w:tcPr>
            <w:tcW w:w="750" w:type="dxa"/>
            <w:tcBorders>
              <w:top w:val="single" w:color="000000" w:sz="4" w:space="0"/>
              <w:left w:val="single" w:color="000000" w:sz="4" w:space="0"/>
              <w:bottom w:val="nil"/>
              <w:right w:val="single" w:color="000000" w:sz="4" w:space="0"/>
            </w:tcBorders>
            <w:shd w:val="clear" w:color="auto" w:fill="auto"/>
            <w:vAlign w:val="center"/>
          </w:tcPr>
          <w:p w14:paraId="085F53F3">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二级指标</w:t>
            </w:r>
          </w:p>
        </w:tc>
        <w:tc>
          <w:tcPr>
            <w:tcW w:w="1250" w:type="dxa"/>
            <w:tcBorders>
              <w:top w:val="single" w:color="000000" w:sz="4" w:space="0"/>
              <w:left w:val="single" w:color="000000" w:sz="4" w:space="0"/>
              <w:bottom w:val="nil"/>
              <w:right w:val="single" w:color="000000" w:sz="4" w:space="0"/>
            </w:tcBorders>
            <w:shd w:val="clear" w:color="auto" w:fill="auto"/>
            <w:vAlign w:val="center"/>
          </w:tcPr>
          <w:p w14:paraId="64EBF224">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三级指标</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2E494">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指标性质</w:t>
            </w:r>
          </w:p>
        </w:tc>
        <w:tc>
          <w:tcPr>
            <w:tcW w:w="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E3E79">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指标值</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7DAD8">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度量单位</w:t>
            </w:r>
          </w:p>
        </w:tc>
        <w:tc>
          <w:tcPr>
            <w:tcW w:w="909" w:type="dxa"/>
            <w:tcBorders>
              <w:top w:val="single" w:color="000000" w:sz="4" w:space="0"/>
              <w:left w:val="single" w:color="000000" w:sz="4" w:space="0"/>
              <w:bottom w:val="nil"/>
              <w:right w:val="single" w:color="000000" w:sz="4" w:space="0"/>
            </w:tcBorders>
            <w:shd w:val="clear" w:color="auto" w:fill="auto"/>
            <w:vAlign w:val="center"/>
          </w:tcPr>
          <w:p w14:paraId="3AD7B65C">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完成值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E20B9">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权重</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C21DA">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得分</w:t>
            </w:r>
          </w:p>
        </w:tc>
        <w:tc>
          <w:tcPr>
            <w:tcW w:w="8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2FA9CD">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未完成原因分析</w:t>
            </w:r>
          </w:p>
        </w:tc>
      </w:tr>
      <w:tr w14:paraId="3EB4E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1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AF925F">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3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8E984A">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产出指标</w:t>
            </w:r>
          </w:p>
        </w:tc>
        <w:tc>
          <w:tcPr>
            <w:tcW w:w="7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D8F77D">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数量指标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B6AA6">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办理群众信访数</w:t>
            </w:r>
          </w:p>
        </w:tc>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A88C9">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C6016">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200</w:t>
            </w:r>
          </w:p>
        </w:tc>
        <w:tc>
          <w:tcPr>
            <w:tcW w:w="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9B11B">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件</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A271E">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DC8B1">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21606">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w:t>
            </w:r>
          </w:p>
        </w:tc>
        <w:tc>
          <w:tcPr>
            <w:tcW w:w="8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D325D5">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156E2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1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4B6588">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3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0546B1">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B76502">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23A04">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立案办理公益诉讼案件数</w:t>
            </w:r>
          </w:p>
        </w:tc>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F24CE">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B4B3C">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c>
          <w:tcPr>
            <w:tcW w:w="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E0B2A">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件</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3FEE3">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07505">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2431A">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w:t>
            </w:r>
          </w:p>
        </w:tc>
        <w:tc>
          <w:tcPr>
            <w:tcW w:w="8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9EBACB">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1A45A9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1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16334A">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3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1A3B12">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883A5A">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1067C">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办理公益诉讼请示案件数</w:t>
            </w:r>
          </w:p>
        </w:tc>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3C91E">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4BE1B">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c>
          <w:tcPr>
            <w:tcW w:w="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C4B76">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件</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E3508">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30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58DEE">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58856">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w:t>
            </w:r>
          </w:p>
        </w:tc>
        <w:tc>
          <w:tcPr>
            <w:tcW w:w="8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8A297C">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442ADD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1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AF39D8">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3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072C54">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60F978">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6846D">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开展社区矫正监督检察</w:t>
            </w:r>
          </w:p>
        </w:tc>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AE4B9">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DDAF7">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c>
          <w:tcPr>
            <w:tcW w:w="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34C85">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次</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E01D4">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80634">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5F8B7">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w:t>
            </w:r>
          </w:p>
        </w:tc>
        <w:tc>
          <w:tcPr>
            <w:tcW w:w="8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80A049">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4D430C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jc w:val="center"/>
        </w:trPr>
        <w:tc>
          <w:tcPr>
            <w:tcW w:w="1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E37BE1">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3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2B3A1F">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9922CB">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9E4B3">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对全市社区矫正检察工作进行督导</w:t>
            </w:r>
          </w:p>
        </w:tc>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85E83">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8B34C">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c>
          <w:tcPr>
            <w:tcW w:w="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8947D">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次</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D9397">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6</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F0202">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EC3BC">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w:t>
            </w:r>
          </w:p>
        </w:tc>
        <w:tc>
          <w:tcPr>
            <w:tcW w:w="8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D69218">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012344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jc w:val="center"/>
        </w:trPr>
        <w:tc>
          <w:tcPr>
            <w:tcW w:w="1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35A164">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3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472824">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A9907A">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7E59C">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办理扫黑除恶及其他普通、重大刑事犯罪案件一审公诉、审查逮捕案件</w:t>
            </w:r>
          </w:p>
        </w:tc>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C3C2C">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76E83">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w:t>
            </w:r>
          </w:p>
        </w:tc>
        <w:tc>
          <w:tcPr>
            <w:tcW w:w="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8A388">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件</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3A751">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36B2D">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D2019">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8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2CF707">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739DE0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1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60524F">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3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9B4665">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686DD9">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5122D">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办理组织</w:t>
            </w:r>
            <w:bookmarkStart w:id="101" w:name="_GoBack"/>
            <w:r>
              <w:rPr>
                <w:rFonts w:ascii="宋体" w:hAnsi="宋体" w:eastAsia="宋体" w:cs="宋体"/>
                <w:i w:val="0"/>
                <w:iCs w:val="0"/>
                <w:color w:val="000000"/>
                <w:kern w:val="0"/>
                <w:sz w:val="18"/>
                <w:szCs w:val="18"/>
                <w:u w:val="none"/>
                <w:lang w:val="en-US" w:eastAsia="zh-CN" w:bidi="ar"/>
              </w:rPr>
              <w:t>卖</w:t>
            </w:r>
            <w:bookmarkEnd w:id="101"/>
            <w:r>
              <w:rPr>
                <w:rFonts w:ascii="宋体" w:hAnsi="宋体" w:eastAsia="宋体" w:cs="宋体"/>
                <w:i w:val="0"/>
                <w:iCs w:val="0"/>
                <w:color w:val="000000"/>
                <w:kern w:val="0"/>
                <w:sz w:val="18"/>
                <w:szCs w:val="18"/>
                <w:u w:val="none"/>
                <w:lang w:val="en-US" w:eastAsia="zh-CN" w:bidi="ar"/>
              </w:rPr>
              <w:t>淫等各类影响社会治安案件</w:t>
            </w:r>
          </w:p>
        </w:tc>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0F0AA">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8D44B">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50</w:t>
            </w:r>
          </w:p>
        </w:tc>
        <w:tc>
          <w:tcPr>
            <w:tcW w:w="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99CEF">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件</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B5C79">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75</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6DDFC">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69F89">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8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D7B12A">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656948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1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30B96F">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3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3F064F">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0F78F9">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87765">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办理职务犯罪案件</w:t>
            </w:r>
          </w:p>
        </w:tc>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973E6">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7967B">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w:t>
            </w:r>
          </w:p>
        </w:tc>
        <w:tc>
          <w:tcPr>
            <w:tcW w:w="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80011">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件</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C8DD1">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3</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D064D">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4</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671ED">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4</w:t>
            </w:r>
          </w:p>
        </w:tc>
        <w:tc>
          <w:tcPr>
            <w:tcW w:w="8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4C9070">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5552FE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1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27C65D">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3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DF4D05">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04148A">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45490">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办理民事、行政等诉讼监督案件</w:t>
            </w:r>
          </w:p>
        </w:tc>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51129">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2BA19">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80</w:t>
            </w:r>
          </w:p>
        </w:tc>
        <w:tc>
          <w:tcPr>
            <w:tcW w:w="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C147B">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件</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43500">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92</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81ECC">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D07D4">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w:t>
            </w:r>
          </w:p>
        </w:tc>
        <w:tc>
          <w:tcPr>
            <w:tcW w:w="8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235CC9">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28B126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1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45004F">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3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C3F293">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DF7988">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55450">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刑事提出抗诉数</w:t>
            </w:r>
          </w:p>
        </w:tc>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A2802">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EE229">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w:t>
            </w:r>
          </w:p>
        </w:tc>
        <w:tc>
          <w:tcPr>
            <w:tcW w:w="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B4856">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件</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2167C">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8</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D3B55">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3F988">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w:t>
            </w:r>
          </w:p>
        </w:tc>
        <w:tc>
          <w:tcPr>
            <w:tcW w:w="8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8F3713">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0F0D8F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1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6E1F5C">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3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1B7D32">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51A3C9">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EF0CC">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办理</w:t>
            </w:r>
            <w:r>
              <w:rPr>
                <w:rFonts w:hint="eastAsia" w:ascii="宋体" w:hAnsi="宋体" w:eastAsia="宋体" w:cs="宋体"/>
                <w:i w:val="0"/>
                <w:iCs w:val="0"/>
                <w:color w:val="000000"/>
                <w:kern w:val="0"/>
                <w:sz w:val="18"/>
                <w:szCs w:val="18"/>
                <w:u w:val="none"/>
                <w:lang w:val="en-US" w:eastAsia="zh-CN" w:bidi="ar"/>
              </w:rPr>
              <w:t>其他</w:t>
            </w:r>
            <w:r>
              <w:rPr>
                <w:rFonts w:ascii="宋体" w:hAnsi="宋体" w:eastAsia="宋体" w:cs="宋体"/>
                <w:i w:val="0"/>
                <w:iCs w:val="0"/>
                <w:color w:val="000000"/>
                <w:kern w:val="0"/>
                <w:sz w:val="18"/>
                <w:szCs w:val="18"/>
                <w:u w:val="none"/>
                <w:lang w:val="en-US" w:eastAsia="zh-CN" w:bidi="ar"/>
              </w:rPr>
              <w:t>各类案件</w:t>
            </w:r>
          </w:p>
        </w:tc>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40C7D">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D87E3">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DF5D6">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件</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DC5AB">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105</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A97F7">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DAE50">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w:t>
            </w:r>
          </w:p>
        </w:tc>
        <w:tc>
          <w:tcPr>
            <w:tcW w:w="8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FFF153">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46B78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1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BF0747">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3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4C1441">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65E0C">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质量指标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CEE06">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无冤错案件发生</w:t>
            </w:r>
          </w:p>
        </w:tc>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AB0C5">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定性</w:t>
            </w:r>
          </w:p>
        </w:tc>
        <w:tc>
          <w:tcPr>
            <w:tcW w:w="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2FBFB">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AE332">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万元</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69A2C">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43507">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70560">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8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4FC49A">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06604E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1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F27CE1">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3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6D8692">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4F82D">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时效指标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9B189">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各办案部门在时效期内办理各类案件</w:t>
            </w:r>
          </w:p>
        </w:tc>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A8344">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定性</w:t>
            </w:r>
          </w:p>
        </w:tc>
        <w:tc>
          <w:tcPr>
            <w:tcW w:w="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81E34">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ED9AE">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万元</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0A9D2">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73A9D">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D9D58">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8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230383">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3A0D9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1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4FE1C8">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3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85FA22">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A3E78">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成本指标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443DC">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差旅费、办公费等支出</w:t>
            </w:r>
          </w:p>
        </w:tc>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1CDBF">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5CC92">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115.14</w:t>
            </w:r>
          </w:p>
        </w:tc>
        <w:tc>
          <w:tcPr>
            <w:tcW w:w="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C44C8">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万元</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079F8">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114.64</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949E3">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06BAC">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20</w:t>
            </w:r>
          </w:p>
        </w:tc>
        <w:tc>
          <w:tcPr>
            <w:tcW w:w="8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0F118C">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473C5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1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AEEB6B">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3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F74967">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效益指标</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8381F">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经济效益</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F733A">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追缴生态修复费用</w:t>
            </w:r>
          </w:p>
        </w:tc>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88392">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116EB">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694DB">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万元</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48F5C">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0.8</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FEA5B">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BCBEA">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w:t>
            </w:r>
          </w:p>
        </w:tc>
        <w:tc>
          <w:tcPr>
            <w:tcW w:w="8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ABC093">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1B4A7E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1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3384BB">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3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F90211">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9F890">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社会效益</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EE888">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促进法治公平，彰显司法正义</w:t>
            </w:r>
          </w:p>
        </w:tc>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EE833">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定性</w:t>
            </w:r>
          </w:p>
        </w:tc>
        <w:tc>
          <w:tcPr>
            <w:tcW w:w="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BA091">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3466E">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9BC51">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7CFD9">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7D669">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8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024F89">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4CC4B0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1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A2534C">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3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641832">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C33B2">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生态效益</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651F9">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环境和谐美好宜居，天更蓝水更绿山更青</w:t>
            </w:r>
          </w:p>
        </w:tc>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A62E6">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定性</w:t>
            </w:r>
          </w:p>
        </w:tc>
        <w:tc>
          <w:tcPr>
            <w:tcW w:w="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8E894">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74117">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D609B">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ED267">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EC6BD">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8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6D2A5C">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28DDE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1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9973E0">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3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32A105">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7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C7B757">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可持续影响</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222D3">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提升干警从检能力，提高办案质量</w:t>
            </w:r>
          </w:p>
        </w:tc>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84267">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定性</w:t>
            </w:r>
          </w:p>
        </w:tc>
        <w:tc>
          <w:tcPr>
            <w:tcW w:w="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BBEA2">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6CFDA">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36F08">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6CFAC">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3</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4BE7D">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3</w:t>
            </w:r>
          </w:p>
        </w:tc>
        <w:tc>
          <w:tcPr>
            <w:tcW w:w="8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72EF92">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4953E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1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2A0B61">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3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5F6414">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A1D820">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DCB41">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打击违法犯罪，实现社会长治久安</w:t>
            </w:r>
          </w:p>
        </w:tc>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2FE6F">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定性</w:t>
            </w:r>
          </w:p>
        </w:tc>
        <w:tc>
          <w:tcPr>
            <w:tcW w:w="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0B52D">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5AC4B">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7E005">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ADF4C">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ACB7F">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8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D4691E">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1253EA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1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83C05B">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3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2E5F0B">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满意度指标</w:t>
            </w:r>
          </w:p>
        </w:tc>
        <w:tc>
          <w:tcPr>
            <w:tcW w:w="7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213BC7">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服务对象满意度</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F8D41">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案件当事人满意度</w:t>
            </w:r>
          </w:p>
        </w:tc>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76D9B">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5CD7E">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90</w:t>
            </w:r>
          </w:p>
        </w:tc>
        <w:tc>
          <w:tcPr>
            <w:tcW w:w="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0FFF5">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787CA">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54606">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AF1D9">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8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724D85">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7BB2D7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1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F10E25">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3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4B0294">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735187">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5B870">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干警满意度</w:t>
            </w:r>
          </w:p>
        </w:tc>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94BC4">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5A9F7">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95</w:t>
            </w:r>
          </w:p>
        </w:tc>
        <w:tc>
          <w:tcPr>
            <w:tcW w:w="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FFBD2">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33082">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95</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61D63">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8D5ED">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8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855692">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1BE16F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 w:type="dxa"/>
          <w:trHeight w:val="286" w:hRule="atLeast"/>
          <w:jc w:val="center"/>
        </w:trPr>
        <w:tc>
          <w:tcPr>
            <w:tcW w:w="727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2C662BE">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合计</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6709D">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9C243">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99</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276DC">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30FEAF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 w:type="dxa"/>
          <w:trHeight w:val="603" w:hRule="atLeast"/>
          <w:jc w:val="center"/>
        </w:trPr>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D43CF">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评价结论</w:t>
            </w:r>
          </w:p>
        </w:tc>
        <w:tc>
          <w:tcPr>
            <w:tcW w:w="801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2E00D21">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办案工作质效达标，常态化</w:t>
            </w:r>
            <w:r>
              <w:rPr>
                <w:rFonts w:hint="eastAsia" w:ascii="宋体" w:hAnsi="宋体" w:eastAsia="宋体" w:cs="宋体"/>
                <w:i w:val="0"/>
                <w:iCs w:val="0"/>
                <w:color w:val="000000"/>
                <w:kern w:val="0"/>
                <w:sz w:val="18"/>
                <w:szCs w:val="18"/>
                <w:u w:val="none"/>
                <w:lang w:val="en-US" w:eastAsia="zh-CN" w:bidi="ar"/>
              </w:rPr>
              <w:t>开展</w:t>
            </w:r>
            <w:r>
              <w:rPr>
                <w:rFonts w:ascii="宋体" w:hAnsi="宋体" w:eastAsia="宋体" w:cs="宋体"/>
                <w:i w:val="0"/>
                <w:iCs w:val="0"/>
                <w:color w:val="000000"/>
                <w:kern w:val="0"/>
                <w:sz w:val="18"/>
                <w:szCs w:val="18"/>
                <w:u w:val="none"/>
                <w:lang w:val="en-US" w:eastAsia="zh-CN" w:bidi="ar"/>
              </w:rPr>
              <w:t>扫黑除恶成效稳固，有效维护社会公平正义，充分彰显检察司法职能，圆满完成年度各项工作任务。</w:t>
            </w:r>
          </w:p>
        </w:tc>
      </w:tr>
      <w:tr w14:paraId="16B4D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 w:type="dxa"/>
          <w:trHeight w:val="572" w:hRule="atLeast"/>
          <w:jc w:val="center"/>
        </w:trPr>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7B2E3">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存在问题</w:t>
            </w:r>
          </w:p>
        </w:tc>
        <w:tc>
          <w:tcPr>
            <w:tcW w:w="801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429DE16">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复杂疑难案件攻坚能力仍需加强，源头预防治理、以案促改工作深度不足。</w:t>
            </w:r>
          </w:p>
        </w:tc>
      </w:tr>
      <w:tr w14:paraId="16B630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 w:type="dxa"/>
          <w:trHeight w:val="633" w:hRule="atLeast"/>
          <w:jc w:val="center"/>
        </w:trPr>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D8B22">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改进措施</w:t>
            </w:r>
          </w:p>
        </w:tc>
        <w:tc>
          <w:tcPr>
            <w:tcW w:w="801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EE28037">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强化疑难案件专业研讨与业务培训，健全办案溯源治理长效机制，持续提升综合办案水平。</w:t>
            </w:r>
          </w:p>
        </w:tc>
      </w:tr>
      <w:tr w14:paraId="24A7F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 w:type="dxa"/>
          <w:trHeight w:val="286" w:hRule="atLeast"/>
          <w:jc w:val="center"/>
        </w:trPr>
        <w:tc>
          <w:tcPr>
            <w:tcW w:w="503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8BDC6CC">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项目负责人：</w:t>
            </w:r>
          </w:p>
        </w:tc>
        <w:tc>
          <w:tcPr>
            <w:tcW w:w="402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303FDA8">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both"/>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财务负责人：</w:t>
            </w:r>
          </w:p>
        </w:tc>
      </w:tr>
    </w:tbl>
    <w:p w14:paraId="3F89E690">
      <w:pPr>
        <w:pStyle w:val="2"/>
        <w:rPr>
          <w:rFonts w:hint="default" w:ascii="Times New Roman" w:hAnsi="Times New Roman" w:eastAsia="黑体"/>
          <w:b/>
          <w:bCs/>
          <w:color w:val="auto"/>
          <w:sz w:val="44"/>
          <w:szCs w:val="44"/>
          <w:highlight w:val="none"/>
          <w:lang w:val="en-US"/>
        </w:rPr>
        <w:sectPr>
          <w:pgSz w:w="11906" w:h="16838"/>
          <w:pgMar w:top="2098" w:right="1531" w:bottom="1984" w:left="1531" w:header="851" w:footer="992" w:gutter="0"/>
          <w:pgNumType w:fmt="decimal"/>
          <w:cols w:space="425" w:num="1"/>
          <w:docGrid w:type="lines" w:linePitch="312" w:charSpace="0"/>
        </w:sectPr>
      </w:pPr>
    </w:p>
    <w:p w14:paraId="7948BF9D">
      <w:pPr>
        <w:pStyle w:val="2"/>
        <w:rPr>
          <w:rFonts w:hint="default" w:ascii="Times New Roman" w:hAnsi="Times New Roman" w:eastAsia="黑体"/>
          <w:b/>
          <w:bCs/>
          <w:color w:val="auto"/>
          <w:sz w:val="44"/>
          <w:szCs w:val="44"/>
          <w:highlight w:val="none"/>
          <w:lang w:val="en-US"/>
        </w:rPr>
        <w:sectPr>
          <w:pgSz w:w="11906" w:h="16838"/>
          <w:pgMar w:top="2098" w:right="1531" w:bottom="1984" w:left="1531" w:header="851" w:footer="992" w:gutter="0"/>
          <w:pgNumType w:fmt="decimal"/>
          <w:cols w:space="425" w:num="1"/>
          <w:docGrid w:type="lines" w:linePitch="312" w:charSpace="0"/>
        </w:sectPr>
      </w:pPr>
    </w:p>
    <w:tbl>
      <w:tblPr>
        <w:tblStyle w:val="16"/>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61"/>
        <w:gridCol w:w="1035"/>
        <w:gridCol w:w="655"/>
        <w:gridCol w:w="1343"/>
        <w:gridCol w:w="588"/>
        <w:gridCol w:w="586"/>
        <w:gridCol w:w="648"/>
        <w:gridCol w:w="939"/>
        <w:gridCol w:w="493"/>
        <w:gridCol w:w="486"/>
        <w:gridCol w:w="1326"/>
      </w:tblGrid>
      <w:tr w14:paraId="69DA9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jc w:val="center"/>
        </w:trPr>
        <w:tc>
          <w:tcPr>
            <w:tcW w:w="906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FE9E79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5E6D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19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B334C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项目名称</w:t>
            </w:r>
          </w:p>
        </w:tc>
        <w:tc>
          <w:tcPr>
            <w:tcW w:w="70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6FC112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特情经费（涉密）</w:t>
            </w:r>
          </w:p>
        </w:tc>
      </w:tr>
      <w:tr w14:paraId="7C244F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jc w:val="center"/>
        </w:trPr>
        <w:tc>
          <w:tcPr>
            <w:tcW w:w="19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8829B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主管部门</w:t>
            </w:r>
          </w:p>
        </w:tc>
        <w:tc>
          <w:tcPr>
            <w:tcW w:w="38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3BAC34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四川省巴中市人民检察院</w:t>
            </w:r>
          </w:p>
        </w:tc>
        <w:tc>
          <w:tcPr>
            <w:tcW w:w="939" w:type="dxa"/>
            <w:tcBorders>
              <w:top w:val="nil"/>
              <w:left w:val="nil"/>
              <w:bottom w:val="nil"/>
              <w:right w:val="nil"/>
            </w:tcBorders>
            <w:shd w:val="clear" w:color="auto" w:fill="auto"/>
            <w:vAlign w:val="center"/>
          </w:tcPr>
          <w:p w14:paraId="55D69C4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实施单位 （盖章）</w:t>
            </w:r>
          </w:p>
        </w:tc>
        <w:tc>
          <w:tcPr>
            <w:tcW w:w="230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03463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四川省巴中市人民检察院</w:t>
            </w:r>
          </w:p>
        </w:tc>
      </w:tr>
      <w:tr w14:paraId="61990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9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033C0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项目基本情况</w:t>
            </w: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58379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1.项目年度目标完成情况</w:t>
            </w:r>
          </w:p>
        </w:tc>
        <w:tc>
          <w:tcPr>
            <w:tcW w:w="38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D836BB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项目年度目标</w:t>
            </w:r>
          </w:p>
        </w:tc>
        <w:tc>
          <w:tcPr>
            <w:tcW w:w="32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F8022B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年度目标完成情况</w:t>
            </w:r>
          </w:p>
        </w:tc>
      </w:tr>
      <w:tr w14:paraId="3C5F35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jc w:val="center"/>
        </w:trPr>
        <w:tc>
          <w:tcPr>
            <w:tcW w:w="9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99695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B9F13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38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AAC52F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开展司法工作人员相关职务犯罪线索收集、初核、调查核实、立案侦查。提高侦破案件效率，加强社会治安综合治理。</w:t>
            </w:r>
          </w:p>
        </w:tc>
        <w:tc>
          <w:tcPr>
            <w:tcW w:w="32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DDBABD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圆满完成线索核查、案件侦查年度任务，办案效率提升，助力综治工作，有效助力社会治安综合治理。</w:t>
            </w:r>
          </w:p>
        </w:tc>
      </w:tr>
      <w:tr w14:paraId="73106E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jc w:val="center"/>
        </w:trPr>
        <w:tc>
          <w:tcPr>
            <w:tcW w:w="9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31FBB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5EA7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2.项目实施内容及过程概述</w:t>
            </w:r>
          </w:p>
        </w:tc>
        <w:tc>
          <w:tcPr>
            <w:tcW w:w="70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66CF0D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多渠道排查案件线索，规范完成线索初核、调查取证、立案侦查全流程工作，优化办案流程，提升侦破效率，强化司法履职监督。</w:t>
            </w:r>
          </w:p>
        </w:tc>
      </w:tr>
      <w:tr w14:paraId="0E6F5F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9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F196D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预算执行情况（10分）</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4C92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年度预算数（万元）</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53E0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年初预算</w:t>
            </w:r>
          </w:p>
        </w:tc>
        <w:tc>
          <w:tcPr>
            <w:tcW w:w="1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8D32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调整后预算数</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9A4EF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预算执行数</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766D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预算执行率</w:t>
            </w:r>
          </w:p>
        </w:tc>
        <w:tc>
          <w:tcPr>
            <w:tcW w:w="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E0C4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CF38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得分</w:t>
            </w:r>
          </w:p>
        </w:tc>
        <w:tc>
          <w:tcPr>
            <w:tcW w:w="13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C084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原因</w:t>
            </w:r>
          </w:p>
        </w:tc>
      </w:tr>
      <w:tr w14:paraId="6AE82F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jc w:val="center"/>
        </w:trPr>
        <w:tc>
          <w:tcPr>
            <w:tcW w:w="9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F425A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97A5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总额</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7B96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5.00</w:t>
            </w:r>
          </w:p>
        </w:tc>
        <w:tc>
          <w:tcPr>
            <w:tcW w:w="1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9FB4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2.00</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FFD6C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2.00</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C474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100.00%</w:t>
            </w:r>
          </w:p>
        </w:tc>
        <w:tc>
          <w:tcPr>
            <w:tcW w:w="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464A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E2D1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13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2E32C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因年度工作计划变更，经费需求减少，故进行预算调减。</w:t>
            </w:r>
          </w:p>
        </w:tc>
      </w:tr>
      <w:tr w14:paraId="6CF5D6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jc w:val="center"/>
        </w:trPr>
        <w:tc>
          <w:tcPr>
            <w:tcW w:w="9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25F20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DA73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其中：财政资金</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DCED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5.00</w:t>
            </w:r>
          </w:p>
        </w:tc>
        <w:tc>
          <w:tcPr>
            <w:tcW w:w="1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63BF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2.00</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484CD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2.00</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9E7A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0.00%</w:t>
            </w:r>
          </w:p>
        </w:tc>
        <w:tc>
          <w:tcPr>
            <w:tcW w:w="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2E77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4FCA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13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2225A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宋体" w:hAnsi="宋体" w:eastAsia="宋体" w:cs="宋体"/>
                <w:i w:val="0"/>
                <w:iCs w:val="0"/>
                <w:color w:val="000000"/>
                <w:kern w:val="0"/>
                <w:sz w:val="18"/>
                <w:szCs w:val="18"/>
                <w:u w:val="none"/>
                <w:lang w:val="en-US" w:eastAsia="zh-CN" w:bidi="ar"/>
              </w:rPr>
            </w:pPr>
          </w:p>
        </w:tc>
      </w:tr>
      <w:tr w14:paraId="11F6B7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9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1AA46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578D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财政专户管理资金</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367C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0.00</w:t>
            </w:r>
          </w:p>
        </w:tc>
        <w:tc>
          <w:tcPr>
            <w:tcW w:w="1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A9E8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7F009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1697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0.00%</w:t>
            </w:r>
          </w:p>
        </w:tc>
        <w:tc>
          <w:tcPr>
            <w:tcW w:w="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E74D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969E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13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BBAA5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宋体" w:hAnsi="宋体" w:eastAsia="宋体" w:cs="宋体"/>
                <w:i w:val="0"/>
                <w:iCs w:val="0"/>
                <w:color w:val="000000"/>
                <w:kern w:val="0"/>
                <w:sz w:val="18"/>
                <w:szCs w:val="18"/>
                <w:u w:val="none"/>
                <w:lang w:val="en-US" w:eastAsia="zh-CN" w:bidi="ar"/>
              </w:rPr>
            </w:pPr>
          </w:p>
        </w:tc>
      </w:tr>
      <w:tr w14:paraId="771CD3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9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2FFFC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F817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单位资金</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D53F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0.00</w:t>
            </w:r>
          </w:p>
        </w:tc>
        <w:tc>
          <w:tcPr>
            <w:tcW w:w="1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61A3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7B0C4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F061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0.00%</w:t>
            </w:r>
          </w:p>
        </w:tc>
        <w:tc>
          <w:tcPr>
            <w:tcW w:w="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F53B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1C00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13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DB37A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宋体" w:hAnsi="宋体" w:eastAsia="宋体" w:cs="宋体"/>
                <w:i w:val="0"/>
                <w:iCs w:val="0"/>
                <w:color w:val="000000"/>
                <w:kern w:val="0"/>
                <w:sz w:val="18"/>
                <w:szCs w:val="18"/>
                <w:u w:val="none"/>
                <w:lang w:val="en-US" w:eastAsia="zh-CN" w:bidi="ar"/>
              </w:rPr>
            </w:pPr>
          </w:p>
        </w:tc>
      </w:tr>
      <w:tr w14:paraId="5B75A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9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56701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4590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其他资金</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8EF5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CF87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282DE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61DA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EC6F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D52E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13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4885F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宋体" w:hAnsi="宋体" w:eastAsia="宋体" w:cs="宋体"/>
                <w:i w:val="0"/>
                <w:iCs w:val="0"/>
                <w:color w:val="000000"/>
                <w:kern w:val="0"/>
                <w:sz w:val="18"/>
                <w:szCs w:val="18"/>
                <w:u w:val="none"/>
                <w:lang w:val="en-US" w:eastAsia="zh-CN" w:bidi="ar"/>
              </w:rPr>
            </w:pPr>
          </w:p>
        </w:tc>
      </w:tr>
      <w:tr w14:paraId="0FFE8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9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37F2B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绩效指标（90分）</w:t>
            </w:r>
          </w:p>
        </w:tc>
        <w:tc>
          <w:tcPr>
            <w:tcW w:w="1035" w:type="dxa"/>
            <w:tcBorders>
              <w:top w:val="single" w:color="000000" w:sz="4" w:space="0"/>
              <w:left w:val="single" w:color="000000" w:sz="4" w:space="0"/>
              <w:bottom w:val="nil"/>
              <w:right w:val="single" w:color="000000" w:sz="4" w:space="0"/>
            </w:tcBorders>
            <w:shd w:val="clear" w:color="auto" w:fill="auto"/>
            <w:vAlign w:val="center"/>
          </w:tcPr>
          <w:p w14:paraId="780D2B0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一级指标</w:t>
            </w:r>
          </w:p>
        </w:tc>
        <w:tc>
          <w:tcPr>
            <w:tcW w:w="655" w:type="dxa"/>
            <w:tcBorders>
              <w:top w:val="single" w:color="000000" w:sz="4" w:space="0"/>
              <w:left w:val="single" w:color="000000" w:sz="4" w:space="0"/>
              <w:bottom w:val="nil"/>
              <w:right w:val="single" w:color="000000" w:sz="4" w:space="0"/>
            </w:tcBorders>
            <w:shd w:val="clear" w:color="auto" w:fill="auto"/>
            <w:vAlign w:val="center"/>
          </w:tcPr>
          <w:p w14:paraId="6D2C0DB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二级指标</w:t>
            </w:r>
          </w:p>
        </w:tc>
        <w:tc>
          <w:tcPr>
            <w:tcW w:w="1343" w:type="dxa"/>
            <w:tcBorders>
              <w:top w:val="single" w:color="000000" w:sz="4" w:space="0"/>
              <w:left w:val="single" w:color="000000" w:sz="4" w:space="0"/>
              <w:bottom w:val="nil"/>
              <w:right w:val="single" w:color="000000" w:sz="4" w:space="0"/>
            </w:tcBorders>
            <w:shd w:val="clear" w:color="auto" w:fill="auto"/>
            <w:vAlign w:val="center"/>
          </w:tcPr>
          <w:p w14:paraId="6612F20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三级指标</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CA19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指标性质</w:t>
            </w: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7D16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指标值</w:t>
            </w:r>
          </w:p>
        </w:tc>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6EE7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度量单位</w:t>
            </w:r>
          </w:p>
        </w:tc>
        <w:tc>
          <w:tcPr>
            <w:tcW w:w="939" w:type="dxa"/>
            <w:tcBorders>
              <w:top w:val="single" w:color="000000" w:sz="4" w:space="0"/>
              <w:left w:val="single" w:color="000000" w:sz="4" w:space="0"/>
              <w:bottom w:val="nil"/>
              <w:right w:val="single" w:color="000000" w:sz="4" w:space="0"/>
            </w:tcBorders>
            <w:shd w:val="clear" w:color="auto" w:fill="auto"/>
            <w:vAlign w:val="center"/>
          </w:tcPr>
          <w:p w14:paraId="54CB5A7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完成值</w:t>
            </w:r>
          </w:p>
        </w:tc>
        <w:tc>
          <w:tcPr>
            <w:tcW w:w="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C6AF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6D42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得分</w:t>
            </w:r>
          </w:p>
        </w:tc>
        <w:tc>
          <w:tcPr>
            <w:tcW w:w="13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A4D2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未完成原因分析</w:t>
            </w:r>
          </w:p>
        </w:tc>
      </w:tr>
      <w:tr w14:paraId="4BCFC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9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5ACC2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1BBC0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产出指标</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AFD9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数量指标</w:t>
            </w:r>
          </w:p>
        </w:tc>
        <w:tc>
          <w:tcPr>
            <w:tcW w:w="1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AFAE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获取情报数量</w:t>
            </w:r>
          </w:p>
        </w:tc>
        <w:tc>
          <w:tcPr>
            <w:tcW w:w="588" w:type="dxa"/>
            <w:tcBorders>
              <w:top w:val="single" w:color="000000" w:sz="4" w:space="0"/>
              <w:left w:val="nil"/>
              <w:bottom w:val="single" w:color="000000" w:sz="4" w:space="0"/>
              <w:right w:val="single" w:color="000000" w:sz="4" w:space="0"/>
            </w:tcBorders>
            <w:shd w:val="clear" w:color="auto" w:fill="auto"/>
            <w:vAlign w:val="center"/>
          </w:tcPr>
          <w:p w14:paraId="0759E78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AE4D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376D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条</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720D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7</w:t>
            </w:r>
          </w:p>
        </w:tc>
        <w:tc>
          <w:tcPr>
            <w:tcW w:w="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C10A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5A86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13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8DE6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131104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9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6F796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C1BEB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8767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质量指标</w:t>
            </w:r>
          </w:p>
        </w:tc>
        <w:tc>
          <w:tcPr>
            <w:tcW w:w="1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C8D9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圆满完成各项办案任务</w:t>
            </w:r>
          </w:p>
        </w:tc>
        <w:tc>
          <w:tcPr>
            <w:tcW w:w="588" w:type="dxa"/>
            <w:tcBorders>
              <w:top w:val="single" w:color="000000" w:sz="4" w:space="0"/>
              <w:left w:val="nil"/>
              <w:bottom w:val="single" w:color="000000" w:sz="4" w:space="0"/>
              <w:right w:val="single" w:color="000000" w:sz="4" w:space="0"/>
            </w:tcBorders>
            <w:shd w:val="clear" w:color="auto" w:fill="auto"/>
            <w:vAlign w:val="center"/>
          </w:tcPr>
          <w:p w14:paraId="6705BED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定性</w:t>
            </w: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67BF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663E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68F4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D4F7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DC08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13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89B4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4B3FD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9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E3382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30FD0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6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41B8E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时效指标</w:t>
            </w:r>
          </w:p>
        </w:tc>
        <w:tc>
          <w:tcPr>
            <w:tcW w:w="1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1449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特情经费发放及时性</w:t>
            </w:r>
          </w:p>
        </w:tc>
        <w:tc>
          <w:tcPr>
            <w:tcW w:w="588" w:type="dxa"/>
            <w:tcBorders>
              <w:top w:val="single" w:color="000000" w:sz="4" w:space="0"/>
              <w:left w:val="nil"/>
              <w:bottom w:val="single" w:color="000000" w:sz="4" w:space="0"/>
              <w:right w:val="single" w:color="000000" w:sz="4" w:space="0"/>
            </w:tcBorders>
            <w:shd w:val="clear" w:color="auto" w:fill="auto"/>
            <w:vAlign w:val="center"/>
          </w:tcPr>
          <w:p w14:paraId="30179B5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定性</w:t>
            </w: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8EE8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EF7D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255E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3F01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4EE2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13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F732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573BC2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9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0C617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3F240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6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AEEE6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DEAB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2025年度前完成目标任务</w:t>
            </w:r>
          </w:p>
        </w:tc>
        <w:tc>
          <w:tcPr>
            <w:tcW w:w="588" w:type="dxa"/>
            <w:tcBorders>
              <w:top w:val="single" w:color="000000" w:sz="4" w:space="0"/>
              <w:left w:val="nil"/>
              <w:bottom w:val="single" w:color="000000" w:sz="4" w:space="0"/>
              <w:right w:val="single" w:color="000000" w:sz="4" w:space="0"/>
            </w:tcBorders>
            <w:shd w:val="clear" w:color="auto" w:fill="auto"/>
            <w:vAlign w:val="center"/>
          </w:tcPr>
          <w:p w14:paraId="1EC599E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定性</w:t>
            </w: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C676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A77E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49AC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FFF5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C285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13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D7B6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5E52B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9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E8664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894AD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1CA8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成本指标</w:t>
            </w:r>
          </w:p>
        </w:tc>
        <w:tc>
          <w:tcPr>
            <w:tcW w:w="1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FD8A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执行特殊勤务必要开支</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7C23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2382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8D5B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万元</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9642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w:t>
            </w:r>
          </w:p>
        </w:tc>
        <w:tc>
          <w:tcPr>
            <w:tcW w:w="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2032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7B02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20</w:t>
            </w:r>
          </w:p>
        </w:tc>
        <w:tc>
          <w:tcPr>
            <w:tcW w:w="13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9D72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6EB1D5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9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F4CFF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5216D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效益指标</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0CD4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社会效益</w:t>
            </w:r>
          </w:p>
        </w:tc>
        <w:tc>
          <w:tcPr>
            <w:tcW w:w="1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9A61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打击违法犯罪、维护社会稳定</w:t>
            </w:r>
          </w:p>
        </w:tc>
        <w:tc>
          <w:tcPr>
            <w:tcW w:w="588" w:type="dxa"/>
            <w:tcBorders>
              <w:top w:val="single" w:color="000000" w:sz="4" w:space="0"/>
              <w:left w:val="nil"/>
              <w:bottom w:val="single" w:color="000000" w:sz="4" w:space="0"/>
              <w:right w:val="single" w:color="000000" w:sz="4" w:space="0"/>
            </w:tcBorders>
            <w:shd w:val="clear" w:color="auto" w:fill="auto"/>
            <w:vAlign w:val="center"/>
          </w:tcPr>
          <w:p w14:paraId="05DC20A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定性</w:t>
            </w: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838E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40BE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43FB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0880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4AAC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13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CCE3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59F81E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9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F7482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109C6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6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C6D5C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可持续影响</w:t>
            </w:r>
          </w:p>
        </w:tc>
        <w:tc>
          <w:tcPr>
            <w:tcW w:w="1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5F1A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侦破案件效率进一步提高</w:t>
            </w:r>
          </w:p>
        </w:tc>
        <w:tc>
          <w:tcPr>
            <w:tcW w:w="588" w:type="dxa"/>
            <w:tcBorders>
              <w:top w:val="single" w:color="000000" w:sz="4" w:space="0"/>
              <w:left w:val="nil"/>
              <w:bottom w:val="single" w:color="000000" w:sz="4" w:space="0"/>
              <w:right w:val="single" w:color="000000" w:sz="4" w:space="0"/>
            </w:tcBorders>
            <w:shd w:val="clear" w:color="auto" w:fill="auto"/>
            <w:vAlign w:val="center"/>
          </w:tcPr>
          <w:p w14:paraId="0724467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FC4A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90</w:t>
            </w:r>
          </w:p>
        </w:tc>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9663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D28F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90</w:t>
            </w:r>
          </w:p>
        </w:tc>
        <w:tc>
          <w:tcPr>
            <w:tcW w:w="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BE93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6BB5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13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6954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19E188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9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DA95B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3BBB1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6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0167D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9AA9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社会治安综合治理进一步加强</w:t>
            </w:r>
          </w:p>
        </w:tc>
        <w:tc>
          <w:tcPr>
            <w:tcW w:w="588" w:type="dxa"/>
            <w:tcBorders>
              <w:top w:val="single" w:color="000000" w:sz="4" w:space="0"/>
              <w:left w:val="nil"/>
              <w:bottom w:val="single" w:color="000000" w:sz="4" w:space="0"/>
              <w:right w:val="single" w:color="000000" w:sz="4" w:space="0"/>
            </w:tcBorders>
            <w:shd w:val="clear" w:color="auto" w:fill="auto"/>
            <w:vAlign w:val="center"/>
          </w:tcPr>
          <w:p w14:paraId="2446E21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定性</w:t>
            </w: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FDF5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5676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D0DF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6F95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E5B9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13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7430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0C04AE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9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E1CAD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CB0B7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满意度指标</w:t>
            </w:r>
          </w:p>
        </w:tc>
        <w:tc>
          <w:tcPr>
            <w:tcW w:w="6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55CB9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服务对象满意度</w:t>
            </w:r>
          </w:p>
        </w:tc>
        <w:tc>
          <w:tcPr>
            <w:tcW w:w="1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C915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办案人员满意度</w:t>
            </w:r>
          </w:p>
        </w:tc>
        <w:tc>
          <w:tcPr>
            <w:tcW w:w="588" w:type="dxa"/>
            <w:tcBorders>
              <w:top w:val="single" w:color="000000" w:sz="4" w:space="0"/>
              <w:left w:val="nil"/>
              <w:bottom w:val="single" w:color="000000" w:sz="4" w:space="0"/>
              <w:right w:val="single" w:color="000000" w:sz="4" w:space="0"/>
            </w:tcBorders>
            <w:shd w:val="clear" w:color="auto" w:fill="auto"/>
            <w:vAlign w:val="center"/>
          </w:tcPr>
          <w:p w14:paraId="33A1872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D239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90</w:t>
            </w:r>
          </w:p>
        </w:tc>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D16D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3ADD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90</w:t>
            </w:r>
          </w:p>
        </w:tc>
        <w:tc>
          <w:tcPr>
            <w:tcW w:w="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B04B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ECB9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13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BB5B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53C2F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9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4E49E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1E92C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6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2A61A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c>
          <w:tcPr>
            <w:tcW w:w="1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5052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特情人员满意度</w:t>
            </w:r>
          </w:p>
        </w:tc>
        <w:tc>
          <w:tcPr>
            <w:tcW w:w="588" w:type="dxa"/>
            <w:tcBorders>
              <w:top w:val="single" w:color="000000" w:sz="4" w:space="0"/>
              <w:left w:val="nil"/>
              <w:bottom w:val="single" w:color="000000" w:sz="4" w:space="0"/>
              <w:right w:val="single" w:color="000000" w:sz="4" w:space="0"/>
            </w:tcBorders>
            <w:shd w:val="clear" w:color="auto" w:fill="auto"/>
            <w:vAlign w:val="center"/>
          </w:tcPr>
          <w:p w14:paraId="20584AE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625A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90</w:t>
            </w:r>
          </w:p>
        </w:tc>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6534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C200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90</w:t>
            </w:r>
          </w:p>
        </w:tc>
        <w:tc>
          <w:tcPr>
            <w:tcW w:w="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40C4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F852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13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47D6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49C425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675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8DD935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合计</w:t>
            </w:r>
          </w:p>
        </w:tc>
        <w:tc>
          <w:tcPr>
            <w:tcW w:w="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4C31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E45C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13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D165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6491B6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jc w:val="center"/>
        </w:trPr>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89BE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评价结论</w:t>
            </w:r>
          </w:p>
        </w:tc>
        <w:tc>
          <w:tcPr>
            <w:tcW w:w="809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AFB70C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全面完成年度项目目标，司法工作人员职务犯罪侦查工作规范有序，案件办理质效良好，有效维护司法公正与社会治安稳定。</w:t>
            </w:r>
          </w:p>
        </w:tc>
      </w:tr>
      <w:tr w14:paraId="6CA1A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jc w:val="center"/>
        </w:trPr>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3502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存在问题</w:t>
            </w:r>
          </w:p>
        </w:tc>
        <w:tc>
          <w:tcPr>
            <w:tcW w:w="809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351E91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部分案件侦查周期偏长，办案流程衔接效率需进一步提高。</w:t>
            </w:r>
          </w:p>
        </w:tc>
      </w:tr>
      <w:tr w14:paraId="6C9519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jc w:val="center"/>
        </w:trPr>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2309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改进措施</w:t>
            </w:r>
          </w:p>
        </w:tc>
        <w:tc>
          <w:tcPr>
            <w:tcW w:w="809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AD8CF2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优化案件侦查流程，细化办案节点管理，压缩办案周期，提升办案效率。</w:t>
            </w:r>
          </w:p>
        </w:tc>
      </w:tr>
      <w:tr w14:paraId="57E1A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458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65F7CB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项目负责人：</w:t>
            </w:r>
          </w:p>
        </w:tc>
        <w:tc>
          <w:tcPr>
            <w:tcW w:w="447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DF419D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财务负责人：</w:t>
            </w:r>
          </w:p>
        </w:tc>
      </w:tr>
    </w:tbl>
    <w:p w14:paraId="6CE0EA12">
      <w:pPr>
        <w:pStyle w:val="2"/>
        <w:rPr>
          <w:rFonts w:hint="default" w:ascii="Times New Roman" w:hAnsi="Times New Roman" w:eastAsia="黑体"/>
          <w:b/>
          <w:bCs/>
          <w:color w:val="auto"/>
          <w:sz w:val="44"/>
          <w:szCs w:val="44"/>
          <w:highlight w:val="none"/>
          <w:lang w:val="en-US"/>
        </w:rPr>
        <w:sectPr>
          <w:pgSz w:w="11906" w:h="16838"/>
          <w:pgMar w:top="2098" w:right="1531" w:bottom="1984" w:left="1531" w:header="851" w:footer="992" w:gutter="0"/>
          <w:pgNumType w:fmt="decimal"/>
          <w:cols w:space="425" w:num="1"/>
          <w:docGrid w:type="lines" w:linePitch="312" w:charSpace="0"/>
        </w:sectPr>
      </w:pPr>
    </w:p>
    <w:p w14:paraId="74A36CE4">
      <w:pPr>
        <w:pStyle w:val="3"/>
        <w:bidi w:val="0"/>
        <w:rPr>
          <w:rFonts w:hint="eastAsia" w:ascii="Times New Roman" w:hAnsi="Times New Roman"/>
          <w:b w:val="0"/>
          <w:bCs w:val="0"/>
        </w:rPr>
      </w:pPr>
      <w:bookmarkStart w:id="87" w:name="_Toc1991201521"/>
      <w:r>
        <w:rPr>
          <w:rFonts w:hint="eastAsia" w:ascii="Times New Roman" w:hAnsi="Times New Roman"/>
          <w:b w:val="0"/>
          <w:bCs w:val="0"/>
        </w:rPr>
        <w:t>第五部分 附表</w:t>
      </w:r>
      <w:bookmarkEnd w:id="82"/>
      <w:bookmarkEnd w:id="86"/>
      <w:bookmarkEnd w:id="87"/>
      <w:bookmarkStart w:id="88" w:name="_Toc15396619"/>
    </w:p>
    <w:p w14:paraId="44A7EDAB">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b w:val="0"/>
          <w:bCs w:val="0"/>
          <w:color w:val="auto"/>
          <w:sz w:val="32"/>
          <w:szCs w:val="32"/>
          <w:highlight w:val="none"/>
        </w:rPr>
      </w:pPr>
    </w:p>
    <w:p w14:paraId="40385C49">
      <w:pPr>
        <w:bidi w:val="0"/>
        <w:rPr>
          <w:rFonts w:hint="eastAsia" w:ascii="Times New Roman" w:hAnsi="Times New Roman" w:cs="Times New Roman"/>
          <w:lang w:eastAsia="zh-CN"/>
        </w:rPr>
      </w:pPr>
      <w:r>
        <w:rPr>
          <w:rFonts w:hint="eastAsia" w:ascii="Times New Roman" w:hAnsi="Times New Roman" w:cs="Times New Roman"/>
          <w:lang w:eastAsia="zh-CN"/>
        </w:rPr>
        <w:t>一、收入支出决算总表</w:t>
      </w:r>
      <w:bookmarkEnd w:id="88"/>
    </w:p>
    <w:p w14:paraId="49EA1794">
      <w:pPr>
        <w:bidi w:val="0"/>
        <w:rPr>
          <w:rFonts w:hint="eastAsia" w:ascii="Times New Roman" w:hAnsi="Times New Roman" w:cs="Times New Roman"/>
          <w:lang w:eastAsia="zh-CN"/>
        </w:rPr>
      </w:pPr>
      <w:bookmarkStart w:id="89" w:name="_Toc15396620"/>
      <w:r>
        <w:rPr>
          <w:rFonts w:hint="eastAsia" w:ascii="Times New Roman" w:hAnsi="Times New Roman" w:cs="Times New Roman"/>
          <w:lang w:eastAsia="zh-CN"/>
        </w:rPr>
        <w:t>二、收入决算表</w:t>
      </w:r>
      <w:bookmarkEnd w:id="89"/>
    </w:p>
    <w:p w14:paraId="05DEFFDA">
      <w:pPr>
        <w:bidi w:val="0"/>
        <w:rPr>
          <w:rFonts w:hint="eastAsia" w:ascii="Times New Roman" w:hAnsi="Times New Roman" w:cs="Times New Roman"/>
          <w:lang w:eastAsia="zh-CN"/>
        </w:rPr>
      </w:pPr>
      <w:bookmarkStart w:id="90" w:name="_Toc15396621"/>
      <w:r>
        <w:rPr>
          <w:rFonts w:hint="eastAsia" w:ascii="Times New Roman" w:hAnsi="Times New Roman" w:cs="Times New Roman"/>
          <w:lang w:eastAsia="zh-CN"/>
        </w:rPr>
        <w:t>三、支出决算表</w:t>
      </w:r>
      <w:bookmarkEnd w:id="90"/>
    </w:p>
    <w:p w14:paraId="307AE276">
      <w:pPr>
        <w:bidi w:val="0"/>
        <w:rPr>
          <w:rFonts w:hint="eastAsia" w:ascii="Times New Roman" w:hAnsi="Times New Roman" w:cs="Times New Roman"/>
          <w:lang w:eastAsia="zh-CN"/>
        </w:rPr>
      </w:pPr>
      <w:bookmarkStart w:id="91" w:name="_Toc15396622"/>
      <w:r>
        <w:rPr>
          <w:rFonts w:hint="eastAsia" w:ascii="Times New Roman" w:hAnsi="Times New Roman" w:cs="Times New Roman"/>
          <w:lang w:eastAsia="zh-CN"/>
        </w:rPr>
        <w:t>四、财政拨款收入支出决算总表</w:t>
      </w:r>
      <w:bookmarkEnd w:id="91"/>
    </w:p>
    <w:p w14:paraId="238CB0D6">
      <w:pPr>
        <w:bidi w:val="0"/>
        <w:rPr>
          <w:rFonts w:hint="eastAsia" w:ascii="Times New Roman" w:hAnsi="Times New Roman" w:cs="Times New Roman"/>
          <w:lang w:eastAsia="zh-CN"/>
        </w:rPr>
      </w:pPr>
      <w:bookmarkStart w:id="92" w:name="_Toc15396623"/>
      <w:r>
        <w:rPr>
          <w:rFonts w:hint="eastAsia" w:ascii="Times New Roman" w:hAnsi="Times New Roman" w:cs="Times New Roman"/>
          <w:lang w:eastAsia="zh-CN"/>
        </w:rPr>
        <w:t>五、财政拨款支出决算明细表</w:t>
      </w:r>
      <w:bookmarkEnd w:id="92"/>
      <w:bookmarkStart w:id="93" w:name="_Toc15396624"/>
    </w:p>
    <w:p w14:paraId="43EA1276">
      <w:pPr>
        <w:bidi w:val="0"/>
        <w:rPr>
          <w:rFonts w:hint="eastAsia" w:ascii="Times New Roman" w:hAnsi="Times New Roman" w:cs="Times New Roman"/>
          <w:lang w:eastAsia="zh-CN"/>
        </w:rPr>
      </w:pPr>
      <w:r>
        <w:rPr>
          <w:rFonts w:hint="eastAsia" w:ascii="Times New Roman" w:hAnsi="Times New Roman" w:cs="Times New Roman"/>
          <w:lang w:eastAsia="zh-CN"/>
        </w:rPr>
        <w:t>六、一般公共预算财政拨款支出决算表</w:t>
      </w:r>
      <w:bookmarkEnd w:id="93"/>
    </w:p>
    <w:p w14:paraId="181BD034">
      <w:pPr>
        <w:bidi w:val="0"/>
        <w:rPr>
          <w:rFonts w:hint="eastAsia" w:ascii="Times New Roman" w:hAnsi="Times New Roman" w:cs="Times New Roman"/>
          <w:lang w:eastAsia="zh-CN"/>
        </w:rPr>
      </w:pPr>
      <w:bookmarkStart w:id="94" w:name="_Toc15396625"/>
      <w:r>
        <w:rPr>
          <w:rFonts w:hint="eastAsia" w:ascii="Times New Roman" w:hAnsi="Times New Roman" w:cs="Times New Roman"/>
          <w:lang w:eastAsia="zh-CN"/>
        </w:rPr>
        <w:t>七、一般公共预算财政拨款支出决算明细表</w:t>
      </w:r>
      <w:bookmarkEnd w:id="94"/>
    </w:p>
    <w:p w14:paraId="2C466A6F">
      <w:pPr>
        <w:bidi w:val="0"/>
        <w:rPr>
          <w:rFonts w:hint="eastAsia" w:ascii="Times New Roman" w:hAnsi="Times New Roman" w:cs="Times New Roman"/>
          <w:lang w:eastAsia="zh-CN"/>
        </w:rPr>
      </w:pPr>
      <w:bookmarkStart w:id="95" w:name="_Toc15396626"/>
      <w:r>
        <w:rPr>
          <w:rFonts w:hint="eastAsia" w:ascii="Times New Roman" w:hAnsi="Times New Roman" w:cs="Times New Roman"/>
          <w:lang w:eastAsia="zh-CN"/>
        </w:rPr>
        <w:t>八、一般公共预算财政拨款基本支出决算表</w:t>
      </w:r>
      <w:bookmarkEnd w:id="95"/>
    </w:p>
    <w:p w14:paraId="3ADF4659">
      <w:pPr>
        <w:bidi w:val="0"/>
        <w:rPr>
          <w:rFonts w:hint="eastAsia" w:ascii="Times New Roman" w:hAnsi="Times New Roman" w:cs="Times New Roman"/>
          <w:lang w:eastAsia="zh-CN"/>
        </w:rPr>
      </w:pPr>
      <w:bookmarkStart w:id="96" w:name="_Toc15396627"/>
      <w:r>
        <w:rPr>
          <w:rFonts w:hint="eastAsia" w:ascii="Times New Roman" w:hAnsi="Times New Roman" w:cs="Times New Roman"/>
          <w:lang w:eastAsia="zh-CN"/>
        </w:rPr>
        <w:t>九、一般公共预算财政拨款项目支出决算表</w:t>
      </w:r>
      <w:bookmarkEnd w:id="96"/>
    </w:p>
    <w:p w14:paraId="5C82896F">
      <w:pPr>
        <w:bidi w:val="0"/>
        <w:rPr>
          <w:rFonts w:hint="eastAsia" w:ascii="Times New Roman" w:hAnsi="Times New Roman" w:cs="Times New Roman"/>
          <w:lang w:eastAsia="zh-CN"/>
        </w:rPr>
      </w:pPr>
      <w:bookmarkStart w:id="97" w:name="_Toc15396628"/>
      <w:r>
        <w:rPr>
          <w:rFonts w:hint="eastAsia" w:ascii="Times New Roman" w:hAnsi="Times New Roman" w:cs="Times New Roman"/>
          <w:lang w:eastAsia="zh-CN"/>
        </w:rPr>
        <w:t>十、</w:t>
      </w:r>
      <w:bookmarkEnd w:id="97"/>
      <w:r>
        <w:rPr>
          <w:rFonts w:hint="eastAsia" w:ascii="Times New Roman" w:hAnsi="Times New Roman" w:cs="Times New Roman"/>
          <w:lang w:eastAsia="zh-CN"/>
        </w:rPr>
        <w:t>政府性基金预算财政拨款收入支出决算表</w:t>
      </w:r>
    </w:p>
    <w:p w14:paraId="4D81B1A5">
      <w:pPr>
        <w:bidi w:val="0"/>
        <w:rPr>
          <w:rFonts w:hint="eastAsia" w:ascii="Times New Roman" w:hAnsi="Times New Roman" w:cs="Times New Roman"/>
          <w:lang w:eastAsia="zh-CN"/>
        </w:rPr>
      </w:pPr>
      <w:bookmarkStart w:id="98" w:name="_Toc15396629"/>
      <w:r>
        <w:rPr>
          <w:rFonts w:hint="eastAsia" w:ascii="Times New Roman" w:hAnsi="Times New Roman" w:cs="Times New Roman"/>
          <w:lang w:eastAsia="zh-CN"/>
        </w:rPr>
        <w:t>十一、</w:t>
      </w:r>
      <w:bookmarkEnd w:id="98"/>
      <w:r>
        <w:rPr>
          <w:rFonts w:hint="eastAsia" w:ascii="Times New Roman" w:hAnsi="Times New Roman" w:cs="Times New Roman"/>
          <w:lang w:eastAsia="zh-CN"/>
        </w:rPr>
        <w:t>国有资本经营预算财政拨款收入支出决算表</w:t>
      </w:r>
    </w:p>
    <w:p w14:paraId="1164B2F6">
      <w:pPr>
        <w:bidi w:val="0"/>
        <w:rPr>
          <w:rFonts w:hint="eastAsia" w:ascii="Times New Roman" w:hAnsi="Times New Roman" w:cs="Times New Roman"/>
          <w:lang w:eastAsia="zh-CN"/>
        </w:rPr>
      </w:pPr>
      <w:bookmarkStart w:id="99" w:name="_Toc15396630"/>
      <w:r>
        <w:rPr>
          <w:rFonts w:hint="eastAsia" w:ascii="Times New Roman" w:hAnsi="Times New Roman" w:cs="Times New Roman"/>
          <w:lang w:eastAsia="zh-CN"/>
        </w:rPr>
        <w:t>十二、</w:t>
      </w:r>
      <w:bookmarkEnd w:id="99"/>
      <w:r>
        <w:rPr>
          <w:rFonts w:hint="eastAsia" w:ascii="Times New Roman" w:hAnsi="Times New Roman" w:cs="Times New Roman"/>
          <w:lang w:eastAsia="zh-CN"/>
        </w:rPr>
        <w:t>国有资本经营预算财政拨款支出决算表</w:t>
      </w:r>
    </w:p>
    <w:p w14:paraId="3014E331">
      <w:pPr>
        <w:bidi w:val="0"/>
        <w:rPr>
          <w:rFonts w:hint="eastAsia" w:ascii="Times New Roman" w:hAnsi="Times New Roman" w:cs="Times New Roman"/>
          <w:lang w:eastAsia="zh-CN"/>
        </w:rPr>
      </w:pPr>
      <w:bookmarkStart w:id="100" w:name="_Toc15396631"/>
      <w:r>
        <w:rPr>
          <w:rFonts w:hint="eastAsia" w:ascii="Times New Roman" w:hAnsi="Times New Roman" w:cs="Times New Roman"/>
          <w:lang w:eastAsia="zh-CN"/>
        </w:rPr>
        <w:t>十三、</w:t>
      </w:r>
      <w:bookmarkEnd w:id="100"/>
      <w:r>
        <w:rPr>
          <w:rFonts w:hint="eastAsia" w:ascii="Times New Roman" w:hAnsi="Times New Roman" w:cs="Times New Roman"/>
          <w:lang w:eastAsia="zh-CN"/>
        </w:rPr>
        <w:t>财政拨款“三公”经费支出决算表</w:t>
      </w:r>
    </w:p>
    <w:p w14:paraId="46F3DC9C">
      <w:pPr>
        <w:bidi w:val="0"/>
        <w:rPr>
          <w:rFonts w:hint="eastAsia" w:ascii="Times New Roman" w:hAnsi="Times New Roman" w:cs="Times New Roman"/>
          <w:lang w:eastAsia="zh-CN"/>
        </w:rPr>
      </w:pPr>
    </w:p>
    <w:sectPr>
      <w:pgSz w:w="11906" w:h="16838"/>
      <w:pgMar w:top="2098" w:right="1531" w:bottom="1984" w:left="1531"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Cambria">
    <w:panose1 w:val="02040503050406030204"/>
    <w:charset w:val="00"/>
    <w:family w:val="roman"/>
    <w:pitch w:val="default"/>
    <w:sig w:usb0="A00002EF" w:usb1="4000004B" w:usb2="00000000" w:usb3="00000000" w:csb0="2000009F" w:csb1="00000000"/>
  </w:font>
  <w:font w:name="方正黑体_GBK">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1030101010101"/>
    <w:charset w:val="86"/>
    <w:family w:val="script"/>
    <w:pitch w:val="default"/>
    <w:sig w:usb0="00000001" w:usb1="080E0000" w:usb2="00000000" w:usb3="00000000" w:csb0="00040000" w:csb1="00000000"/>
  </w:font>
  <w:font w:name="方正公文小标宋">
    <w:panose1 w:val="02000500000000000000"/>
    <w:charset w:val="86"/>
    <w:family w:val="auto"/>
    <w:pitch w:val="default"/>
    <w:sig w:usb0="A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198F28">
    <w:pPr>
      <w:pStyle w:val="11"/>
      <w:jc w:val="center"/>
    </w:pPr>
  </w:p>
  <w:p w14:paraId="009E5E67">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9C6BEE">
    <w:pPr>
      <w:spacing w:line="236" w:lineRule="auto"/>
      <w:rPr>
        <w:rFonts w:ascii="仿宋" w:hAnsi="仿宋" w:eastAsia="仿宋" w:cs="仿宋"/>
        <w:sz w:val="31"/>
        <w:szCs w:val="31"/>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CAB2DF">
    <w:pPr>
      <w:pStyle w:val="11"/>
      <w:jc w:val="center"/>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87BD77">
                          <w:pPr>
                            <w:pStyle w:val="11"/>
                            <w:rPr>
                              <w:rFonts w:hint="eastAsia" w:ascii="仿宋" w:hAnsi="仿宋" w:eastAsia="仿宋" w:cs="仿宋"/>
                              <w:sz w:val="31"/>
                              <w:szCs w:val="31"/>
                            </w:rPr>
                          </w:pPr>
                          <w:r>
                            <w:rPr>
                              <w:rFonts w:hint="eastAsia" w:ascii="仿宋" w:hAnsi="仿宋" w:eastAsia="仿宋" w:cs="仿宋"/>
                              <w:sz w:val="31"/>
                              <w:szCs w:val="31"/>
                            </w:rPr>
                            <w:t xml:space="preserve">— </w:t>
                          </w:r>
                          <w:r>
                            <w:rPr>
                              <w:rFonts w:hint="eastAsia" w:ascii="仿宋" w:hAnsi="仿宋" w:eastAsia="仿宋" w:cs="仿宋"/>
                              <w:sz w:val="31"/>
                              <w:szCs w:val="31"/>
                            </w:rPr>
                            <w:fldChar w:fldCharType="begin"/>
                          </w:r>
                          <w:r>
                            <w:rPr>
                              <w:rFonts w:hint="eastAsia" w:ascii="仿宋" w:hAnsi="仿宋" w:eastAsia="仿宋" w:cs="仿宋"/>
                              <w:sz w:val="31"/>
                              <w:szCs w:val="31"/>
                            </w:rPr>
                            <w:instrText xml:space="preserve"> PAGE  \* MERGEFORMAT </w:instrText>
                          </w:r>
                          <w:r>
                            <w:rPr>
                              <w:rFonts w:hint="eastAsia" w:ascii="仿宋" w:hAnsi="仿宋" w:eastAsia="仿宋" w:cs="仿宋"/>
                              <w:sz w:val="31"/>
                              <w:szCs w:val="31"/>
                            </w:rPr>
                            <w:fldChar w:fldCharType="separate"/>
                          </w:r>
                          <w:r>
                            <w:rPr>
                              <w:rFonts w:hint="eastAsia" w:ascii="仿宋" w:hAnsi="仿宋" w:eastAsia="仿宋" w:cs="仿宋"/>
                              <w:sz w:val="31"/>
                              <w:szCs w:val="31"/>
                            </w:rPr>
                            <w:t>1</w:t>
                          </w:r>
                          <w:r>
                            <w:rPr>
                              <w:rFonts w:hint="eastAsia" w:ascii="仿宋" w:hAnsi="仿宋" w:eastAsia="仿宋" w:cs="仿宋"/>
                              <w:sz w:val="31"/>
                              <w:szCs w:val="31"/>
                            </w:rPr>
                            <w:fldChar w:fldCharType="end"/>
                          </w:r>
                          <w:r>
                            <w:rPr>
                              <w:rFonts w:hint="eastAsia" w:ascii="仿宋" w:hAnsi="仿宋" w:eastAsia="仿宋" w:cs="仿宋"/>
                              <w:sz w:val="31"/>
                              <w:szCs w:val="31"/>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1787BD77">
                    <w:pPr>
                      <w:pStyle w:val="11"/>
                      <w:rPr>
                        <w:rFonts w:hint="eastAsia" w:ascii="仿宋" w:hAnsi="仿宋" w:eastAsia="仿宋" w:cs="仿宋"/>
                        <w:sz w:val="31"/>
                        <w:szCs w:val="31"/>
                      </w:rPr>
                    </w:pPr>
                    <w:r>
                      <w:rPr>
                        <w:rFonts w:hint="eastAsia" w:ascii="仿宋" w:hAnsi="仿宋" w:eastAsia="仿宋" w:cs="仿宋"/>
                        <w:sz w:val="31"/>
                        <w:szCs w:val="31"/>
                      </w:rPr>
                      <w:t xml:space="preserve">— </w:t>
                    </w:r>
                    <w:r>
                      <w:rPr>
                        <w:rFonts w:hint="eastAsia" w:ascii="仿宋" w:hAnsi="仿宋" w:eastAsia="仿宋" w:cs="仿宋"/>
                        <w:sz w:val="31"/>
                        <w:szCs w:val="31"/>
                      </w:rPr>
                      <w:fldChar w:fldCharType="begin"/>
                    </w:r>
                    <w:r>
                      <w:rPr>
                        <w:rFonts w:hint="eastAsia" w:ascii="仿宋" w:hAnsi="仿宋" w:eastAsia="仿宋" w:cs="仿宋"/>
                        <w:sz w:val="31"/>
                        <w:szCs w:val="31"/>
                      </w:rPr>
                      <w:instrText xml:space="preserve"> PAGE  \* MERGEFORMAT </w:instrText>
                    </w:r>
                    <w:r>
                      <w:rPr>
                        <w:rFonts w:hint="eastAsia" w:ascii="仿宋" w:hAnsi="仿宋" w:eastAsia="仿宋" w:cs="仿宋"/>
                        <w:sz w:val="31"/>
                        <w:szCs w:val="31"/>
                      </w:rPr>
                      <w:fldChar w:fldCharType="separate"/>
                    </w:r>
                    <w:r>
                      <w:rPr>
                        <w:rFonts w:hint="eastAsia" w:ascii="仿宋" w:hAnsi="仿宋" w:eastAsia="仿宋" w:cs="仿宋"/>
                        <w:sz w:val="31"/>
                        <w:szCs w:val="31"/>
                      </w:rPr>
                      <w:t>1</w:t>
                    </w:r>
                    <w:r>
                      <w:rPr>
                        <w:rFonts w:hint="eastAsia" w:ascii="仿宋" w:hAnsi="仿宋" w:eastAsia="仿宋" w:cs="仿宋"/>
                        <w:sz w:val="31"/>
                        <w:szCs w:val="31"/>
                      </w:rPr>
                      <w:fldChar w:fldCharType="end"/>
                    </w:r>
                    <w:r>
                      <w:rPr>
                        <w:rFonts w:hint="eastAsia" w:ascii="仿宋" w:hAnsi="仿宋" w:eastAsia="仿宋" w:cs="仿宋"/>
                        <w:sz w:val="31"/>
                        <w:szCs w:val="31"/>
                      </w:rPr>
                      <w:t xml:space="preserve"> —</w:t>
                    </w:r>
                  </w:p>
                </w:txbxContent>
              </v:textbox>
            </v:shape>
          </w:pict>
        </mc:Fallback>
      </mc:AlternateContent>
    </w:r>
  </w:p>
  <w:p w14:paraId="7EE8B06A">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724802">
    <w:pPr>
      <w:pStyle w:val="11"/>
      <w:ind w:left="0" w:leftChars="0" w:firstLine="0" w:firstLineChars="0"/>
    </w:pPr>
    <w:r>
      <w:rPr>
        <w:sz w:val="18"/>
      </w:rPr>
      <mc:AlternateContent>
        <mc:Choice Requires="wps">
          <w:drawing>
            <wp:anchor distT="0" distB="0" distL="114300" distR="114300" simplePos="0" relativeHeight="251663360" behindDoc="0" locked="0" layoutInCell="1" allowOverlap="1">
              <wp:simplePos x="0" y="0"/>
              <wp:positionH relativeFrom="margin">
                <wp:posOffset>34925</wp:posOffset>
              </wp:positionH>
              <wp:positionV relativeFrom="paragraph">
                <wp:posOffset>-349250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0DFA24">
                          <w:pPr>
                            <w:pStyle w:val="11"/>
                            <w:ind w:left="0" w:leftChars="0" w:firstLine="0" w:firstLineChars="0"/>
                            <w:rPr>
                              <w:rFonts w:hint="eastAsia"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  \* MERGEFORMAT </w:instrText>
                          </w:r>
                          <w:r>
                            <w:rPr>
                              <w:rFonts w:hint="eastAsia" w:ascii="仿宋" w:hAnsi="仿宋" w:eastAsia="仿宋" w:cs="仿宋"/>
                              <w:sz w:val="32"/>
                              <w:szCs w:val="32"/>
                            </w:rPr>
                            <w:fldChar w:fldCharType="separate"/>
                          </w:r>
                          <w:r>
                            <w:rPr>
                              <w:rFonts w:hint="eastAsia" w:ascii="仿宋" w:hAnsi="仿宋" w:eastAsia="仿宋" w:cs="仿宋"/>
                              <w:sz w:val="32"/>
                              <w:szCs w:val="32"/>
                            </w:rPr>
                            <w:t>2</w:t>
                          </w:r>
                          <w:r>
                            <w:rPr>
                              <w:rFonts w:hint="eastAsia" w:ascii="仿宋" w:hAnsi="仿宋" w:eastAsia="仿宋" w:cs="仿宋"/>
                              <w:sz w:val="32"/>
                              <w:szCs w:val="32"/>
                            </w:rPr>
                            <w:fldChar w:fldCharType="end"/>
                          </w:r>
                          <w:r>
                            <w:rPr>
                              <w:rFonts w:hint="eastAsia" w:ascii="仿宋" w:hAnsi="仿宋" w:eastAsia="仿宋" w:cs="仿宋"/>
                              <w:sz w:val="32"/>
                              <w:szCs w:val="32"/>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75pt;margin-top:-27.5pt;height:144pt;width:144pt;mso-position-horizontal-relative:margin;mso-wrap-style:none;z-index:251663360;mso-width-relative:page;mso-height-relative:page;" filled="f" stroked="f" coordsize="21600,21600" o:gfxdata="UEsDBAoAAAAAAIdO4kAAAAAAAAAAAAAAAAAEAAAAZHJzL1BLAwQUAAAACACHTuJA+4mnX9YAAAAJ&#10;AQAADwAAAGRycy9kb3ducmV2LnhtbE2PQU/DMAyF70j8h8hI3LZkK0VQmk5iohyRWDlwzBrTFhqn&#10;SrKu/HvMCW6239Pz98rd4kYxY4iDJw2btQKB1Ho7UKfhralXdyBiMmTN6Ak1fGOEXXV5UZrC+jO9&#10;4nxIneAQioXR0Kc0FVLGtkdn4tpPSKx9+OBM4jV00gZz5nA3yq1St9KZgfhDbybc99h+HU5Ow75u&#10;mjBjDOM7PtfZ58vjDT4tWl9fbdQDiIRL+jPDLz6jQ8VMR38iG8WoIc/ZqGGV51yJ9e19xpcjD1mm&#10;QFal/N+g+gFQSwMEFAAAAAgAh07iQAKVIPQyAgAAYQQAAA4AAABkcnMvZTJvRG9jLnhtbK1UzY7T&#10;MBC+I/EOlu80aRGrbtV0VbYqQqrYlRbE2XWcJpL/ZLtNygPAG3Diwp3n6nPw2Wm6aOGwBy7O2DP+&#10;xt83M5nfdEqSg3C+Mbqg41FOidDclI3eFfTTx/WrKSU+MF0yabQo6FF4erN4+WLe2pmYmNrIUjgC&#10;EO1nrS1oHYKdZZnntVDMj4wVGs7KOMUCtm6XlY61QFcym+T5VdYaV1pnuPAep6veSc+I7jmApqoa&#10;LlaG75XQoUd1QrIASr5urKeL9NqqEjzcVZUXgciCgmlIK5LA3sY1W8zZbOeYrRt+fgJ7zhOecFKs&#10;0Uh6gVqxwMjeNX9BqYY7400VRtyorCeSFAGLcf5Em4eaWZG4QGpvL6L7/wfLPxzuHWnKgl5ToplC&#10;wU/fv51+/Dr9/Equozyt9TNEPVjEhe6t6dA0w7nHYWTdVU7FL/gQ+CHu8SKu6ALh8dJ0Mp3mcHH4&#10;hg3ws8fr1vnwThhFolFQh+olUdlh40MfOoTEbNqsGylTBaUmbUGvXr/J04WLB+BSI0ck0T82WqHb&#10;dmdmW1MeQcyZvjO85esGyTfMh3vm0Ap4MIYl3GGppEESc7YoqY378q/zGI8KwUtJi9YqqMYkUSLf&#10;a1QOgGEw3GBsB0Pv1a1Br44xhJYnExdckINZOaM+Y4KWMQdcTHNkKmgYzNvQtzcmkIvlMgXtrWt2&#10;dX8BfWdZ2OgHy2OaKKS3y32AmEnjKFCvylk3dF6q0nlKYmv/uU9Rj3+Gx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D7iadf1gAAAAkBAAAPAAAAAAAAAAEAIAAAACIAAABkcnMvZG93bnJldi54bWxQ&#10;SwECFAAUAAAACACHTuJAApUg9DICAABhBAAADgAAAAAAAAABACAAAAAlAQAAZHJzL2Uyb0RvYy54&#10;bWxQSwUGAAAAAAYABgBZAQAAyQUAAAAA&#10;">
              <v:fill on="f" focussize="0,0"/>
              <v:stroke on="f" weight="0.5pt"/>
              <v:imagedata o:title=""/>
              <o:lock v:ext="edit" aspectratio="f"/>
              <v:textbox inset="0mm,0mm,0mm,0mm" style="mso-fit-shape-to-text:t;">
                <w:txbxContent>
                  <w:p w14:paraId="280DFA24">
                    <w:pPr>
                      <w:pStyle w:val="11"/>
                      <w:ind w:left="0" w:leftChars="0" w:firstLine="0" w:firstLineChars="0"/>
                      <w:rPr>
                        <w:rFonts w:hint="eastAsia"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  \* MERGEFORMAT </w:instrText>
                    </w:r>
                    <w:r>
                      <w:rPr>
                        <w:rFonts w:hint="eastAsia" w:ascii="仿宋" w:hAnsi="仿宋" w:eastAsia="仿宋" w:cs="仿宋"/>
                        <w:sz w:val="32"/>
                        <w:szCs w:val="32"/>
                      </w:rPr>
                      <w:fldChar w:fldCharType="separate"/>
                    </w:r>
                    <w:r>
                      <w:rPr>
                        <w:rFonts w:hint="eastAsia" w:ascii="仿宋" w:hAnsi="仿宋" w:eastAsia="仿宋" w:cs="仿宋"/>
                        <w:sz w:val="32"/>
                        <w:szCs w:val="32"/>
                      </w:rPr>
                      <w:t>2</w:t>
                    </w:r>
                    <w:r>
                      <w:rPr>
                        <w:rFonts w:hint="eastAsia" w:ascii="仿宋" w:hAnsi="仿宋" w:eastAsia="仿宋" w:cs="仿宋"/>
                        <w:sz w:val="32"/>
                        <w:szCs w:val="32"/>
                      </w:rPr>
                      <w:fldChar w:fldCharType="end"/>
                    </w:r>
                    <w:r>
                      <w:rPr>
                        <w:rFonts w:hint="eastAsia" w:ascii="仿宋" w:hAnsi="仿宋" w:eastAsia="仿宋" w:cs="仿宋"/>
                        <w:sz w:val="32"/>
                        <w:szCs w:val="32"/>
                      </w:rP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E6A606">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9EBB52">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279EBB52">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5A9256">
    <w:pPr>
      <w:pStyle w:val="12"/>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evenAndOddHeaders w:val="1"/>
  <w:drawingGridHorizontalSpacing w:val="105"/>
  <w:drawingGridVerticalSpacing w:val="220"/>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61E35DE"/>
    <w:rsid w:val="066E0107"/>
    <w:rsid w:val="07996F6E"/>
    <w:rsid w:val="07DFD8BA"/>
    <w:rsid w:val="08DB07E4"/>
    <w:rsid w:val="09867E8F"/>
    <w:rsid w:val="0A2032A3"/>
    <w:rsid w:val="0C6C4794"/>
    <w:rsid w:val="0CA8290A"/>
    <w:rsid w:val="0D35B1ED"/>
    <w:rsid w:val="0D815336"/>
    <w:rsid w:val="0DE07E2B"/>
    <w:rsid w:val="0E016F15"/>
    <w:rsid w:val="0E5A2C41"/>
    <w:rsid w:val="0F98263C"/>
    <w:rsid w:val="101860EC"/>
    <w:rsid w:val="10C055FF"/>
    <w:rsid w:val="11772AA4"/>
    <w:rsid w:val="118107EC"/>
    <w:rsid w:val="13D50BC4"/>
    <w:rsid w:val="14022904"/>
    <w:rsid w:val="152F2A07"/>
    <w:rsid w:val="165E0673"/>
    <w:rsid w:val="16BB723D"/>
    <w:rsid w:val="186504BB"/>
    <w:rsid w:val="18E5D48A"/>
    <w:rsid w:val="1938089F"/>
    <w:rsid w:val="19A445FC"/>
    <w:rsid w:val="1B7D550C"/>
    <w:rsid w:val="1BE8440E"/>
    <w:rsid w:val="1D155CEE"/>
    <w:rsid w:val="1E740ACF"/>
    <w:rsid w:val="1FF35744"/>
    <w:rsid w:val="1FF6BC77"/>
    <w:rsid w:val="1FFF5853"/>
    <w:rsid w:val="20AB70C4"/>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2FDA1203"/>
    <w:rsid w:val="319F7F4E"/>
    <w:rsid w:val="321B2544"/>
    <w:rsid w:val="32C57FA5"/>
    <w:rsid w:val="3304709D"/>
    <w:rsid w:val="34281836"/>
    <w:rsid w:val="349D6851"/>
    <w:rsid w:val="35BA6CAF"/>
    <w:rsid w:val="364D14C1"/>
    <w:rsid w:val="36AA5135"/>
    <w:rsid w:val="36BE0DA7"/>
    <w:rsid w:val="376B6AA6"/>
    <w:rsid w:val="376D39B2"/>
    <w:rsid w:val="37DB9594"/>
    <w:rsid w:val="37E16F03"/>
    <w:rsid w:val="37F53A3B"/>
    <w:rsid w:val="389B6C89"/>
    <w:rsid w:val="38D469F0"/>
    <w:rsid w:val="39627CCD"/>
    <w:rsid w:val="397BAF1F"/>
    <w:rsid w:val="3AB79AF3"/>
    <w:rsid w:val="3B7EF35A"/>
    <w:rsid w:val="3B9FDB6C"/>
    <w:rsid w:val="3BF5BC2F"/>
    <w:rsid w:val="3C8F7316"/>
    <w:rsid w:val="3CEBA265"/>
    <w:rsid w:val="3D98207C"/>
    <w:rsid w:val="3D9B0D99"/>
    <w:rsid w:val="3DEE7CF3"/>
    <w:rsid w:val="3DF02244"/>
    <w:rsid w:val="3E78745D"/>
    <w:rsid w:val="3EF38DE4"/>
    <w:rsid w:val="3FF4CAE0"/>
    <w:rsid w:val="3FF7B227"/>
    <w:rsid w:val="40E54C45"/>
    <w:rsid w:val="43A407DF"/>
    <w:rsid w:val="44515BEA"/>
    <w:rsid w:val="44E268DA"/>
    <w:rsid w:val="453F7E5B"/>
    <w:rsid w:val="486A6C7A"/>
    <w:rsid w:val="49176D9B"/>
    <w:rsid w:val="4A627F82"/>
    <w:rsid w:val="4B0E749A"/>
    <w:rsid w:val="4B4F25DA"/>
    <w:rsid w:val="4BDA0CFB"/>
    <w:rsid w:val="4BE068DB"/>
    <w:rsid w:val="4D3C0CCC"/>
    <w:rsid w:val="4D577224"/>
    <w:rsid w:val="4DBF1CEB"/>
    <w:rsid w:val="4EAB630A"/>
    <w:rsid w:val="4ECE2238"/>
    <w:rsid w:val="4F7B0828"/>
    <w:rsid w:val="4F833267"/>
    <w:rsid w:val="4FE9BD67"/>
    <w:rsid w:val="4FED2999"/>
    <w:rsid w:val="4FFB052F"/>
    <w:rsid w:val="53083A92"/>
    <w:rsid w:val="537E6D0A"/>
    <w:rsid w:val="53AF27A2"/>
    <w:rsid w:val="53F74C96"/>
    <w:rsid w:val="56E47B74"/>
    <w:rsid w:val="57BD3DD4"/>
    <w:rsid w:val="599012CA"/>
    <w:rsid w:val="5AF92295"/>
    <w:rsid w:val="5BDD79E6"/>
    <w:rsid w:val="5BF561CA"/>
    <w:rsid w:val="5BFF5DFC"/>
    <w:rsid w:val="5CD71FC4"/>
    <w:rsid w:val="5D1F11B5"/>
    <w:rsid w:val="5DAE1B18"/>
    <w:rsid w:val="5DE7D9E5"/>
    <w:rsid w:val="5E6F885A"/>
    <w:rsid w:val="5ECEC941"/>
    <w:rsid w:val="5F493CB7"/>
    <w:rsid w:val="5FBF9FF3"/>
    <w:rsid w:val="5FCD4E2C"/>
    <w:rsid w:val="5FD15F49"/>
    <w:rsid w:val="5FEF394A"/>
    <w:rsid w:val="5FF67715"/>
    <w:rsid w:val="62BF3928"/>
    <w:rsid w:val="647F5392"/>
    <w:rsid w:val="664B1D71"/>
    <w:rsid w:val="67AA3209"/>
    <w:rsid w:val="67FFC901"/>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9BB5F2"/>
    <w:rsid w:val="74BBD01D"/>
    <w:rsid w:val="74ED5379"/>
    <w:rsid w:val="74FC2395"/>
    <w:rsid w:val="75DEEEC2"/>
    <w:rsid w:val="75F6C277"/>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55DA6"/>
    <w:rsid w:val="7CFE0F48"/>
    <w:rsid w:val="7D7EC23E"/>
    <w:rsid w:val="7D916348"/>
    <w:rsid w:val="7D968268"/>
    <w:rsid w:val="7E8ADEBF"/>
    <w:rsid w:val="7EEF11D3"/>
    <w:rsid w:val="7F0971A6"/>
    <w:rsid w:val="7F3F679B"/>
    <w:rsid w:val="7F4FC4EF"/>
    <w:rsid w:val="7F5E4D54"/>
    <w:rsid w:val="7F6E0135"/>
    <w:rsid w:val="7FA30C79"/>
    <w:rsid w:val="7FAF8ABF"/>
    <w:rsid w:val="7FB7269E"/>
    <w:rsid w:val="7FBEB395"/>
    <w:rsid w:val="7FC96657"/>
    <w:rsid w:val="7FDA9588"/>
    <w:rsid w:val="7FDF220F"/>
    <w:rsid w:val="7FEDC5F7"/>
    <w:rsid w:val="7FEDD9DE"/>
    <w:rsid w:val="7FF5890D"/>
    <w:rsid w:val="7FF93490"/>
    <w:rsid w:val="99FF2014"/>
    <w:rsid w:val="A6DD0D7F"/>
    <w:rsid w:val="ADC6F725"/>
    <w:rsid w:val="ADFADB86"/>
    <w:rsid w:val="B7AE5A5F"/>
    <w:rsid w:val="B7CF06AB"/>
    <w:rsid w:val="B7CFA926"/>
    <w:rsid w:val="B7F8786B"/>
    <w:rsid w:val="BABB6AA1"/>
    <w:rsid w:val="BB2F4199"/>
    <w:rsid w:val="BD079C78"/>
    <w:rsid w:val="BD733540"/>
    <w:rsid w:val="BF3735D5"/>
    <w:rsid w:val="BF7F09AC"/>
    <w:rsid w:val="BFD475C3"/>
    <w:rsid w:val="BFDE5EA6"/>
    <w:rsid w:val="CF6FC6F3"/>
    <w:rsid w:val="CFD3D3D7"/>
    <w:rsid w:val="CFDF1009"/>
    <w:rsid w:val="D5B64E10"/>
    <w:rsid w:val="D7D7B16A"/>
    <w:rsid w:val="D8D6DB89"/>
    <w:rsid w:val="DB6F4CAB"/>
    <w:rsid w:val="DB777682"/>
    <w:rsid w:val="DBFFD17D"/>
    <w:rsid w:val="DD1FB521"/>
    <w:rsid w:val="DEFBFEAE"/>
    <w:rsid w:val="DF1F3B80"/>
    <w:rsid w:val="DF6F9789"/>
    <w:rsid w:val="DFFFA9E8"/>
    <w:rsid w:val="E5F4E9DC"/>
    <w:rsid w:val="E70FE695"/>
    <w:rsid w:val="ECFED1BC"/>
    <w:rsid w:val="ED1D69BB"/>
    <w:rsid w:val="ED7FD312"/>
    <w:rsid w:val="EEFF8FE9"/>
    <w:rsid w:val="EF1FAC6C"/>
    <w:rsid w:val="EF37B9FB"/>
    <w:rsid w:val="EF53993F"/>
    <w:rsid w:val="EF5FFECA"/>
    <w:rsid w:val="EF6FD633"/>
    <w:rsid w:val="EFBFB2F4"/>
    <w:rsid w:val="EFBFFA21"/>
    <w:rsid w:val="F1FD1CB2"/>
    <w:rsid w:val="F2BEBCB8"/>
    <w:rsid w:val="F30FD9C0"/>
    <w:rsid w:val="F36FB518"/>
    <w:rsid w:val="F3DE1A04"/>
    <w:rsid w:val="F3F722E5"/>
    <w:rsid w:val="F6AB1139"/>
    <w:rsid w:val="FA5F1E70"/>
    <w:rsid w:val="FA5FDB97"/>
    <w:rsid w:val="FB7F486A"/>
    <w:rsid w:val="FBBF1F4C"/>
    <w:rsid w:val="FBFF5B2E"/>
    <w:rsid w:val="FD7FFE2B"/>
    <w:rsid w:val="FDADDFC5"/>
    <w:rsid w:val="FDEE196B"/>
    <w:rsid w:val="FDFE6575"/>
    <w:rsid w:val="FEDFDDC2"/>
    <w:rsid w:val="FEED32F6"/>
    <w:rsid w:val="FEF781DD"/>
    <w:rsid w:val="FF3F7E3F"/>
    <w:rsid w:val="FFBA12D7"/>
    <w:rsid w:val="FFDFFAEE"/>
    <w:rsid w:val="FFEE6F57"/>
    <w:rsid w:val="FFF9B57B"/>
    <w:rsid w:val="FFFCF0B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qFormat="1" w:unhideWhenUsed="0" w:uiPriority="0" w:semiHidden="0"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420" w:firstLineChars="200"/>
      <w:jc w:val="both"/>
    </w:pPr>
    <w:rPr>
      <w:rFonts w:ascii="Times New Roman" w:hAnsi="Times New Roman" w:eastAsia="方正仿宋_GBK" w:cs="Times New Roman"/>
      <w:kern w:val="2"/>
      <w:sz w:val="32"/>
      <w:szCs w:val="24"/>
      <w:lang w:val="en-US" w:eastAsia="zh-CN" w:bidi="ar-SA"/>
    </w:rPr>
  </w:style>
  <w:style w:type="paragraph" w:styleId="3">
    <w:name w:val="heading 1"/>
    <w:basedOn w:val="1"/>
    <w:next w:val="1"/>
    <w:link w:val="29"/>
    <w:qFormat/>
    <w:uiPriority w:val="9"/>
    <w:pPr>
      <w:keepNext/>
      <w:keepLines/>
      <w:spacing w:before="340" w:after="330" w:line="560" w:lineRule="exact"/>
      <w:ind w:firstLine="0" w:firstLineChars="0"/>
      <w:jc w:val="center"/>
      <w:outlineLvl w:val="0"/>
    </w:pPr>
    <w:rPr>
      <w:rFonts w:ascii="Times New Roman" w:hAnsi="Times New Roman" w:eastAsia="方正小标宋_GBK"/>
      <w:b/>
      <w:bCs/>
      <w:kern w:val="44"/>
      <w:sz w:val="44"/>
      <w:szCs w:val="44"/>
    </w:rPr>
  </w:style>
  <w:style w:type="paragraph" w:styleId="4">
    <w:name w:val="heading 2"/>
    <w:basedOn w:val="1"/>
    <w:next w:val="1"/>
    <w:link w:val="30"/>
    <w:unhideWhenUsed/>
    <w:qFormat/>
    <w:uiPriority w:val="9"/>
    <w:pPr>
      <w:keepNext/>
      <w:keepLines/>
      <w:spacing w:line="560" w:lineRule="exact"/>
      <w:ind w:firstLine="420" w:firstLineChars="200"/>
      <w:outlineLvl w:val="1"/>
    </w:pPr>
    <w:rPr>
      <w:rFonts w:eastAsia="方正黑体_GBK" w:asciiTheme="majorAscii" w:hAnsiTheme="majorAscii" w:cstheme="majorBidi"/>
      <w:bCs/>
      <w:szCs w:val="32"/>
    </w:rPr>
  </w:style>
  <w:style w:type="paragraph" w:styleId="5">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HTML Address"/>
    <w:basedOn w:val="1"/>
    <w:qFormat/>
    <w:uiPriority w:val="0"/>
    <w:rPr>
      <w:i/>
      <w:iCs/>
    </w:rPr>
  </w:style>
  <w:style w:type="paragraph" w:styleId="6">
    <w:name w:val="Body Text"/>
    <w:basedOn w:val="1"/>
    <w:next w:val="1"/>
    <w:link w:val="26"/>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2"/>
    <w:semiHidden/>
    <w:unhideWhenUsed/>
    <w:qFormat/>
    <w:uiPriority w:val="99"/>
    <w:rPr>
      <w:sz w:val="18"/>
      <w:szCs w:val="18"/>
    </w:rPr>
  </w:style>
  <w:style w:type="paragraph" w:styleId="11">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2"/>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1"/>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6"/>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3"/>
    <w:qFormat/>
    <w:uiPriority w:val="9"/>
    <w:rPr>
      <w:rFonts w:ascii="Times New Roman" w:hAnsi="Times New Roman" w:eastAsia="方正小标宋_GBK"/>
      <w:b/>
      <w:bCs/>
      <w:kern w:val="44"/>
      <w:sz w:val="44"/>
      <w:szCs w:val="44"/>
    </w:rPr>
  </w:style>
  <w:style w:type="character" w:customStyle="1" w:styleId="30">
    <w:name w:val="标题 2 Char"/>
    <w:basedOn w:val="17"/>
    <w:link w:val="4"/>
    <w:qFormat/>
    <w:uiPriority w:val="9"/>
    <w:rPr>
      <w:rFonts w:eastAsia="方正黑体_GBK" w:asciiTheme="majorAscii" w:hAnsiTheme="majorAscii" w:cstheme="majorBidi"/>
      <w:bCs/>
      <w:kern w:val="2"/>
      <w:sz w:val="32"/>
      <w:szCs w:val="32"/>
    </w:rPr>
  </w:style>
  <w:style w:type="paragraph" w:customStyle="1" w:styleId="31">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10"/>
    <w:semiHidden/>
    <w:qFormat/>
    <w:uiPriority w:val="99"/>
    <w:rPr>
      <w:rFonts w:ascii="Times New Roman" w:hAnsi="Times New Roman"/>
      <w:kern w:val="2"/>
      <w:sz w:val="18"/>
      <w:szCs w:val="18"/>
    </w:rPr>
  </w:style>
  <w:style w:type="character" w:customStyle="1" w:styleId="33">
    <w:name w:val="标题 3 Char"/>
    <w:basedOn w:val="17"/>
    <w:link w:val="5"/>
    <w:qFormat/>
    <w:uiPriority w:val="9"/>
    <w:rPr>
      <w:rFonts w:ascii="Times New Roman" w:hAnsi="Times New Roman"/>
      <w:b/>
      <w:bCs/>
      <w:kern w:val="2"/>
      <w:sz w:val="32"/>
      <w:szCs w:val="32"/>
    </w:rPr>
  </w:style>
  <w:style w:type="paragraph" w:customStyle="1" w:styleId="34">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5.png"/><Relationship Id="rId17" Type="http://schemas.openxmlformats.org/officeDocument/2006/relationships/image" Target="media/image4.png"/><Relationship Id="rId16" Type="http://schemas.openxmlformats.org/officeDocument/2006/relationships/image" Target="media/image3.png"/><Relationship Id="rId15" Type="http://schemas.openxmlformats.org/officeDocument/2006/relationships/image" Target="media/image2.png"/><Relationship Id="rId14" Type="http://schemas.openxmlformats.org/officeDocument/2006/relationships/image" Target="media/image1.png"/><Relationship Id="rId13" Type="http://schemas.openxmlformats.org/officeDocument/2006/relationships/chart" Target="charts/chart2.xml"/><Relationship Id="rId12" Type="http://schemas.openxmlformats.org/officeDocument/2006/relationships/chart" Target="charts/chart1.xml"/><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24037;&#20316;&#31807;1"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24037;&#20316;&#31807;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收入、支出决算总计变动情况图</a:t>
            </a:r>
            <a:r>
              <a:rPr lang="en-US" altLang="zh-CN"/>
              <a:t> </a:t>
            </a:r>
            <a:r>
              <a:t>（万元）</a:t>
            </a:r>
            <a:endParaRPr lang="en-US" altLang="zh-CN"/>
          </a:p>
        </c:rich>
      </c:tx>
      <c:layout>
        <c:manualLayout>
          <c:xMode val="edge"/>
          <c:yMode val="edge"/>
          <c:x val="0.170986842105263"/>
          <c:y val="0.00694444444444444"/>
        </c:manualLayout>
      </c:layout>
      <c:overlay val="0"/>
      <c:spPr>
        <a:noFill/>
        <a:ln>
          <a:noFill/>
        </a:ln>
        <a:effectLst/>
      </c:spPr>
    </c:title>
    <c:autoTitleDeleted val="0"/>
    <c:plotArea>
      <c:layout/>
      <c:barChart>
        <c:barDir val="col"/>
        <c:grouping val="clustered"/>
        <c:varyColors val="0"/>
        <c:ser>
          <c:idx val="0"/>
          <c:order val="0"/>
          <c:tx>
            <c:strRef>
              <c:f>[工作簿1]Sheet1!$A$4</c:f>
              <c:strCache>
                <c:ptCount val="1"/>
                <c:pt idx="0">
                  <c:v>收入总计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[工作簿1]Sheet1!$B$3:$C$3</c:f>
              <c:strCache>
                <c:ptCount val="2"/>
                <c:pt idx="0">
                  <c:v>2024年</c:v>
                </c:pt>
                <c:pt idx="1">
                  <c:v>2025年</c:v>
                </c:pt>
              </c:strCache>
            </c:strRef>
          </c:cat>
          <c:val>
            <c:numRef>
              <c:f>[工作簿1]Sheet1!$B$4:$C$4</c:f>
              <c:numCache>
                <c:formatCode>General</c:formatCode>
                <c:ptCount val="2"/>
                <c:pt idx="0">
                  <c:v>2998.17</c:v>
                </c:pt>
                <c:pt idx="1">
                  <c:v>3118.43</c:v>
                </c:pt>
              </c:numCache>
            </c:numRef>
          </c:val>
        </c:ser>
        <c:ser>
          <c:idx val="1"/>
          <c:order val="1"/>
          <c:tx>
            <c:strRef>
              <c:f>[工作簿1]Sheet1!$A$5</c:f>
              <c:strCache>
                <c:ptCount val="1"/>
                <c:pt idx="0">
                  <c:v>支出总计</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[工作簿1]Sheet1!$B$3:$C$3</c:f>
              <c:strCache>
                <c:ptCount val="2"/>
                <c:pt idx="0">
                  <c:v>2024年</c:v>
                </c:pt>
                <c:pt idx="1">
                  <c:v>2025年</c:v>
                </c:pt>
              </c:strCache>
            </c:strRef>
          </c:cat>
          <c:val>
            <c:numRef>
              <c:f>[工作簿1]Sheet1!$B$5:$C$5</c:f>
              <c:numCache>
                <c:formatCode>General</c:formatCode>
                <c:ptCount val="2"/>
                <c:pt idx="0">
                  <c:v>2998.17</c:v>
                </c:pt>
                <c:pt idx="1">
                  <c:v>3118.43</c:v>
                </c:pt>
              </c:numCache>
            </c:numRef>
          </c:val>
        </c:ser>
        <c:dLbls>
          <c:showLegendKey val="0"/>
          <c:showVal val="0"/>
          <c:showCatName val="0"/>
          <c:showSerName val="0"/>
          <c:showPercent val="0"/>
          <c:showBubbleSize val="0"/>
        </c:dLbls>
        <c:gapWidth val="246"/>
        <c:overlap val="-28"/>
        <c:axId val="416173257"/>
        <c:axId val="305699566"/>
      </c:barChart>
      <c:catAx>
        <c:axId val="416173257"/>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699566"/>
        <c:crosses val="autoZero"/>
        <c:auto val="1"/>
        <c:lblAlgn val="ctr"/>
        <c:lblOffset val="100"/>
        <c:noMultiLvlLbl val="0"/>
      </c:catAx>
      <c:valAx>
        <c:axId val="305699566"/>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1617325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88c8438-eeb6-460a-a874-ad391d3ab7f9}"/>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收入决算结构图</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a:solidFill>
                  <a:schemeClr val="bg1"/>
                </a:solidFill>
              </a:ln>
              <a:effectLst/>
            </c:spPr>
          </c:dPt>
          <c:dLbls>
            <c:dLbl>
              <c:idx val="0"/>
              <c:layout/>
              <c:dLblPos val="bestFi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[工作簿1]Sheet1!$B$25</c:f>
              <c:strCache>
                <c:ptCount val="1"/>
                <c:pt idx="0">
                  <c:v>一般公共预算财政拨款</c:v>
                </c:pt>
              </c:strCache>
            </c:strRef>
          </c:cat>
          <c:val>
            <c:numRef>
              <c:f>[工作簿1]Sheet1!$C$25</c:f>
              <c:numCache>
                <c:formatCode>0%</c:formatCode>
                <c:ptCount val="1"/>
                <c:pt idx="0">
                  <c:v>1</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915ff94-5fcf-41aa-b257-5158ee2f968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59</Pages>
  <Words>10079</Words>
  <Characters>10827</Characters>
  <Lines>61</Lines>
  <Paragraphs>17</Paragraphs>
  <TotalTime>8</TotalTime>
  <ScaleCrop>false</ScaleCrop>
  <LinksUpToDate>false</LinksUpToDate>
  <CharactersWithSpaces>10876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2020-08-11T09:49:00Z</dcterms:created>
  <dc:creator>曹颖</dc:creator>
  <cp:lastModifiedBy>岳PC端</cp:lastModifiedBy>
  <cp:lastPrinted>2026-09-17T18:23:00Z</cp:lastPrinted>
  <dcterms:modified xsi:type="dcterms:W3CDTF">2026-09-20T01:04:38Z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00C69948B29F43D6A7777B2598BBD78D_13</vt:lpwstr>
  </property>
  <property fmtid="{D5CDD505-2E9C-101B-9397-08002B2CF9AE}" pid="4" name="KSOTemplateDocerSaveRecord">
    <vt:lpwstr>eyJoZGlkIjoiMjFlOTlkOWY2YWFiMjNiNTI1ZGEyOWJmNTZiNzZjZTEiLCJ1c2VySWQiOiIxNTMxMDU2NzUxIn0=</vt:lpwstr>
  </property>
</Properties>
</file>