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0FFE0">
      <w:pPr>
        <w:pStyle w:val="6"/>
        <w:rPr>
          <w:rFonts w:hint="eastAsia" w:ascii="Times New Roman" w:hAnsi="Times New Roman" w:eastAsia="方正公文小标宋" w:cs="Times New Roman"/>
          <w:color w:val="auto"/>
          <w:kern w:val="2"/>
          <w:sz w:val="72"/>
          <w:szCs w:val="72"/>
          <w:highlight w:val="none"/>
          <w:lang w:val="en-US" w:eastAsia="zh-CN" w:bidi="ar-SA"/>
        </w:rPr>
      </w:pPr>
      <w:bookmarkStart w:id="0" w:name="_Toc15377193"/>
      <w:bookmarkStart w:id="1" w:name="_Toc15306267"/>
      <w:bookmarkStart w:id="2" w:name="_Toc15378441"/>
      <w:bookmarkStart w:id="3" w:name="_Toc15396475"/>
      <w:bookmarkStart w:id="4" w:name="_Toc15377425"/>
      <w:bookmarkStart w:id="5" w:name="_Toc15396597"/>
    </w:p>
    <w:p w14:paraId="21D457B7">
      <w:pPr>
        <w:pStyle w:val="6"/>
        <w:rPr>
          <w:rFonts w:hint="eastAsia" w:ascii="Times New Roman" w:hAnsi="Times New Roman" w:eastAsia="方正公文小标宋" w:cs="Times New Roman"/>
          <w:color w:val="auto"/>
          <w:kern w:val="2"/>
          <w:sz w:val="72"/>
          <w:szCs w:val="72"/>
          <w:highlight w:val="none"/>
          <w:lang w:val="en-US" w:eastAsia="zh-CN" w:bidi="ar-SA"/>
        </w:rPr>
      </w:pPr>
    </w:p>
    <w:p w14:paraId="3854BC4B">
      <w:pPr>
        <w:pStyle w:val="6"/>
        <w:rPr>
          <w:rFonts w:hint="eastAsia" w:ascii="Times New Roman" w:hAnsi="Times New Roman" w:eastAsia="方正公文小标宋" w:cs="Times New Roman"/>
          <w:color w:val="auto"/>
          <w:kern w:val="2"/>
          <w:sz w:val="72"/>
          <w:szCs w:val="72"/>
          <w:highlight w:val="none"/>
          <w:lang w:val="en-US" w:eastAsia="zh-CN" w:bidi="ar-SA"/>
        </w:rPr>
      </w:pPr>
    </w:p>
    <w:p w14:paraId="682E6641">
      <w:pPr>
        <w:pStyle w:val="6"/>
        <w:suppressAutoHyphens/>
        <w:bidi w:val="0"/>
        <w:spacing w:before="0" w:beforeLines="-2147483648" w:after="140" w:line="276" w:lineRule="auto"/>
        <w:jc w:val="center"/>
        <w:rPr>
          <w:rFonts w:hint="eastAsia" w:ascii="方正公文小标宋" w:hAnsi="宋体" w:eastAsia="方正公文小标宋" w:cs="Times New Roman"/>
          <w:color w:val="auto"/>
          <w:kern w:val="2"/>
          <w:sz w:val="44"/>
          <w:szCs w:val="44"/>
          <w:highlight w:val="none"/>
          <w:lang w:val="en-US" w:eastAsia="zh-CN" w:bidi="ar-SA"/>
        </w:rPr>
      </w:pPr>
      <w:r>
        <w:rPr>
          <w:rFonts w:hint="eastAsia" w:ascii="方正公文小标宋" w:hAnsi="宋体" w:eastAsia="方正公文小标宋" w:cs="Times New Roman"/>
          <w:color w:val="auto"/>
          <w:kern w:val="2"/>
          <w:sz w:val="44"/>
          <w:szCs w:val="44"/>
          <w:highlight w:val="none"/>
          <w:lang w:val="en-US" w:eastAsia="zh-CN" w:bidi="ar-SA"/>
        </w:rPr>
        <w:t>2024年度巴中市人民检察院</w:t>
      </w:r>
    </w:p>
    <w:p w14:paraId="56556B9C">
      <w:pPr>
        <w:pStyle w:val="6"/>
        <w:suppressAutoHyphens/>
        <w:bidi w:val="0"/>
        <w:spacing w:before="0" w:beforeLines="-2147483648" w:after="140" w:line="276" w:lineRule="auto"/>
        <w:jc w:val="center"/>
        <w:rPr>
          <w:rFonts w:ascii="Times New Roman" w:hAnsi="Times New Roman"/>
        </w:rPr>
        <w:sectPr>
          <w:headerReference r:id="rId4"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公文小标宋" w:hAnsi="宋体" w:eastAsia="方正公文小标宋" w:cs="Times New Roman"/>
          <w:color w:val="auto"/>
          <w:kern w:val="2"/>
          <w:sz w:val="44"/>
          <w:szCs w:val="44"/>
          <w:highlight w:val="none"/>
          <w:lang w:val="en-US" w:eastAsia="zh-CN" w:bidi="ar-SA"/>
        </w:rPr>
        <w:t>部门决算</w:t>
      </w:r>
    </w:p>
    <w:bookmarkEnd w:id="0"/>
    <w:bookmarkEnd w:id="1"/>
    <w:bookmarkEnd w:id="2"/>
    <w:bookmarkEnd w:id="3"/>
    <w:bookmarkEnd w:id="4"/>
    <w:bookmarkEnd w:id="5"/>
    <w:p w14:paraId="73F69434">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1D1273CF">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日</w:t>
      </w:r>
    </w:p>
    <w:p w14:paraId="2A8212C3">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520221291"/>
        <w:docPartObj>
          <w:docPartGallery w:val="Table of Contents"/>
          <w:docPartUnique/>
        </w:docPartObj>
      </w:sdtPr>
      <w:sdtEndPr>
        <w:rPr>
          <w:rFonts w:hint="eastAsia" w:ascii="Times New Roman" w:hAnsi="Times New Roman" w:eastAsia="方正公文小标宋" w:cs="方正公文小标宋"/>
          <w:b/>
          <w:bCs/>
          <w:color w:val="auto"/>
          <w:kern w:val="44"/>
          <w:sz w:val="44"/>
          <w:szCs w:val="44"/>
          <w:highlight w:val="none"/>
          <w:lang w:val="en-US" w:eastAsia="zh-CN" w:bidi="ar-SA"/>
        </w:rPr>
      </w:sdtEndPr>
      <w:sdtContent>
        <w:p w14:paraId="73EB9EE5">
          <w:pPr>
            <w:spacing w:before="0" w:beforeLines="0" w:after="0" w:afterLines="0" w:line="240" w:lineRule="auto"/>
            <w:ind w:left="0" w:leftChars="0" w:right="0" w:rightChars="0" w:firstLine="0" w:firstLineChars="0"/>
            <w:jc w:val="center"/>
          </w:pPr>
          <w:bookmarkStart w:id="6" w:name="_Toc15396599"/>
          <w:bookmarkStart w:id="7" w:name="_Toc15377196"/>
        </w:p>
        <w:p w14:paraId="42F327D8">
          <w:pPr>
            <w:pStyle w:val="13"/>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TOC \o "1-3" \h \u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_Toc1094235654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第一部分  部门概况</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_Toc1094235654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05BF8955">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_Toc714957718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一、部门职责</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_Toc714957718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671B3D27">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_Toc797925166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二、机构设置</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_Toc797925166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- 4 -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58328E4F">
          <w:pPr>
            <w:pStyle w:val="13"/>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_Toc527051501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第二部分  2024年度部门决算情况说明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_Toc527051501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- 5 -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386B4DE7">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_Toc1916379013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一、收入支出决算总体情况说明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_Toc1916379013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- 5 -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0E50435E">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_Toc576895575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二、收入决算情况说明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_Toc576895575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- 5 -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33F95A02">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_Toc1523873870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三、支出决算情况说明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_Toc1523873870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- 6 -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2D22B09F">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_Toc652279480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四、财政拨款收入支出决算总体情况说明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_Toc652279480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- 6 -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2BC7C24F">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_Toc1811900404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五、一般公共预算财政拨款支出决算情况说明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_Toc1811900404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- 7 -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77767556">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_Toc1267207400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六、一般公共预算财政拨款基本支出决算情况说明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_Toc1267207400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- 10 -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4B7298C1">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_Toc1824801784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七、财政拨款“三公”经费支出决算情况说明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_Toc1824801784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- 11 -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43E1BBD5">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_Toc1544572387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八、政府性基金预算支出决算情况说明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_Toc1544572387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- 13 -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79DD1679">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_Toc1151152780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九、国有资本经营预算支出决算情况说明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_Toc1151152780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- 13 -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2040D0A4">
          <w:pPr>
            <w:pStyle w:val="15"/>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_Toc1347631388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十、其他重要事项的情况说明</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_Toc1347631388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- 13 -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48CB5125">
          <w:pPr>
            <w:pStyle w:val="13"/>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_Toc841403599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第三部分  名词解释</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_Toc841403599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- 15 -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38DE7C51">
          <w:pPr>
            <w:pStyle w:val="13"/>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_Toc2007136270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第四部分  附件</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_Toc2007136270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- 19 -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071CE778">
          <w:pPr>
            <w:pStyle w:val="13"/>
            <w:pageBreakBefore w:val="0"/>
            <w:widowControl w:val="0"/>
            <w:tabs>
              <w:tab w:val="right" w:leader="dot" w:pos="8306"/>
              <w:tab w:val="clear" w:pos="8296"/>
            </w:tabs>
            <w:kinsoku/>
            <w:wordWrap/>
            <w:overflowPunct/>
            <w:topLinePunct w:val="0"/>
            <w:autoSpaceDE/>
            <w:autoSpaceDN/>
            <w:bidi w:val="0"/>
            <w:adjustRightInd/>
            <w:snapToGrid/>
            <w:spacing w:line="120" w:lineRule="atLeast"/>
            <w:textAlignment w:val="auto"/>
            <w:rPr>
              <w:rFonts w:hint="eastAsia"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HYPERLINK \l _Toc344654305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第五部分 附表</w:t>
          </w:r>
          <w:r>
            <w:rPr>
              <w:rFonts w:hint="eastAsia" w:ascii="Times New Roman" w:hAnsi="Times New Roman" w:eastAsia="黑体" w:cs="Times New Roman"/>
              <w:color w:val="auto"/>
              <w:kern w:val="2"/>
              <w:sz w:val="24"/>
              <w:szCs w:val="24"/>
              <w:highlight w:val="none"/>
              <w:lang w:val="en-US" w:eastAsia="zh-CN" w:bidi="ar-SA"/>
            </w:rPr>
            <w:tab/>
          </w:r>
          <w:r>
            <w:rPr>
              <w:rFonts w:hint="eastAsia" w:ascii="Times New Roman" w:hAnsi="Times New Roman" w:eastAsia="黑体" w:cs="Times New Roman"/>
              <w:color w:val="auto"/>
              <w:kern w:val="2"/>
              <w:sz w:val="24"/>
              <w:szCs w:val="24"/>
              <w:highlight w:val="none"/>
              <w:lang w:val="en-US" w:eastAsia="zh-CN" w:bidi="ar-SA"/>
            </w:rPr>
            <w:fldChar w:fldCharType="begin"/>
          </w:r>
          <w:r>
            <w:rPr>
              <w:rFonts w:hint="eastAsia" w:ascii="Times New Roman" w:hAnsi="Times New Roman" w:eastAsia="黑体" w:cs="Times New Roman"/>
              <w:color w:val="auto"/>
              <w:kern w:val="2"/>
              <w:sz w:val="24"/>
              <w:szCs w:val="24"/>
              <w:highlight w:val="none"/>
              <w:lang w:val="en-US" w:eastAsia="zh-CN" w:bidi="ar-SA"/>
            </w:rPr>
            <w:instrText xml:space="preserve"> PAGEREF _Toc344654305 </w:instrText>
          </w:r>
          <w:r>
            <w:rPr>
              <w:rFonts w:hint="eastAsia" w:ascii="Times New Roman" w:hAnsi="Times New Roman" w:eastAsia="黑体" w:cs="Times New Roman"/>
              <w:color w:val="auto"/>
              <w:kern w:val="2"/>
              <w:sz w:val="24"/>
              <w:szCs w:val="24"/>
              <w:highlight w:val="none"/>
              <w:lang w:val="en-US" w:eastAsia="zh-CN" w:bidi="ar-SA"/>
            </w:rPr>
            <w:fldChar w:fldCharType="separate"/>
          </w:r>
          <w:r>
            <w:rPr>
              <w:rFonts w:hint="eastAsia" w:ascii="Times New Roman" w:hAnsi="Times New Roman" w:eastAsia="黑体" w:cs="Times New Roman"/>
              <w:color w:val="auto"/>
              <w:kern w:val="2"/>
              <w:sz w:val="24"/>
              <w:szCs w:val="24"/>
              <w:highlight w:val="none"/>
              <w:lang w:val="en-US" w:eastAsia="zh-CN" w:bidi="ar-SA"/>
            </w:rPr>
            <w:t>- 48 -</w:t>
          </w:r>
          <w:r>
            <w:rPr>
              <w:rFonts w:hint="eastAsia" w:ascii="Times New Roman" w:hAnsi="Times New Roman" w:eastAsia="黑体" w:cs="Times New Roman"/>
              <w:color w:val="auto"/>
              <w:kern w:val="2"/>
              <w:sz w:val="24"/>
              <w:szCs w:val="24"/>
              <w:highlight w:val="none"/>
              <w:lang w:val="en-US" w:eastAsia="zh-CN" w:bidi="ar-SA"/>
            </w:rPr>
            <w:fldChar w:fldCharType="end"/>
          </w:r>
          <w:r>
            <w:rPr>
              <w:rFonts w:hint="eastAsia" w:ascii="Times New Roman" w:hAnsi="Times New Roman" w:eastAsia="黑体" w:cs="Times New Roman"/>
              <w:color w:val="auto"/>
              <w:kern w:val="2"/>
              <w:sz w:val="24"/>
              <w:szCs w:val="24"/>
              <w:highlight w:val="none"/>
              <w:lang w:val="en-US" w:eastAsia="zh-CN" w:bidi="ar-SA"/>
            </w:rPr>
            <w:fldChar w:fldCharType="end"/>
          </w:r>
        </w:p>
        <w:p w14:paraId="5ECEC46F">
          <w:pPr>
            <w:pStyle w:val="3"/>
            <w:pageBreakBefore w:val="0"/>
            <w:widowControl w:val="0"/>
            <w:kinsoku/>
            <w:wordWrap/>
            <w:overflowPunct/>
            <w:topLinePunct w:val="0"/>
            <w:autoSpaceDE/>
            <w:autoSpaceDN/>
            <w:bidi w:val="0"/>
            <w:adjustRightInd/>
            <w:snapToGrid/>
            <w:spacing w:line="120" w:lineRule="atLeast"/>
            <w:jc w:val="both"/>
            <w:textAlignment w:val="auto"/>
            <w:rPr>
              <w:rFonts w:hint="eastAsia"/>
            </w:rPr>
          </w:pPr>
          <w:r>
            <w:rPr>
              <w:rFonts w:hint="eastAsia" w:ascii="Times New Roman" w:hAnsi="Times New Roman" w:eastAsia="黑体" w:cs="Times New Roman"/>
              <w:color w:val="auto"/>
              <w:kern w:val="2"/>
              <w:sz w:val="24"/>
              <w:szCs w:val="24"/>
              <w:highlight w:val="none"/>
              <w:lang w:val="en-US" w:eastAsia="zh-CN" w:bidi="ar-SA"/>
            </w:rPr>
            <w:fldChar w:fldCharType="end"/>
          </w:r>
        </w:p>
      </w:sdtContent>
    </w:sdt>
    <w:p w14:paraId="0E74F774">
      <w:pPr>
        <w:bidi w:val="0"/>
        <w:rPr>
          <w:rFonts w:hint="eastAsia"/>
        </w:rPr>
      </w:pPr>
    </w:p>
    <w:p w14:paraId="6C7651F3">
      <w:pPr>
        <w:bidi w:val="0"/>
        <w:rPr>
          <w:rFonts w:hint="eastAsia"/>
        </w:rPr>
      </w:pPr>
    </w:p>
    <w:p w14:paraId="4F6B8FC1">
      <w:pPr>
        <w:bidi w:val="0"/>
        <w:rPr>
          <w:rFonts w:hint="eastAsia"/>
        </w:rPr>
      </w:pPr>
    </w:p>
    <w:p w14:paraId="59175D41">
      <w:pPr>
        <w:bidi w:val="0"/>
        <w:rPr>
          <w:rFonts w:hint="eastAsia"/>
        </w:rPr>
      </w:pPr>
    </w:p>
    <w:p w14:paraId="357B9C28">
      <w:pPr>
        <w:bidi w:val="0"/>
        <w:rPr>
          <w:rFonts w:hint="eastAsia"/>
        </w:rPr>
      </w:pPr>
    </w:p>
    <w:p w14:paraId="3431A0E1">
      <w:pPr>
        <w:bidi w:val="0"/>
        <w:rPr>
          <w:rFonts w:hint="eastAsia"/>
        </w:rPr>
      </w:pPr>
    </w:p>
    <w:p w14:paraId="75186F12">
      <w:pPr>
        <w:bidi w:val="0"/>
        <w:rPr>
          <w:rFonts w:hint="eastAsia"/>
        </w:rPr>
      </w:pPr>
    </w:p>
    <w:p w14:paraId="46B3645A">
      <w:pPr>
        <w:bidi w:val="0"/>
        <w:rPr>
          <w:rFonts w:hint="eastAsia"/>
        </w:rPr>
      </w:pPr>
    </w:p>
    <w:p w14:paraId="7A0F1480">
      <w:pPr>
        <w:bidi w:val="0"/>
        <w:rPr>
          <w:rFonts w:hint="eastAsia"/>
        </w:rPr>
      </w:pPr>
    </w:p>
    <w:p w14:paraId="7A6E709F">
      <w:pPr>
        <w:bidi w:val="0"/>
        <w:rPr>
          <w:rFonts w:hint="eastAsia"/>
        </w:rPr>
      </w:pPr>
    </w:p>
    <w:p w14:paraId="4BFFA2DE">
      <w:pPr>
        <w:bidi w:val="0"/>
        <w:rPr>
          <w:rFonts w:hint="eastAsia"/>
        </w:rPr>
      </w:pPr>
    </w:p>
    <w:p w14:paraId="0C6DCC70">
      <w:pPr>
        <w:bidi w:val="0"/>
        <w:rPr>
          <w:rFonts w:hint="eastAsia"/>
        </w:rPr>
      </w:pPr>
    </w:p>
    <w:p w14:paraId="0A0D9C12">
      <w:pPr>
        <w:bidi w:val="0"/>
        <w:rPr>
          <w:rFonts w:hint="eastAsia"/>
        </w:rPr>
      </w:pPr>
    </w:p>
    <w:p w14:paraId="3D3E7BCA">
      <w:pPr>
        <w:tabs>
          <w:tab w:val="left" w:pos="2913"/>
        </w:tabs>
        <w:bidi w:val="0"/>
        <w:jc w:val="center"/>
        <w:rPr>
          <w:rStyle w:val="29"/>
          <w:rFonts w:hint="eastAsia" w:ascii="Times New Roman" w:hAnsi="Times New Roman" w:eastAsia="方正公文小标宋" w:cs="方正公文小标宋"/>
          <w:b w:val="0"/>
          <w:bCs w:val="0"/>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bookmarkStart w:id="8" w:name="_Toc1094235654"/>
    </w:p>
    <w:p w14:paraId="733A81C2">
      <w:pPr>
        <w:tabs>
          <w:tab w:val="left" w:pos="2913"/>
        </w:tabs>
        <w:bidi w:val="0"/>
        <w:jc w:val="center"/>
        <w:rPr>
          <w:rFonts w:ascii="Times New Roman" w:hAnsi="Times New Roman" w:eastAsia="黑体"/>
          <w:color w:val="auto"/>
          <w:sz w:val="32"/>
          <w:szCs w:val="32"/>
          <w:highlight w:val="none"/>
        </w:rPr>
      </w:pPr>
      <w:r>
        <w:rPr>
          <w:rStyle w:val="29"/>
          <w:rFonts w:hint="eastAsia" w:ascii="Times New Roman" w:hAnsi="Times New Roman" w:eastAsia="方正公文小标宋" w:cs="方正公文小标宋"/>
          <w:b w:val="0"/>
          <w:bCs w:val="0"/>
          <w:color w:val="auto"/>
          <w:highlight w:val="none"/>
        </w:rPr>
        <w:t>第一部分</w:t>
      </w:r>
      <w:r>
        <w:rPr>
          <w:rStyle w:val="29"/>
          <w:rFonts w:hint="eastAsia" w:ascii="Times New Roman" w:hAnsi="Times New Roman" w:eastAsia="方正公文小标宋" w:cs="方正公文小标宋"/>
          <w:b w:val="0"/>
          <w:bCs w:val="0"/>
          <w:color w:val="auto"/>
          <w:highlight w:val="none"/>
          <w:lang w:val="en-US" w:eastAsia="zh-CN"/>
        </w:rPr>
        <w:t xml:space="preserve"> </w:t>
      </w:r>
      <w:r>
        <w:rPr>
          <w:rFonts w:hint="eastAsia" w:ascii="Times New Roman" w:hAnsi="Times New Roman" w:eastAsia="方正公文小标宋" w:cs="方正公文小标宋"/>
          <w:b w:val="0"/>
          <w:color w:val="auto"/>
          <w:highlight w:val="none"/>
        </w:rPr>
        <w:t xml:space="preserve"> </w:t>
      </w:r>
      <w:r>
        <w:rPr>
          <w:rStyle w:val="29"/>
          <w:rFonts w:hint="eastAsia" w:ascii="Times New Roman" w:hAnsi="Times New Roman" w:eastAsia="方正公文小标宋" w:cs="方正公文小标宋"/>
          <w:b w:val="0"/>
          <w:bCs w:val="0"/>
          <w:color w:val="auto"/>
          <w:highlight w:val="none"/>
        </w:rPr>
        <w:t>部门概况</w:t>
      </w:r>
      <w:bookmarkEnd w:id="6"/>
      <w:bookmarkEnd w:id="7"/>
      <w:bookmarkEnd w:id="8"/>
    </w:p>
    <w:p w14:paraId="3E6C8942">
      <w:pPr>
        <w:pStyle w:val="4"/>
        <w:pageBreakBefore w:val="0"/>
        <w:widowControl w:val="0"/>
        <w:numPr>
          <w:ilvl w:val="0"/>
          <w:numId w:val="0"/>
        </w:numPr>
        <w:suppressAutoHyphens/>
        <w:kinsoku/>
        <w:wordWrap/>
        <w:overflowPunct/>
        <w:topLinePunct w:val="0"/>
        <w:autoSpaceDE/>
        <w:autoSpaceDN/>
        <w:bidi w:val="0"/>
        <w:spacing w:before="0" w:after="0" w:line="560" w:lineRule="exact"/>
        <w:ind w:firstLine="640" w:firstLineChars="200"/>
        <w:textAlignment w:val="auto"/>
        <w:rPr>
          <w:rFonts w:hint="eastAsia" w:ascii="方正黑体_GBK" w:hAnsi="方正黑体_GBK" w:eastAsia="方正黑体_GBK" w:cs="方正黑体_GBK"/>
          <w:b w:val="0"/>
          <w:color w:val="auto"/>
          <w:sz w:val="32"/>
          <w:szCs w:val="32"/>
          <w:highlight w:val="none"/>
          <w:lang w:eastAsia="zh-CN"/>
        </w:rPr>
      </w:pPr>
      <w:bookmarkStart w:id="9" w:name="_Toc15396600"/>
      <w:bookmarkStart w:id="10" w:name="_Toc15377197"/>
      <w:bookmarkStart w:id="11" w:name="_Toc714957718"/>
      <w:r>
        <w:rPr>
          <w:rFonts w:hint="eastAsia" w:ascii="Times New Roman" w:hAnsi="Times New Roman" w:eastAsia="黑体"/>
          <w:b w:val="0"/>
          <w:color w:val="auto"/>
          <w:highlight w:val="none"/>
        </w:rPr>
        <w:t>一</w:t>
      </w:r>
      <w:r>
        <w:rPr>
          <w:rFonts w:hint="eastAsia" w:ascii="方正黑体_GBK" w:hAnsi="方正黑体_GBK" w:eastAsia="方正黑体_GBK" w:cs="方正黑体_GBK"/>
          <w:b w:val="0"/>
          <w:color w:val="auto"/>
          <w:sz w:val="32"/>
          <w:szCs w:val="32"/>
          <w:highlight w:val="none"/>
          <w:lang w:eastAsia="zh-CN"/>
        </w:rPr>
        <w:t>、</w:t>
      </w:r>
      <w:bookmarkEnd w:id="9"/>
      <w:bookmarkEnd w:id="10"/>
      <w:r>
        <w:rPr>
          <w:rFonts w:hint="eastAsia" w:ascii="方正黑体_GBK" w:hAnsi="方正黑体_GBK" w:eastAsia="方正黑体_GBK" w:cs="方正黑体_GBK"/>
          <w:b w:val="0"/>
          <w:color w:val="auto"/>
          <w:sz w:val="32"/>
          <w:szCs w:val="32"/>
          <w:highlight w:val="none"/>
          <w:lang w:eastAsia="zh-CN"/>
        </w:rPr>
        <w:t>部门职责</w:t>
      </w:r>
      <w:bookmarkEnd w:id="11"/>
    </w:p>
    <w:p w14:paraId="2976DE27">
      <w:pPr>
        <w:pStyle w:val="4"/>
        <w:pageBreakBefore w:val="0"/>
        <w:widowControl w:val="0"/>
        <w:numPr>
          <w:ilvl w:val="0"/>
          <w:numId w:val="0"/>
        </w:numPr>
        <w:suppressAutoHyphens/>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bookmarkStart w:id="12" w:name="_Toc1896200669"/>
      <w:bookmarkStart w:id="13" w:name="_Toc775326653"/>
      <w:r>
        <w:rPr>
          <w:rFonts w:hint="eastAsia" w:ascii="Times New Roman" w:hAnsi="Times New Roman" w:eastAsia="方正仿宋_GBK" w:cs="Times New Roman"/>
          <w:b w:val="0"/>
          <w:bCs w:val="0"/>
          <w:color w:val="auto"/>
          <w:kern w:val="2"/>
          <w:sz w:val="32"/>
          <w:szCs w:val="32"/>
          <w:highlight w:val="none"/>
          <w:lang w:val="en-US" w:eastAsia="zh-CN" w:bidi="ar-SA"/>
        </w:rPr>
        <w:t>1.依法对巴中市人民代表大会及其常务委员会负责并报告工作。</w:t>
      </w:r>
      <w:bookmarkEnd w:id="12"/>
      <w:bookmarkEnd w:id="13"/>
    </w:p>
    <w:p w14:paraId="480506D1">
      <w:pPr>
        <w:pStyle w:val="4"/>
        <w:pageBreakBefore w:val="0"/>
        <w:widowControl w:val="0"/>
        <w:numPr>
          <w:ilvl w:val="0"/>
          <w:numId w:val="0"/>
        </w:numPr>
        <w:suppressAutoHyphens/>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bookmarkStart w:id="14" w:name="_Toc1632695031"/>
      <w:bookmarkStart w:id="15" w:name="_Toc2001582719"/>
      <w:r>
        <w:rPr>
          <w:rFonts w:hint="eastAsia" w:ascii="Times New Roman" w:hAnsi="Times New Roman" w:eastAsia="方正仿宋_GBK" w:cs="Times New Roman"/>
          <w:b w:val="0"/>
          <w:bCs w:val="0"/>
          <w:color w:val="auto"/>
          <w:kern w:val="2"/>
          <w:sz w:val="32"/>
          <w:szCs w:val="32"/>
          <w:highlight w:val="none"/>
          <w:lang w:val="en-US" w:eastAsia="zh-CN" w:bidi="ar-SA"/>
        </w:rPr>
        <w:t>2.领导全市检察机关的工作，按照最高检、省院确定的工作方针，部署全市检察工作任务。</w:t>
      </w:r>
      <w:bookmarkEnd w:id="14"/>
      <w:bookmarkEnd w:id="15"/>
    </w:p>
    <w:p w14:paraId="7ECB8A22">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负责全市检察机关文电、会务、机要、档案、保密等工作。组织协调全市检察机关重要工作部署、重大决策的贯彻实施。承担综合性绩效考核相关工作。起草审核相关文件文稿，处理检察信息，负责领导批办事项督查工作。负责人大代表、政协委员联络工作和特约检察员的联系工作，组织指导人民监督员工作。</w:t>
      </w:r>
    </w:p>
    <w:p w14:paraId="3A7D5666">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负责对巴中市监察委员会移送职务犯罪案件的审查逮捕、审查起诉、出庭支持公诉、抗诉，开展相关审判监督以及相关案件的补充侦查。负责对破坏社会主义市场经济秩序犯罪案件的审查逮捕、审查起诉、出庭支持公诉、抗诉，开展相关立案监督、侦查监督、审判监督以及相关案件的补充侦查。</w:t>
      </w:r>
    </w:p>
    <w:p w14:paraId="7DA2EC1E">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负责对第4项职能之外的刑事案件的审查逮捕、审查起诉、出庭支持公诉、抗诉，开展相关立案监督、侦查监督、审判监督以及相关案件的补充侦查。办理相关刑事申诉案件。</w:t>
      </w:r>
    </w:p>
    <w:p w14:paraId="6F598AA4">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负责对监狱、看守所、社区矫正机构等执法活动的监督，对刑事判决、裁定执行、强制医疗执行、羁押和办案期限的监督，羁押必要性审查。办理罪犯又犯罪案件。负责对司法工作人员利用职权实施的非法拘禁、刑讯逼供、非法搜查等14项侵犯公民权利、损害司法公正犯罪，以及按照刑事诉讼法规定需要人民检察院直接受理的其他重大犯罪案件的侦查。</w:t>
      </w:r>
    </w:p>
    <w:p w14:paraId="482DF899">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lang w:eastAsia="zh-CN"/>
        </w:rPr>
        <w:t>负责办理申请监督和提请抗诉的民事、行政案件的审查、抗诉。承办对巴中市中级人民法院民事、行政诉讼活动的法律监督，对审判监督程序以外的其他民事、行政审判程序中审判人员的违法行为提出检察建议，对民事执行、行政执法活动实行法律监督。开展民事支持起诉工作。办理民事、行政申诉案件。</w:t>
      </w:r>
    </w:p>
    <w:p w14:paraId="2B6357DD">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lang w:eastAsia="zh-CN"/>
        </w:rPr>
        <w:t>负责办理破坏生态环境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巴中市中级人民法院开庭审理的公益诉讼案件，派员出席法庭，依照有关规定提出检察建议。办理公益诉讼申诉案件。</w:t>
      </w:r>
    </w:p>
    <w:p w14:paraId="0754399A">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lang w:eastAsia="zh-CN"/>
        </w:rPr>
        <w:t>负责对未成年人犯罪和侵害未成年人犯罪案件的审查逮捕、审查起诉、出庭支持公诉、抗诉，开展相关立案监督、侦查监督、审判监督以及相关案件的补充侦查。开展未成年人司法保护和预防未成年人犯罪工作。</w:t>
      </w:r>
    </w:p>
    <w:p w14:paraId="461F994D">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lang w:eastAsia="zh-CN"/>
        </w:rPr>
        <w:t>负责受理控告和申诉。承办国家赔偿案件和国家司法救助案件。</w:t>
      </w:r>
    </w:p>
    <w:p w14:paraId="5EA166A6">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11.</w:t>
      </w:r>
      <w:r>
        <w:rPr>
          <w:rFonts w:hint="eastAsia" w:ascii="方正仿宋_GBK" w:hAnsi="方正仿宋_GBK" w:eastAsia="方正仿宋_GBK" w:cs="方正仿宋_GBK"/>
          <w:color w:val="auto"/>
          <w:sz w:val="32"/>
          <w:szCs w:val="32"/>
          <w:highlight w:val="none"/>
          <w:lang w:eastAsia="zh-CN"/>
        </w:rPr>
        <w:t>负责法律政策、检察基础理论、检察应用理论、法治建设等方面的调查研究工作。对征求意见的立法、地方立法草案进行研究，提出修改意见和建议。负责检察委员会、检察官协会、专家咨询委员会的日常工作。编辑有关检察刊物。负责司法体制改革综合协调相关工作。</w:t>
      </w:r>
    </w:p>
    <w:p w14:paraId="65BCD7A1">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12.</w:t>
      </w:r>
      <w:r>
        <w:rPr>
          <w:rFonts w:hint="eastAsia" w:ascii="方正仿宋_GBK" w:hAnsi="方正仿宋_GBK" w:eastAsia="方正仿宋_GBK" w:cs="方正仿宋_GBK"/>
          <w:color w:val="auto"/>
          <w:sz w:val="32"/>
          <w:szCs w:val="32"/>
          <w:highlight w:val="none"/>
          <w:lang w:eastAsia="zh-CN"/>
        </w:rPr>
        <w:t>负责案件的统一受理流转、办案流程监控、涉案财物管理、法律文书监管、案件信息公开，统一组织办案质量评查、业务考评和业务统计分析研判等工作。负责接待律师等诉讼参与人依法行使诉讼权利。负责业务信息化需求统筹，指导全市检察机关统一业务应用系统的应用。</w:t>
      </w:r>
    </w:p>
    <w:p w14:paraId="5F335CD5">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13.</w:t>
      </w:r>
      <w:r>
        <w:rPr>
          <w:rFonts w:hint="eastAsia" w:ascii="方正仿宋_GBK" w:hAnsi="方正仿宋_GBK" w:eastAsia="方正仿宋_GBK" w:cs="方正仿宋_GBK"/>
          <w:color w:val="auto"/>
          <w:sz w:val="32"/>
          <w:szCs w:val="32"/>
          <w:highlight w:val="none"/>
          <w:lang w:eastAsia="zh-CN"/>
        </w:rPr>
        <w:t>制定实施全市检察机关财务和装备规划，编制巴中市人民检察院支出规划和部门预决算，负责本级财务管理、国有资产管理、车辆管理、政府采购等工作，负责机关安保等工作。</w:t>
      </w:r>
    </w:p>
    <w:p w14:paraId="7A006519">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14.</w:t>
      </w:r>
      <w:r>
        <w:rPr>
          <w:rFonts w:hint="eastAsia" w:ascii="方正仿宋_GBK" w:hAnsi="方正仿宋_GBK" w:eastAsia="方正仿宋_GBK" w:cs="方正仿宋_GBK"/>
          <w:color w:val="auto"/>
          <w:sz w:val="32"/>
          <w:szCs w:val="32"/>
          <w:highlight w:val="none"/>
          <w:lang w:eastAsia="zh-CN"/>
        </w:rPr>
        <w:t>承担对全市检察机关执行法律、法规和最高人民检察院、四川省人民检察院、巴中市人民检察院的规定、决定等情况进行督察。承担内部审计工作。承担党组巡察工作领导小组日常工作。</w:t>
      </w:r>
    </w:p>
    <w:p w14:paraId="4EED80FA">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15.</w:t>
      </w:r>
      <w:r>
        <w:rPr>
          <w:rFonts w:hint="eastAsia" w:ascii="方正仿宋_GBK" w:hAnsi="方正仿宋_GBK" w:eastAsia="方正仿宋_GBK" w:cs="方正仿宋_GBK"/>
          <w:color w:val="auto"/>
          <w:sz w:val="32"/>
          <w:szCs w:val="32"/>
          <w:highlight w:val="none"/>
          <w:lang w:eastAsia="zh-CN"/>
        </w:rPr>
        <w:t>负责指导全市检察技术工作，组织全市检察机关重大技术疑难案件会检。制定全市检察机关技术工作计划和业务规章制度。依职权组织全市检察技术人员的业务培训和职称评定。受理和承办各类案件的现场勘验、检验鉴定和技术性证据审查。负责全市检察信息化和智慧检察的总体规划和统筹推进。承担相关软件研制、开发、推广和维护。负责全市检察机关通信网络系统管理和维护，承担三级专线网、检察工作网、互联网等网络的建设、维护和管理。</w:t>
      </w:r>
    </w:p>
    <w:p w14:paraId="215FBC12">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16.</w:t>
      </w:r>
      <w:r>
        <w:rPr>
          <w:rFonts w:hint="eastAsia" w:ascii="方正仿宋_GBK" w:hAnsi="方正仿宋_GBK" w:eastAsia="方正仿宋_GBK" w:cs="方正仿宋_GBK"/>
          <w:color w:val="auto"/>
          <w:sz w:val="32"/>
          <w:szCs w:val="32"/>
          <w:highlight w:val="none"/>
          <w:lang w:eastAsia="zh-CN"/>
        </w:rPr>
        <w:t>负责全市检察机关思想政治工作、新闻宣传、舆论引导、组织人事、教育培训、离退休干部、司法警察等工作。</w:t>
      </w:r>
    </w:p>
    <w:p w14:paraId="6BB971DB">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17.</w:t>
      </w:r>
      <w:r>
        <w:rPr>
          <w:rFonts w:hint="eastAsia" w:ascii="方正仿宋_GBK" w:hAnsi="方正仿宋_GBK" w:eastAsia="方正仿宋_GBK" w:cs="方正仿宋_GBK"/>
          <w:color w:val="auto"/>
          <w:sz w:val="32"/>
          <w:szCs w:val="32"/>
          <w:highlight w:val="none"/>
          <w:lang w:eastAsia="zh-CN"/>
        </w:rPr>
        <w:t>协同市委主管部门管理和考核县、区人民检察院的检察长；协同县级党委管理和考核县、区人民检察院副检察长及政治处主任；报经省人民检察院检察长提请省人民代表大会常务委员会批准任免本院检察长；提请市人民代表大会常务委员会批准或不批准县、区人民检察院检察长的任免；提请市人民代表大会常务委员会任免本院的副检察长、检察委员会委员、检察员。</w:t>
      </w:r>
    </w:p>
    <w:p w14:paraId="142DC474">
      <w:pPr>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18.负责其它应当由市人民检察院承办的事项。</w:t>
      </w:r>
    </w:p>
    <w:p w14:paraId="33A3AF82">
      <w:pPr>
        <w:pStyle w:val="4"/>
        <w:pageBreakBefore w:val="0"/>
        <w:widowControl w:val="0"/>
        <w:suppressAutoHyphens/>
        <w:kinsoku/>
        <w:wordWrap/>
        <w:overflowPunct/>
        <w:topLinePunct w:val="0"/>
        <w:autoSpaceDE/>
        <w:autoSpaceDN/>
        <w:bidi w:val="0"/>
        <w:spacing w:before="0" w:after="0" w:line="560" w:lineRule="exact"/>
        <w:ind w:firstLine="640" w:firstLineChars="200"/>
        <w:textAlignment w:val="auto"/>
        <w:rPr>
          <w:rFonts w:hint="eastAsia" w:ascii="方正黑体_GBK" w:hAnsi="方正黑体_GBK" w:eastAsia="方正黑体_GBK" w:cs="方正黑体_GBK"/>
          <w:b w:val="0"/>
          <w:color w:val="auto"/>
          <w:sz w:val="32"/>
          <w:szCs w:val="32"/>
          <w:highlight w:val="none"/>
        </w:rPr>
      </w:pPr>
      <w:bookmarkStart w:id="16" w:name="_Toc15377200"/>
      <w:bookmarkStart w:id="17" w:name="_Toc15396601"/>
      <w:bookmarkStart w:id="18" w:name="_Toc797925166"/>
      <w:r>
        <w:rPr>
          <w:rFonts w:hint="eastAsia" w:ascii="方正黑体_GBK" w:hAnsi="方正黑体_GBK" w:eastAsia="方正黑体_GBK" w:cs="方正黑体_GBK"/>
          <w:b w:val="0"/>
          <w:color w:val="auto"/>
          <w:sz w:val="32"/>
          <w:szCs w:val="32"/>
          <w:highlight w:val="none"/>
          <w:lang w:val="en-US" w:eastAsia="zh-CN"/>
        </w:rPr>
        <w:t>二、机</w:t>
      </w:r>
      <w:r>
        <w:rPr>
          <w:rFonts w:hint="eastAsia" w:ascii="方正黑体_GBK" w:hAnsi="方正黑体_GBK" w:eastAsia="方正黑体_GBK" w:cs="方正黑体_GBK"/>
          <w:b w:val="0"/>
          <w:color w:val="auto"/>
          <w:sz w:val="32"/>
          <w:szCs w:val="32"/>
          <w:highlight w:val="none"/>
        </w:rPr>
        <w:t>构设置</w:t>
      </w:r>
      <w:bookmarkEnd w:id="16"/>
      <w:bookmarkEnd w:id="17"/>
      <w:bookmarkEnd w:id="18"/>
    </w:p>
    <w:p w14:paraId="519F5519">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四川省巴中市人民检察院下属二级</w:t>
      </w:r>
      <w:r>
        <w:rPr>
          <w:rFonts w:hint="eastAsia" w:ascii="方正仿宋_GBK" w:hAnsi="方正仿宋_GBK" w:eastAsia="方正仿宋_GBK" w:cs="方正仿宋_GBK"/>
          <w:color w:val="auto"/>
          <w:sz w:val="32"/>
          <w:szCs w:val="32"/>
          <w:highlight w:val="none"/>
          <w:lang w:eastAsia="zh-CN"/>
        </w:rPr>
        <w:t>预算</w:t>
      </w:r>
      <w:r>
        <w:rPr>
          <w:rFonts w:hint="eastAsia" w:ascii="方正仿宋_GBK" w:hAnsi="方正仿宋_GBK" w:eastAsia="方正仿宋_GBK" w:cs="方正仿宋_GBK"/>
          <w:color w:val="auto"/>
          <w:sz w:val="32"/>
          <w:szCs w:val="32"/>
          <w:highlight w:val="none"/>
        </w:rPr>
        <w:t>单位</w:t>
      </w:r>
      <w:r>
        <w:rPr>
          <w:rFonts w:hint="eastAsia" w:ascii="Times New Roman" w:hAnsi="Times New Roman" w:eastAsia="方正仿宋_GBK" w:cs="Times New Roman"/>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个，其中行政单位</w:t>
      </w:r>
      <w:r>
        <w:rPr>
          <w:rFonts w:hint="eastAsia" w:ascii="Times New Roman" w:hAnsi="Times New Roman" w:eastAsia="方正仿宋_GBK" w:cs="Times New Roman"/>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个，参照公务员法管理的事业单位</w:t>
      </w:r>
      <w:r>
        <w:rPr>
          <w:rFonts w:hint="eastAsia" w:ascii="Times New Roman" w:hAnsi="Times New Roman" w:eastAsia="方正仿宋_GBK" w:cs="Times New Roman"/>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个，其他事业单位</w:t>
      </w:r>
      <w:r>
        <w:rPr>
          <w:rFonts w:hint="eastAsia" w:ascii="Times New Roman" w:hAnsi="Times New Roman" w:eastAsia="方正仿宋_GBK" w:cs="Times New Roman"/>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个。</w:t>
      </w:r>
    </w:p>
    <w:p w14:paraId="5804D519">
      <w:pPr>
        <w:pStyle w:val="6"/>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纳入四川省巴中市人民检察院</w:t>
      </w:r>
      <w:r>
        <w:rPr>
          <w:rFonts w:hint="eastAsia" w:ascii="Times New Roman" w:hAnsi="Times New Roman" w:eastAsia="方正仿宋_GBK" w:cs="Times New Roman"/>
          <w:color w:val="auto"/>
          <w:kern w:val="2"/>
          <w:sz w:val="32"/>
          <w:szCs w:val="32"/>
          <w:highlight w:val="none"/>
          <w:lang w:val="en-US" w:eastAsia="zh-CN" w:bidi="ar-SA"/>
        </w:rPr>
        <w:t>2024</w:t>
      </w:r>
      <w:r>
        <w:rPr>
          <w:rFonts w:hint="eastAsia" w:ascii="方正仿宋_GBK" w:hAnsi="方正仿宋_GBK" w:eastAsia="方正仿宋_GBK" w:cs="方正仿宋_GBK"/>
          <w:color w:val="auto"/>
          <w:sz w:val="32"/>
          <w:szCs w:val="32"/>
          <w:highlight w:val="none"/>
        </w:rPr>
        <w:t>年度部门决算编制范围的二级预算单位包括：</w:t>
      </w:r>
      <w:bookmarkStart w:id="19" w:name="_Toc15377202"/>
      <w:bookmarkStart w:id="20" w:name="_Toc15306276"/>
      <w:bookmarkStart w:id="21" w:name="_Toc15378449"/>
      <w:bookmarkStart w:id="22" w:name="_Toc15377433"/>
      <w:r>
        <w:rPr>
          <w:rFonts w:hint="eastAsia" w:ascii="方正仿宋_GBK" w:hAnsi="方正仿宋_GBK" w:eastAsia="方正仿宋_GBK" w:cs="方正仿宋_GBK"/>
          <w:sz w:val="32"/>
          <w:szCs w:val="32"/>
          <w:highlight w:val="none"/>
          <w:vertAlign w:val="baseline"/>
          <w:lang w:eastAsia="zh-Hans"/>
        </w:rPr>
        <w:t>巴中市人民检察院信息中心</w:t>
      </w:r>
      <w:bookmarkEnd w:id="19"/>
      <w:bookmarkEnd w:id="20"/>
      <w:bookmarkEnd w:id="21"/>
      <w:bookmarkEnd w:id="22"/>
      <w:r>
        <w:rPr>
          <w:rFonts w:hint="eastAsia" w:ascii="方正仿宋_GBK" w:hAnsi="方正仿宋_GBK" w:eastAsia="方正仿宋_GBK" w:cs="方正仿宋_GBK"/>
          <w:sz w:val="32"/>
          <w:szCs w:val="32"/>
          <w:highlight w:val="none"/>
          <w:vertAlign w:val="baseline"/>
          <w:lang w:eastAsia="zh-CN"/>
        </w:rPr>
        <w:t>。</w:t>
      </w:r>
    </w:p>
    <w:p w14:paraId="0EB0CD2B">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359FCA8">
      <w:pPr>
        <w:pStyle w:val="3"/>
        <w:jc w:val="center"/>
        <w:rPr>
          <w:rFonts w:hint="eastAsia" w:ascii="Times New Roman" w:hAnsi="Times New Roman" w:eastAsia="方正公文小标宋" w:cs="方正公文小标宋"/>
          <w:b w:val="0"/>
          <w:color w:val="auto"/>
          <w:highlight w:val="none"/>
        </w:rPr>
      </w:pPr>
      <w:bookmarkStart w:id="23" w:name="_Toc527051501"/>
      <w:bookmarkStart w:id="24" w:name="_Toc15377204"/>
      <w:bookmarkStart w:id="25" w:name="_Toc15396602"/>
      <w:r>
        <w:rPr>
          <w:rFonts w:hint="eastAsia" w:ascii="Times New Roman" w:hAnsi="Times New Roman" w:eastAsia="方正公文小标宋" w:cs="方正公文小标宋"/>
          <w:b w:val="0"/>
          <w:color w:val="auto"/>
          <w:highlight w:val="none"/>
        </w:rPr>
        <w:t>第二部分</w:t>
      </w:r>
      <w:r>
        <w:rPr>
          <w:rFonts w:hint="eastAsia" w:ascii="Times New Roman" w:hAnsi="Times New Roman" w:eastAsia="方正公文小标宋" w:cs="方正公文小标宋"/>
          <w:b w:val="0"/>
          <w:color w:val="auto"/>
          <w:highlight w:val="none"/>
          <w:lang w:val="en-US" w:eastAsia="zh-CN"/>
        </w:rPr>
        <w:t xml:space="preserve"> </w:t>
      </w:r>
      <w:r>
        <w:rPr>
          <w:rFonts w:hint="eastAsia" w:ascii="Times New Roman" w:hAnsi="Times New Roman" w:eastAsia="方正公文小标宋" w:cs="方正公文小标宋"/>
          <w:b w:val="0"/>
          <w:color w:val="auto"/>
          <w:highlight w:val="none"/>
        </w:rPr>
        <w:t xml:space="preserve"> </w:t>
      </w:r>
      <w:r>
        <w:rPr>
          <w:rFonts w:hint="eastAsia" w:ascii="Times New Roman" w:hAnsi="Times New Roman" w:eastAsia="方正公文小标宋" w:cs="方正公文小标宋"/>
          <w:b w:val="0"/>
          <w:color w:val="auto"/>
          <w:highlight w:val="none"/>
          <w:lang w:val="en-US" w:eastAsia="zh-CN"/>
        </w:rPr>
        <w:t>2024年度</w:t>
      </w:r>
      <w:r>
        <w:rPr>
          <w:rFonts w:hint="eastAsia" w:ascii="Times New Roman" w:hAnsi="Times New Roman" w:eastAsia="方正公文小标宋" w:cs="方正公文小标宋"/>
          <w:b w:val="0"/>
          <w:color w:val="auto"/>
          <w:highlight w:val="none"/>
        </w:rPr>
        <w:t>部门决算情况说明</w:t>
      </w:r>
      <w:bookmarkEnd w:id="23"/>
      <w:bookmarkEnd w:id="24"/>
      <w:bookmarkEnd w:id="25"/>
    </w:p>
    <w:p w14:paraId="161A1F82">
      <w:pPr>
        <w:rPr>
          <w:rFonts w:ascii="Times New Roman" w:hAnsi="Times New Roman"/>
          <w:color w:val="auto"/>
          <w:highlight w:val="none"/>
        </w:rPr>
      </w:pPr>
    </w:p>
    <w:p w14:paraId="0D2F5CD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5377205"/>
      <w:bookmarkStart w:id="27" w:name="_Toc15396603"/>
      <w:bookmarkStart w:id="28" w:name="_Toc191637901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6"/>
      <w:bookmarkEnd w:id="27"/>
      <w:bookmarkEnd w:id="28"/>
    </w:p>
    <w:p w14:paraId="406AF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2024年度收入、支出总计均为2998.17万元。与202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年度相比，收入</w:t>
      </w:r>
      <w:r>
        <w:rPr>
          <w:rFonts w:hint="eastAsia" w:ascii="Times New Roman" w:hAnsi="Times New Roman" w:eastAsia="仿宋_GB2312" w:cs="仿宋_GB2312"/>
          <w:color w:val="auto"/>
          <w:sz w:val="32"/>
          <w:szCs w:val="32"/>
          <w:highlight w:val="none"/>
          <w:lang w:val="en-US" w:eastAsia="zh-CN"/>
        </w:rPr>
        <w:t>总计增加95.8</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万元，增长3.3%。</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lang w:val="en-US" w:eastAsia="zh-CN"/>
        </w:rPr>
        <w:t>总计增加95.8</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val="en-US" w:eastAsia="zh-CN"/>
        </w:rPr>
        <w:t>万元，增长3.3%。</w:t>
      </w:r>
      <w:r>
        <w:rPr>
          <w:rFonts w:hint="eastAsia" w:ascii="Times New Roman" w:hAnsi="Times New Roman" w:eastAsia="仿宋_GB2312" w:cs="仿宋_GB2312"/>
          <w:color w:val="auto"/>
          <w:sz w:val="32"/>
          <w:szCs w:val="32"/>
          <w:highlight w:val="none"/>
          <w:lang w:eastAsia="zh-CN"/>
        </w:rPr>
        <w:t>主要变动原因是</w:t>
      </w:r>
      <w:r>
        <w:rPr>
          <w:rFonts w:hint="eastAsia" w:eastAsia="仿宋_GB2312" w:cs="仿宋_GB2312"/>
          <w:color w:val="auto"/>
          <w:sz w:val="32"/>
          <w:szCs w:val="32"/>
          <w:highlight w:val="none"/>
          <w:lang w:eastAsia="zh-CN"/>
        </w:rPr>
        <w:t>人员经费增加</w:t>
      </w:r>
      <w:r>
        <w:rPr>
          <w:rFonts w:hint="eastAsia" w:ascii="Times New Roman" w:hAnsi="Times New Roman" w:eastAsia="仿宋_GB2312" w:cs="仿宋_GB2312"/>
          <w:color w:val="auto"/>
          <w:sz w:val="32"/>
          <w:szCs w:val="32"/>
          <w:highlight w:val="none"/>
          <w:lang w:eastAsia="zh-CN"/>
        </w:rPr>
        <w:t>。</w:t>
      </w:r>
    </w:p>
    <w:p w14:paraId="100E6D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（图1：收入、支出决算总计变动情况图）（柱状图）</w:t>
      </w:r>
    </w:p>
    <w:p w14:paraId="36D3BA4F">
      <w:pPr>
        <w:pStyle w:val="2"/>
        <w:rPr>
          <w:rFonts w:hint="eastAsia"/>
        </w:rPr>
      </w:pPr>
    </w:p>
    <w:p w14:paraId="646FB5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黑体"/>
          <w:color w:val="auto"/>
          <w:sz w:val="32"/>
          <w:szCs w:val="32"/>
          <w:highlight w:val="none"/>
          <w:lang w:eastAsia="zh-CN"/>
        </w:rPr>
      </w:pPr>
      <w:r>
        <w:drawing>
          <wp:inline distT="0" distB="0" distL="114300" distR="114300">
            <wp:extent cx="5269230" cy="2842260"/>
            <wp:effectExtent l="4445" t="4445" r="22225" b="10795"/>
            <wp:docPr id="8" name="图表 2"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29" w:name="_Toc15396604"/>
      <w:bookmarkStart w:id="30" w:name="_Toc15377206"/>
    </w:p>
    <w:p w14:paraId="287D644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1" w:name="_Toc576895575"/>
      <w:r>
        <w:rPr>
          <w:rFonts w:hint="eastAsia" w:ascii="Times New Roman" w:hAnsi="Times New Roman" w:eastAsia="黑体"/>
          <w:color w:val="auto"/>
          <w:sz w:val="32"/>
          <w:szCs w:val="32"/>
          <w:highlight w:val="none"/>
          <w:lang w:eastAsia="zh-CN"/>
        </w:rPr>
        <w:t>二、收入决算情况说明</w:t>
      </w:r>
      <w:bookmarkEnd w:id="29"/>
      <w:bookmarkEnd w:id="30"/>
      <w:bookmarkEnd w:id="31"/>
    </w:p>
    <w:p w14:paraId="4F64C10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2024年度本年收入合计2998.17万元，其中：一般公共预算财政拨款收入2998.17万元，占100%。</w:t>
      </w:r>
    </w:p>
    <w:p w14:paraId="1399ADF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p>
    <w:p w14:paraId="4711540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p>
    <w:p w14:paraId="4659C795">
      <w:pPr>
        <w:pStyle w:val="2"/>
        <w:rPr>
          <w:rFonts w:hint="eastAsia" w:ascii="Times New Roman" w:hAnsi="Times New Roman" w:eastAsia="方正仿宋_GBK" w:cs="Times New Roman"/>
          <w:color w:val="auto"/>
          <w:kern w:val="2"/>
          <w:sz w:val="32"/>
          <w:szCs w:val="32"/>
          <w:highlight w:val="none"/>
          <w:lang w:val="en-US" w:eastAsia="zh-CN" w:bidi="ar-SA"/>
        </w:rPr>
      </w:pPr>
    </w:p>
    <w:p w14:paraId="2D2C3560">
      <w:pPr>
        <w:pStyle w:val="2"/>
        <w:rPr>
          <w:rFonts w:hint="eastAsia" w:ascii="Times New Roman" w:hAnsi="Times New Roman" w:eastAsia="方正仿宋_GBK" w:cs="Times New Roman"/>
          <w:color w:val="auto"/>
          <w:kern w:val="2"/>
          <w:sz w:val="32"/>
          <w:szCs w:val="32"/>
          <w:highlight w:val="none"/>
          <w:lang w:val="en-US" w:eastAsia="zh-CN" w:bidi="ar-SA"/>
        </w:rPr>
      </w:pPr>
    </w:p>
    <w:p w14:paraId="2AC7ED0D">
      <w:pPr>
        <w:pStyle w:val="2"/>
        <w:rPr>
          <w:rFonts w:hint="eastAsia"/>
          <w:lang w:val="en-US" w:eastAsia="zh-CN"/>
        </w:rPr>
      </w:pPr>
    </w:p>
    <w:p w14:paraId="51C4ADA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（图2：收入决算结构图）（饼状图）</w:t>
      </w:r>
    </w:p>
    <w:p w14:paraId="6E300A50">
      <w:pPr>
        <w:pStyle w:val="2"/>
        <w:rPr>
          <w:rFonts w:hint="eastAsia"/>
          <w:lang w:eastAsia="zh-CN"/>
        </w:rPr>
      </w:pPr>
    </w:p>
    <w:p w14:paraId="224E0F20">
      <w:pPr>
        <w:pStyle w:val="2"/>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476500"/>
            <wp:effectExtent l="4445" t="4445" r="14605" b="14605"/>
            <wp:docPr id="9"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18976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2" w:name="_Toc15377207"/>
      <w:bookmarkStart w:id="33" w:name="_Toc15396605"/>
      <w:bookmarkStart w:id="34" w:name="_Toc1523873870"/>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2"/>
      <w:bookmarkEnd w:id="33"/>
      <w:bookmarkEnd w:id="34"/>
    </w:p>
    <w:p w14:paraId="523800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 w:bidi="ar-SA"/>
        </w:rPr>
      </w:pPr>
      <w:r>
        <w:rPr>
          <w:rFonts w:hint="eastAsia" w:ascii="Times New Roman" w:hAnsi="Times New Roman" w:eastAsia="方正仿宋_GBK" w:cs="Times New Roman"/>
          <w:color w:val="auto"/>
          <w:kern w:val="2"/>
          <w:sz w:val="32"/>
          <w:szCs w:val="32"/>
          <w:highlight w:val="none"/>
          <w:lang w:val="en-US" w:eastAsia="zh-CN" w:bidi="ar-SA"/>
        </w:rPr>
        <w:t>2024年度本年支出合计2998.17万元，其中：基本支出2574.35万元，占85.86%；项目支出423.81万元，占14.14%。</w:t>
      </w:r>
    </w:p>
    <w:p w14:paraId="61C5B41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（图3：支出决算结构图）（饼状图）</w:t>
      </w:r>
    </w:p>
    <w:p w14:paraId="17E64AFF">
      <w:pPr>
        <w:pStyle w:val="2"/>
        <w:rPr>
          <w:rFonts w:hint="eastAsia" w:ascii="Times New Roman" w:hAnsi="Times New Roman" w:eastAsia="仿宋_GB2312" w:cs="仿宋_GB2312"/>
          <w:color w:val="auto"/>
          <w:sz w:val="32"/>
          <w:szCs w:val="32"/>
          <w:highlight w:val="none"/>
          <w:lang w:eastAsia="zh-CN"/>
        </w:rPr>
      </w:pPr>
    </w:p>
    <w:p w14:paraId="5C4813BB">
      <w:pPr>
        <w:pStyle w:val="2"/>
        <w:jc w:val="right"/>
        <w:rPr>
          <w:rFonts w:hint="eastAsia" w:ascii="Times New Roman" w:hAnsi="Times New Roman" w:eastAsia="仿宋_GB2312" w:cs="仿宋_GB2312"/>
          <w:color w:val="auto"/>
          <w:sz w:val="32"/>
          <w:szCs w:val="32"/>
          <w:highlight w:val="none"/>
          <w:lang w:eastAsia="zh-CN"/>
        </w:rPr>
      </w:pPr>
      <w:r>
        <w:drawing>
          <wp:inline distT="0" distB="0" distL="114300" distR="114300">
            <wp:extent cx="5274310" cy="2486025"/>
            <wp:effectExtent l="4445" t="4445" r="17145" b="5080"/>
            <wp:docPr id="10" name="图表 3"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B8D503">
      <w:pPr>
        <w:spacing w:line="600" w:lineRule="exact"/>
        <w:ind w:firstLine="640" w:firstLineChars="200"/>
        <w:outlineLvl w:val="1"/>
        <w:rPr>
          <w:rStyle w:val="30"/>
          <w:rFonts w:ascii="Times New Roman" w:hAnsi="Times New Roman" w:eastAsia="黑体"/>
          <w:b w:val="0"/>
          <w:color w:val="auto"/>
          <w:highlight w:val="none"/>
        </w:rPr>
      </w:pPr>
      <w:bookmarkStart w:id="35" w:name="_Toc15377208"/>
      <w:bookmarkStart w:id="36" w:name="_Toc652279480"/>
      <w:bookmarkStart w:id="37"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5"/>
      <w:bookmarkEnd w:id="36"/>
      <w:bookmarkEnd w:id="37"/>
    </w:p>
    <w:p w14:paraId="240DF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2024年度财政拨款收入、支出总计均为2998.17万元。与2023年度相比，财政拨款收入总计增加95.87万元，增长3.3%、支出总计增加95.87万元，增长3.3%。主要变动原因是</w:t>
      </w:r>
      <w:r>
        <w:rPr>
          <w:rFonts w:hint="eastAsia" w:eastAsia="仿宋_GB2312" w:cs="仿宋_GB2312"/>
          <w:color w:val="auto"/>
          <w:sz w:val="32"/>
          <w:szCs w:val="32"/>
          <w:highlight w:val="none"/>
          <w:lang w:val="en-US" w:eastAsia="zh-CN"/>
        </w:rPr>
        <w:t>人员经费增加</w:t>
      </w:r>
      <w:r>
        <w:rPr>
          <w:rFonts w:hint="eastAsia" w:ascii="Times New Roman" w:hAnsi="Times New Roman" w:eastAsia="仿宋_GB2312" w:cs="仿宋_GB2312"/>
          <w:color w:val="auto"/>
          <w:sz w:val="32"/>
          <w:szCs w:val="32"/>
          <w:highlight w:val="none"/>
          <w:lang w:val="en-US" w:eastAsia="zh-CN"/>
        </w:rPr>
        <w:t>。</w:t>
      </w:r>
    </w:p>
    <w:p w14:paraId="51DEE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（图4：财政拨款收、支决算总计变动情况）（柱状图）</w:t>
      </w:r>
    </w:p>
    <w:p w14:paraId="419B79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4DEB3F">
      <w:pPr>
        <w:pStyle w:val="2"/>
        <w:jc w:val="center"/>
        <w:rPr>
          <w:rFonts w:hint="eastAsia"/>
          <w:lang w:val="en-US" w:eastAsia="zh-CN"/>
        </w:rPr>
      </w:pPr>
      <w:r>
        <w:drawing>
          <wp:inline distT="0" distB="0" distL="114300" distR="114300">
            <wp:extent cx="4572000" cy="2743200"/>
            <wp:effectExtent l="4445" t="4445" r="14605" b="1460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AC2F70">
      <w:pPr>
        <w:spacing w:line="600" w:lineRule="exact"/>
        <w:ind w:firstLine="640" w:firstLineChars="200"/>
        <w:outlineLvl w:val="1"/>
        <w:rPr>
          <w:rStyle w:val="30"/>
          <w:rFonts w:ascii="Times New Roman" w:hAnsi="Times New Roman" w:eastAsia="黑体"/>
          <w:b w:val="0"/>
          <w:color w:val="auto"/>
          <w:highlight w:val="none"/>
        </w:rPr>
      </w:pPr>
      <w:bookmarkStart w:id="38" w:name="_Toc15396607"/>
      <w:bookmarkStart w:id="39" w:name="_Toc1811900404"/>
      <w:bookmarkStart w:id="40"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8"/>
      <w:bookmarkEnd w:id="39"/>
      <w:bookmarkEnd w:id="40"/>
    </w:p>
    <w:p w14:paraId="496ABF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0"/>
      <w:bookmarkStart w:id="42" w:name="_Toc349280345"/>
      <w:bookmarkStart w:id="43" w:name="_Toc1693932133"/>
      <w:r>
        <w:rPr>
          <w:rFonts w:hint="eastAsia" w:ascii="Times New Roman" w:hAnsi="Times New Roman" w:eastAsia="楷体_GB2312" w:cs="楷体_GB2312"/>
          <w:b/>
          <w:color w:val="auto"/>
          <w:sz w:val="32"/>
          <w:szCs w:val="32"/>
          <w:highlight w:val="none"/>
        </w:rPr>
        <w:t>（一）一般公共预算财政拨款支出决算总体情况</w:t>
      </w:r>
      <w:bookmarkEnd w:id="41"/>
      <w:bookmarkEnd w:id="42"/>
      <w:bookmarkEnd w:id="43"/>
    </w:p>
    <w:p w14:paraId="6DA27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Times New Roman" w:hAnsi="Times New Roman" w:eastAsia="仿宋_GB2312" w:cs="仿宋_GB2312"/>
          <w:color w:val="auto"/>
          <w:sz w:val="32"/>
          <w:szCs w:val="32"/>
          <w:highlight w:val="none"/>
          <w:lang w:val="en-US" w:eastAsia="zh-CN"/>
        </w:rPr>
        <w:t>2024年度一般公共预算财政拨款支出2998.17万元，占本年支出合计的100%。与2023年度相比，一般公共预算财政拨款支出增95.87万元，增长3.3%。主要变动原因是:</w:t>
      </w:r>
      <w:r>
        <w:rPr>
          <w:rFonts w:hint="eastAsia" w:eastAsia="仿宋_GB2312" w:cs="仿宋_GB2312"/>
          <w:color w:val="auto"/>
          <w:sz w:val="32"/>
          <w:szCs w:val="32"/>
          <w:highlight w:val="none"/>
          <w:lang w:val="en-US" w:eastAsia="zh-CN"/>
        </w:rPr>
        <w:t>人员经费增加</w:t>
      </w:r>
      <w:r>
        <w:rPr>
          <w:rFonts w:hint="eastAsia" w:ascii="Times New Roman" w:hAnsi="Times New Roman" w:eastAsia="仿宋_GB2312" w:cs="仿宋_GB2312"/>
          <w:color w:val="auto"/>
          <w:sz w:val="32"/>
          <w:szCs w:val="32"/>
          <w:highlight w:val="none"/>
          <w:lang w:val="en-US" w:eastAsia="zh-CN"/>
        </w:rPr>
        <w:t>。</w:t>
      </w:r>
    </w:p>
    <w:p w14:paraId="48638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（图5：一般公共预算财政拨款支出决算变动情况）（柱状图）</w:t>
      </w:r>
    </w:p>
    <w:p w14:paraId="683F6B16">
      <w:pPr>
        <w:pStyle w:val="2"/>
        <w:jc w:val="center"/>
        <w:rPr>
          <w:rFonts w:hint="eastAsia"/>
          <w:lang w:val="en-US" w:eastAsia="zh-CN"/>
        </w:rPr>
      </w:pPr>
      <w:r>
        <w:drawing>
          <wp:inline distT="0" distB="0" distL="114300" distR="114300">
            <wp:extent cx="3732530" cy="1520825"/>
            <wp:effectExtent l="4445" t="4445" r="15875" b="17780"/>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2BB37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737136872"/>
      <w:bookmarkStart w:id="45" w:name="_Toc1325609"/>
      <w:bookmarkStart w:id="4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4"/>
      <w:bookmarkEnd w:id="45"/>
      <w:bookmarkEnd w:id="46"/>
    </w:p>
    <w:p w14:paraId="10B85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一般公共预算财政拨款支出2998.17万元，主要用于以下方面：一般公共服务支出6.16万元，占比0.2%;公共安全支出2532.07万元，占比84.45%;社会保障和就业支出186.36万元，占比6.22%;卫生健康支出93.72万元，占比3.13%;住房保障支出179.86万元，占比6%。</w:t>
      </w:r>
    </w:p>
    <w:p w14:paraId="135B8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Times New Roman" w:hAnsi="Times New Roman" w:eastAsia="仿宋_GB2312" w:cs="仿宋_GB2312"/>
          <w:color w:val="auto"/>
          <w:sz w:val="32"/>
          <w:szCs w:val="32"/>
          <w:highlight w:val="none"/>
          <w:lang w:val="en-US" w:eastAsia="zh-CN"/>
        </w:rPr>
        <w:t>（图6：一般公共预算财政拨款支出决算结构）（饼状</w:t>
      </w:r>
      <w:r>
        <w:rPr>
          <w:rFonts w:hint="eastAsia" w:ascii="仿宋_GB2312" w:hAnsi="仿宋" w:eastAsia="仿宋_GB2312" w:cs="Times New Roman"/>
          <w:sz w:val="32"/>
          <w:szCs w:val="32"/>
          <w:lang w:val="en-US" w:eastAsia="zh-CN"/>
        </w:rPr>
        <w:t>图）</w:t>
      </w:r>
    </w:p>
    <w:p w14:paraId="1490CE85">
      <w:pPr>
        <w:pStyle w:val="36"/>
        <w:ind w:left="0" w:leftChars="0" w:firstLine="0" w:firstLineChars="0"/>
        <w:jc w:val="center"/>
        <w:rPr>
          <w:rFonts w:hint="default"/>
          <w:lang w:val="en-US" w:eastAsia="zh-CN"/>
        </w:rPr>
      </w:pPr>
      <w:r>
        <w:drawing>
          <wp:inline distT="0" distB="0" distL="114300" distR="114300">
            <wp:extent cx="4215765" cy="2378075"/>
            <wp:effectExtent l="5080" t="4445" r="8255" b="1778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66FBD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2"/>
      <w:bookmarkStart w:id="48" w:name="_Toc1268618395"/>
      <w:bookmarkStart w:id="49" w:name="_Toc188510453"/>
      <w:r>
        <w:rPr>
          <w:rFonts w:hint="eastAsia" w:ascii="Times New Roman" w:hAnsi="Times New Roman" w:eastAsia="楷体_GB2312" w:cs="楷体_GB2312"/>
          <w:b/>
          <w:color w:val="auto"/>
          <w:sz w:val="32"/>
          <w:szCs w:val="32"/>
          <w:highlight w:val="none"/>
        </w:rPr>
        <w:t>（三）一般公共预算财政拨款支出决算具体情况</w:t>
      </w:r>
      <w:bookmarkEnd w:id="47"/>
      <w:bookmarkEnd w:id="48"/>
      <w:bookmarkEnd w:id="49"/>
    </w:p>
    <w:p w14:paraId="50A6E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bookmarkStart w:id="50" w:name="_Toc15378460"/>
      <w:bookmarkStart w:id="51" w:name="_Toc15377444"/>
      <w:bookmarkStart w:id="52" w:name="_Toc15377213"/>
      <w:r>
        <w:rPr>
          <w:rFonts w:hint="eastAsia" w:ascii="Times New Roman" w:hAnsi="Times New Roman" w:eastAsia="仿宋_GB2312" w:cs="仿宋_GB2312"/>
          <w:color w:val="auto"/>
          <w:sz w:val="32"/>
          <w:szCs w:val="32"/>
          <w:highlight w:val="none"/>
          <w:lang w:val="en-US" w:eastAsia="zh-CN"/>
        </w:rPr>
        <w:t>2024年度一般公共预算财政拨款支出决算数为2998.17</w:t>
      </w:r>
      <w:r>
        <w:rPr>
          <w:rFonts w:hint="eastAsia"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lang w:val="en-US" w:eastAsia="zh-CN"/>
        </w:rPr>
        <w:t>，完成预算100%。其中：</w:t>
      </w:r>
      <w:bookmarkEnd w:id="50"/>
      <w:bookmarkEnd w:id="51"/>
      <w:bookmarkEnd w:id="52"/>
    </w:p>
    <w:p w14:paraId="18D25E4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Style w:val="18"/>
          <w:rFonts w:hint="eastAsia" w:ascii="方正仿宋_GBK" w:hAnsi="方正仿宋_GBK" w:eastAsia="方正仿宋_GBK" w:cs="方正仿宋_GBK"/>
          <w:bCs/>
          <w:color w:val="auto"/>
          <w:sz w:val="32"/>
          <w:szCs w:val="32"/>
          <w:highlight w:val="none"/>
          <w:lang w:val="en-US" w:eastAsia="zh-CN"/>
        </w:rPr>
        <w:t>一般公共服务（类）纪检监察事务（款）派驻派出机构（项）：</w:t>
      </w:r>
      <w:r>
        <w:rPr>
          <w:rFonts w:hint="eastAsia" w:ascii="Times New Roman" w:hAnsi="Times New Roman" w:eastAsia="方正仿宋_GBK" w:cs="Times New Roman"/>
          <w:color w:val="auto"/>
          <w:kern w:val="2"/>
          <w:sz w:val="32"/>
          <w:szCs w:val="32"/>
          <w:highlight w:val="none"/>
          <w:lang w:val="en-US" w:eastAsia="zh-CN" w:bidi="ar-SA"/>
        </w:rPr>
        <w:t>支出决算为6.16万元，完成预算100%，决算数等于预算数。</w:t>
      </w:r>
    </w:p>
    <w:p w14:paraId="672836ED">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Style w:val="18"/>
          <w:rFonts w:hint="eastAsia" w:ascii="方正仿宋_GBK" w:hAnsi="方正仿宋_GBK" w:eastAsia="方正仿宋_GBK" w:cs="方正仿宋_GBK"/>
          <w:bCs/>
          <w:color w:val="auto"/>
          <w:sz w:val="32"/>
          <w:szCs w:val="32"/>
          <w:highlight w:val="none"/>
        </w:rPr>
        <w:t>公共安全支出（类）检察（款）行政运行（项）:</w:t>
      </w:r>
      <w:r>
        <w:rPr>
          <w:rFonts w:hint="eastAsia" w:ascii="Times New Roman" w:hAnsi="Times New Roman" w:eastAsia="仿宋_GB2312" w:cs="仿宋_GB2312"/>
          <w:color w:val="auto"/>
          <w:kern w:val="2"/>
          <w:sz w:val="32"/>
          <w:szCs w:val="32"/>
          <w:highlight w:val="none"/>
          <w:lang w:val="en-US" w:eastAsia="zh-CN" w:bidi="ar-SA"/>
        </w:rPr>
        <w:t>支</w:t>
      </w:r>
      <w:r>
        <w:rPr>
          <w:rFonts w:hint="eastAsia" w:ascii="Times New Roman" w:hAnsi="Times New Roman" w:eastAsia="方正仿宋_GBK" w:cs="Times New Roman"/>
          <w:color w:val="auto"/>
          <w:kern w:val="2"/>
          <w:sz w:val="32"/>
          <w:szCs w:val="32"/>
          <w:highlight w:val="none"/>
          <w:lang w:val="en-US" w:eastAsia="zh-CN" w:bidi="ar-SA"/>
        </w:rPr>
        <w:t>出决算为2035.89万元，完成预算100%，决算数等于预算数。</w:t>
      </w:r>
    </w:p>
    <w:p w14:paraId="743B94C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Style w:val="18"/>
          <w:rFonts w:hint="eastAsia" w:ascii="方正仿宋_GBK" w:hAnsi="方正仿宋_GBK" w:eastAsia="方正仿宋_GBK" w:cs="方正仿宋_GBK"/>
          <w:bCs/>
          <w:color w:val="auto"/>
          <w:sz w:val="32"/>
          <w:szCs w:val="32"/>
          <w:highlight w:val="none"/>
        </w:rPr>
        <w:t>公共安全支出（类）检察（款）一般行政管理事务（项）:</w:t>
      </w:r>
      <w:r>
        <w:rPr>
          <w:rFonts w:hint="eastAsia" w:ascii="Times New Roman" w:hAnsi="Times New Roman" w:eastAsia="方正仿宋_GBK" w:cs="Times New Roman"/>
          <w:color w:val="auto"/>
          <w:kern w:val="2"/>
          <w:sz w:val="32"/>
          <w:szCs w:val="32"/>
          <w:highlight w:val="none"/>
          <w:lang w:val="en-US" w:eastAsia="zh-CN" w:bidi="ar-SA"/>
        </w:rPr>
        <w:t>支出决算为211.68万元，完成预算100%，决算数等于预算数。</w:t>
      </w:r>
    </w:p>
    <w:p w14:paraId="1DB6347B">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Style w:val="18"/>
          <w:rFonts w:hint="eastAsia" w:ascii="方正仿宋_GBK" w:hAnsi="方正仿宋_GBK" w:eastAsia="方正仿宋_GBK" w:cs="方正仿宋_GBK"/>
          <w:bCs/>
          <w:color w:val="auto"/>
          <w:sz w:val="32"/>
          <w:szCs w:val="32"/>
          <w:highlight w:val="none"/>
        </w:rPr>
        <w:t>公共安全支出（类）检察（款）“两房”建设（项）:</w:t>
      </w:r>
      <w:r>
        <w:rPr>
          <w:rFonts w:hint="eastAsia" w:ascii="Times New Roman" w:hAnsi="Times New Roman" w:eastAsia="方正仿宋_GBK" w:cs="Times New Roman"/>
          <w:color w:val="auto"/>
          <w:kern w:val="2"/>
          <w:sz w:val="32"/>
          <w:szCs w:val="32"/>
          <w:highlight w:val="none"/>
          <w:lang w:val="en-US" w:eastAsia="zh-CN" w:bidi="ar-SA"/>
        </w:rPr>
        <w:t>支出决算为8.22万元，完成预算100%，决算数等于预算数。</w:t>
      </w:r>
    </w:p>
    <w:p w14:paraId="4A4440C9">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Style w:val="18"/>
          <w:rFonts w:hint="eastAsia" w:ascii="方正仿宋_GBK" w:hAnsi="方正仿宋_GBK" w:eastAsia="方正仿宋_GBK" w:cs="方正仿宋_GBK"/>
          <w:bCs/>
          <w:color w:val="auto"/>
          <w:sz w:val="32"/>
          <w:szCs w:val="32"/>
          <w:highlight w:val="none"/>
        </w:rPr>
        <w:t>公共安全支出（类）检察（款）检察监督（项）:</w:t>
      </w:r>
      <w:r>
        <w:rPr>
          <w:rFonts w:hint="eastAsia" w:ascii="Times New Roman" w:hAnsi="Times New Roman" w:eastAsia="仿宋_GB2312" w:cs="仿宋_GB2312"/>
          <w:color w:val="auto"/>
          <w:kern w:val="2"/>
          <w:sz w:val="32"/>
          <w:szCs w:val="32"/>
          <w:highlight w:val="none"/>
          <w:lang w:val="en-US" w:eastAsia="zh-CN" w:bidi="ar-SA"/>
        </w:rPr>
        <w:t>支</w:t>
      </w:r>
      <w:r>
        <w:rPr>
          <w:rFonts w:hint="eastAsia" w:ascii="Times New Roman" w:hAnsi="Times New Roman" w:eastAsia="方正仿宋_GBK" w:cs="Times New Roman"/>
          <w:color w:val="auto"/>
          <w:kern w:val="2"/>
          <w:sz w:val="32"/>
          <w:szCs w:val="32"/>
          <w:highlight w:val="none"/>
          <w:lang w:val="en-US" w:eastAsia="zh-CN" w:bidi="ar-SA"/>
        </w:rPr>
        <w:t>出决算为179.53万元，完成预算100%，决算数等于预算数。</w:t>
      </w:r>
    </w:p>
    <w:p w14:paraId="6DCEE2D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6.</w:t>
      </w:r>
      <w:r>
        <w:rPr>
          <w:rStyle w:val="18"/>
          <w:rFonts w:hint="eastAsia" w:ascii="方正仿宋_GBK" w:hAnsi="方正仿宋_GBK" w:eastAsia="方正仿宋_GBK" w:cs="方正仿宋_GBK"/>
          <w:bCs/>
          <w:color w:val="auto"/>
          <w:sz w:val="32"/>
          <w:szCs w:val="32"/>
          <w:highlight w:val="none"/>
        </w:rPr>
        <w:t>公共安全支出（类）检察（款）事业运行（项）:</w:t>
      </w:r>
      <w:r>
        <w:rPr>
          <w:rFonts w:hint="eastAsia" w:ascii="Times New Roman" w:hAnsi="Times New Roman" w:eastAsia="方正仿宋_GBK" w:cs="Times New Roman"/>
          <w:color w:val="auto"/>
          <w:kern w:val="2"/>
          <w:sz w:val="32"/>
          <w:szCs w:val="32"/>
          <w:highlight w:val="none"/>
          <w:lang w:val="en-US" w:eastAsia="zh-CN" w:bidi="ar-SA"/>
        </w:rPr>
        <w:t>支出决算为72.36万元，完成预算100%，决算数等于预算数。</w:t>
      </w:r>
    </w:p>
    <w:p w14:paraId="4094DAC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eastAsia="方正仿宋_GBK" w:cs="Times New Roman"/>
          <w:color w:val="auto"/>
          <w:kern w:val="2"/>
          <w:sz w:val="32"/>
          <w:szCs w:val="32"/>
          <w:highlight w:val="none"/>
          <w:lang w:val="en-US" w:eastAsia="zh-CN" w:bidi="ar-SA"/>
        </w:rPr>
        <w:t>7</w:t>
      </w:r>
      <w:r>
        <w:rPr>
          <w:rFonts w:hint="eastAsia" w:ascii="Times New Roman" w:hAnsi="Times New Roman" w:eastAsia="方正仿宋_GBK" w:cs="Times New Roman"/>
          <w:color w:val="auto"/>
          <w:kern w:val="2"/>
          <w:sz w:val="32"/>
          <w:szCs w:val="32"/>
          <w:highlight w:val="none"/>
          <w:lang w:val="en-US" w:eastAsia="zh-CN" w:bidi="ar-SA"/>
        </w:rPr>
        <w:t>.</w:t>
      </w:r>
      <w:r>
        <w:rPr>
          <w:rStyle w:val="18"/>
          <w:rFonts w:hint="eastAsia" w:ascii="方正仿宋_GBK" w:hAnsi="方正仿宋_GBK" w:eastAsia="方正仿宋_GBK" w:cs="方正仿宋_GBK"/>
          <w:bCs/>
          <w:color w:val="auto"/>
          <w:sz w:val="32"/>
          <w:szCs w:val="32"/>
          <w:highlight w:val="none"/>
        </w:rPr>
        <w:t>公共安全支出（类）检察（款）其他检察支出（项）:</w:t>
      </w:r>
      <w:r>
        <w:rPr>
          <w:rFonts w:hint="eastAsia" w:ascii="Times New Roman" w:hAnsi="Times New Roman" w:eastAsia="方正仿宋_GBK" w:cs="Times New Roman"/>
          <w:color w:val="auto"/>
          <w:kern w:val="2"/>
          <w:sz w:val="32"/>
          <w:szCs w:val="32"/>
          <w:highlight w:val="none"/>
          <w:lang w:val="en-US" w:eastAsia="zh-CN" w:bidi="ar-SA"/>
        </w:rPr>
        <w:t>支出决算为24.39万元，完成预算100%，决算数等于预算数。</w:t>
      </w:r>
    </w:p>
    <w:p w14:paraId="5DF3E82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8.</w:t>
      </w:r>
      <w:r>
        <w:rPr>
          <w:rStyle w:val="18"/>
          <w:rFonts w:hint="eastAsia" w:ascii="方正仿宋_GBK" w:hAnsi="方正仿宋_GBK" w:eastAsia="方正仿宋_GBK" w:cs="方正仿宋_GBK"/>
          <w:bCs/>
          <w:color w:val="auto"/>
          <w:sz w:val="32"/>
          <w:szCs w:val="32"/>
          <w:highlight w:val="none"/>
        </w:rPr>
        <w:t>社会保障和就业（类）行政事业单位养老支出（款）机关事业单位基本养老保险缴费支出（项）:</w:t>
      </w:r>
      <w:r>
        <w:rPr>
          <w:rStyle w:val="18"/>
          <w:rFonts w:hint="eastAsia" w:ascii="方正仿宋_GBK" w:hAnsi="方正仿宋_GBK" w:eastAsia="方正仿宋_GBK" w:cs="方正仿宋_GBK"/>
          <w:b w:val="0"/>
          <w:bCs/>
          <w:color w:val="auto"/>
          <w:sz w:val="32"/>
          <w:szCs w:val="32"/>
          <w:highlight w:val="none"/>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支出决算为160.56万元，完成预算100%，决算数等于预算数。</w:t>
      </w:r>
    </w:p>
    <w:p w14:paraId="22F6FF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eastAsia="方正仿宋_GBK" w:cs="Times New Roman"/>
          <w:color w:val="auto"/>
          <w:kern w:val="2"/>
          <w:sz w:val="32"/>
          <w:szCs w:val="32"/>
          <w:highlight w:val="none"/>
          <w:lang w:val="en-US" w:eastAsia="zh-CN" w:bidi="ar-SA"/>
        </w:rPr>
        <w:t>9</w:t>
      </w:r>
      <w:r>
        <w:rPr>
          <w:rFonts w:hint="eastAsia" w:ascii="Times New Roman" w:hAnsi="Times New Roman" w:eastAsia="方正仿宋_GBK" w:cs="Times New Roman"/>
          <w:color w:val="auto"/>
          <w:kern w:val="2"/>
          <w:sz w:val="32"/>
          <w:szCs w:val="32"/>
          <w:highlight w:val="none"/>
          <w:lang w:val="en-US" w:eastAsia="zh-CN" w:bidi="ar-SA"/>
        </w:rPr>
        <w:t>.</w:t>
      </w:r>
      <w:r>
        <w:rPr>
          <w:rStyle w:val="18"/>
          <w:rFonts w:hint="eastAsia" w:ascii="方正仿宋_GBK" w:hAnsi="方正仿宋_GBK" w:eastAsia="方正仿宋_GBK" w:cs="方正仿宋_GBK"/>
          <w:bCs/>
          <w:color w:val="auto"/>
          <w:sz w:val="32"/>
          <w:szCs w:val="32"/>
          <w:highlight w:val="none"/>
        </w:rPr>
        <w:t>社会保障和就业（类）行政事业单位养老支出（款）行政单位离退休（项）:</w:t>
      </w:r>
      <w:r>
        <w:rPr>
          <w:rStyle w:val="18"/>
          <w:rFonts w:hint="eastAsia" w:ascii="方正仿宋_GBK" w:hAnsi="方正仿宋_GBK" w:eastAsia="方正仿宋_GBK" w:cs="方正仿宋_GBK"/>
          <w:b w:val="0"/>
          <w:bCs/>
          <w:color w:val="auto"/>
          <w:sz w:val="32"/>
          <w:szCs w:val="32"/>
          <w:highlight w:val="none"/>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支出决算为0.42万元，完成预算100%，决算数等于预算数。</w:t>
      </w:r>
    </w:p>
    <w:p w14:paraId="22D2EE3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10.</w:t>
      </w:r>
      <w:r>
        <w:rPr>
          <w:rStyle w:val="18"/>
          <w:rFonts w:hint="eastAsia" w:ascii="方正仿宋_GBK" w:hAnsi="方正仿宋_GBK" w:eastAsia="方正仿宋_GBK" w:cs="方正仿宋_GBK"/>
          <w:bCs/>
          <w:color w:val="auto"/>
          <w:sz w:val="32"/>
          <w:szCs w:val="32"/>
          <w:highlight w:val="none"/>
        </w:rPr>
        <w:t>社会保障和就业（类）抚恤（款）死亡抚恤（项）:</w:t>
      </w:r>
      <w:r>
        <w:rPr>
          <w:rStyle w:val="18"/>
          <w:rFonts w:hint="eastAsia" w:ascii="方正仿宋_GBK" w:hAnsi="方正仿宋_GBK" w:eastAsia="方正仿宋_GBK" w:cs="方正仿宋_GBK"/>
          <w:b w:val="0"/>
          <w:bCs/>
          <w:color w:val="auto"/>
          <w:sz w:val="32"/>
          <w:szCs w:val="32"/>
          <w:highlight w:val="none"/>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支出决算为25.27万元，完成预算100%，决算数等于预算数。</w:t>
      </w:r>
    </w:p>
    <w:p w14:paraId="1E1C8A6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11.</w:t>
      </w:r>
      <w:r>
        <w:rPr>
          <w:rStyle w:val="18"/>
          <w:rFonts w:hint="eastAsia" w:ascii="方正仿宋_GBK" w:hAnsi="方正仿宋_GBK" w:eastAsia="方正仿宋_GBK" w:cs="方正仿宋_GBK"/>
          <w:bCs/>
          <w:color w:val="auto"/>
          <w:sz w:val="32"/>
          <w:szCs w:val="32"/>
          <w:highlight w:val="none"/>
        </w:rPr>
        <w:t>社会保障和就业（类）其他社会保障和就业支出（款）其他社会保障和就业支出（项）:</w:t>
      </w:r>
      <w:r>
        <w:rPr>
          <w:rStyle w:val="18"/>
          <w:rFonts w:hint="eastAsia" w:ascii="方正仿宋_GBK" w:hAnsi="方正仿宋_GBK" w:eastAsia="方正仿宋_GBK" w:cs="方正仿宋_GBK"/>
          <w:b w:val="0"/>
          <w:bCs/>
          <w:color w:val="auto"/>
          <w:sz w:val="32"/>
          <w:szCs w:val="32"/>
          <w:highlight w:val="none"/>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支出决算为0.11万元，完成预算100%，决算数等于预算数。</w:t>
      </w:r>
    </w:p>
    <w:p w14:paraId="57103B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12.</w:t>
      </w:r>
      <w:r>
        <w:rPr>
          <w:rFonts w:hint="eastAsia" w:ascii="方正仿宋_GBK" w:hAnsi="方正仿宋_GBK" w:eastAsia="方正仿宋_GBK" w:cs="方正仿宋_GBK"/>
          <w:b/>
          <w:bCs/>
          <w:color w:val="auto"/>
          <w:sz w:val="32"/>
          <w:szCs w:val="32"/>
          <w:highlight w:val="none"/>
        </w:rPr>
        <w:t>卫生健康</w:t>
      </w:r>
      <w:r>
        <w:rPr>
          <w:rStyle w:val="18"/>
          <w:rFonts w:hint="eastAsia" w:ascii="方正仿宋_GBK" w:hAnsi="方正仿宋_GBK" w:eastAsia="方正仿宋_GBK" w:cs="方正仿宋_GBK"/>
          <w:bCs/>
          <w:color w:val="auto"/>
          <w:sz w:val="32"/>
          <w:szCs w:val="32"/>
          <w:highlight w:val="none"/>
        </w:rPr>
        <w:t>（类）行政事业单位医疗（款）行政单位医疗（项）:</w:t>
      </w:r>
      <w:r>
        <w:rPr>
          <w:rFonts w:hint="eastAsia" w:ascii="Times New Roman" w:hAnsi="Times New Roman" w:eastAsia="方正仿宋_GBK" w:cs="Times New Roman"/>
          <w:color w:val="auto"/>
          <w:kern w:val="2"/>
          <w:sz w:val="32"/>
          <w:szCs w:val="32"/>
          <w:highlight w:val="none"/>
          <w:lang w:val="en-US" w:eastAsia="zh-CN" w:bidi="ar-SA"/>
        </w:rPr>
        <w:t>支出决算为65.43万元，完成预算100%，决算数等于预算数。</w:t>
      </w:r>
    </w:p>
    <w:p w14:paraId="5FB7678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13.</w:t>
      </w:r>
      <w:r>
        <w:rPr>
          <w:rFonts w:hint="eastAsia" w:ascii="方正仿宋_GBK" w:hAnsi="方正仿宋_GBK" w:eastAsia="方正仿宋_GBK" w:cs="方正仿宋_GBK"/>
          <w:b/>
          <w:bCs/>
          <w:color w:val="auto"/>
          <w:sz w:val="32"/>
          <w:szCs w:val="32"/>
          <w:highlight w:val="none"/>
        </w:rPr>
        <w:t>卫生健康</w:t>
      </w:r>
      <w:r>
        <w:rPr>
          <w:rStyle w:val="18"/>
          <w:rFonts w:hint="eastAsia" w:ascii="方正仿宋_GBK" w:hAnsi="方正仿宋_GBK" w:eastAsia="方正仿宋_GBK" w:cs="方正仿宋_GBK"/>
          <w:bCs/>
          <w:color w:val="auto"/>
          <w:sz w:val="32"/>
          <w:szCs w:val="32"/>
          <w:highlight w:val="none"/>
        </w:rPr>
        <w:t>（类）行政事业单位医疗（款）事业单位医疗（项）:</w:t>
      </w:r>
      <w:r>
        <w:rPr>
          <w:rFonts w:hint="eastAsia" w:ascii="Times New Roman" w:hAnsi="Times New Roman" w:eastAsia="方正仿宋_GBK" w:cs="Times New Roman"/>
          <w:color w:val="auto"/>
          <w:kern w:val="2"/>
          <w:sz w:val="32"/>
          <w:szCs w:val="32"/>
          <w:highlight w:val="none"/>
          <w:lang w:val="en-US" w:eastAsia="zh-CN" w:bidi="ar-SA"/>
        </w:rPr>
        <w:t>支出决算为3.73万元，完成预算100%，决算数等于预算数。</w:t>
      </w:r>
    </w:p>
    <w:p w14:paraId="66DC8327">
      <w:pPr>
        <w:pStyle w:val="1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kern w:val="2"/>
          <w:sz w:val="32"/>
          <w:szCs w:val="32"/>
          <w:highlight w:val="none"/>
          <w:lang w:val="en-US" w:eastAsia="zh-CN" w:bidi="ar-SA"/>
        </w:rPr>
        <w:t>14.</w:t>
      </w:r>
      <w:r>
        <w:rPr>
          <w:rFonts w:hint="eastAsia" w:ascii="方正仿宋_GBK" w:hAnsi="方正仿宋_GBK" w:eastAsia="方正仿宋_GBK" w:cs="方正仿宋_GBK"/>
          <w:b/>
          <w:bCs/>
          <w:color w:val="auto"/>
          <w:sz w:val="32"/>
          <w:szCs w:val="32"/>
          <w:highlight w:val="none"/>
        </w:rPr>
        <w:t>卫生健康</w:t>
      </w:r>
      <w:r>
        <w:rPr>
          <w:rStyle w:val="18"/>
          <w:rFonts w:hint="eastAsia" w:ascii="方正仿宋_GBK" w:hAnsi="方正仿宋_GBK" w:eastAsia="方正仿宋_GBK" w:cs="方正仿宋_GBK"/>
          <w:bCs/>
          <w:color w:val="auto"/>
          <w:sz w:val="32"/>
          <w:szCs w:val="32"/>
          <w:highlight w:val="none"/>
        </w:rPr>
        <w:t>（类）行政事业单位医疗（款）公务员医疗补助（项）:</w:t>
      </w:r>
      <w:r>
        <w:rPr>
          <w:rFonts w:hint="eastAsia" w:ascii="Times New Roman" w:hAnsi="Times New Roman" w:eastAsia="方正仿宋_GBK" w:cs="Times New Roman"/>
          <w:color w:val="auto"/>
          <w:kern w:val="2"/>
          <w:sz w:val="32"/>
          <w:szCs w:val="32"/>
          <w:highlight w:val="none"/>
          <w:lang w:val="en-US" w:eastAsia="zh-CN" w:bidi="ar-SA"/>
        </w:rPr>
        <w:t>支出决算为14万元，完成预算100%，决算数等于预算数。</w:t>
      </w:r>
    </w:p>
    <w:p w14:paraId="45EEB5BD">
      <w:pPr>
        <w:pStyle w:val="14"/>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15.</w:t>
      </w:r>
      <w:r>
        <w:rPr>
          <w:rFonts w:hint="eastAsia" w:ascii="方正仿宋_GBK" w:hAnsi="方正仿宋_GBK" w:eastAsia="方正仿宋_GBK" w:cs="方正仿宋_GBK"/>
          <w:b/>
          <w:bCs/>
          <w:color w:val="auto"/>
          <w:sz w:val="32"/>
          <w:szCs w:val="32"/>
          <w:highlight w:val="none"/>
          <w:lang w:val="en-US" w:eastAsia="zh-CN"/>
        </w:rPr>
        <w:t>卫</w:t>
      </w:r>
      <w:r>
        <w:rPr>
          <w:rFonts w:hint="eastAsia" w:ascii="方正仿宋_GBK" w:hAnsi="方正仿宋_GBK" w:eastAsia="方正仿宋_GBK" w:cs="方正仿宋_GBK"/>
          <w:b/>
          <w:bCs/>
          <w:color w:val="auto"/>
          <w:sz w:val="32"/>
          <w:szCs w:val="32"/>
          <w:highlight w:val="none"/>
        </w:rPr>
        <w:t>生健康</w:t>
      </w:r>
      <w:r>
        <w:rPr>
          <w:rStyle w:val="18"/>
          <w:rFonts w:hint="eastAsia" w:ascii="方正仿宋_GBK" w:hAnsi="方正仿宋_GBK" w:eastAsia="方正仿宋_GBK" w:cs="方正仿宋_GBK"/>
          <w:bCs/>
          <w:color w:val="auto"/>
          <w:sz w:val="32"/>
          <w:szCs w:val="32"/>
          <w:highlight w:val="none"/>
        </w:rPr>
        <w:t>（类）行政事业单位医疗（款）其他行政事业单位医疗支出（项）:</w:t>
      </w:r>
      <w:r>
        <w:rPr>
          <w:rFonts w:hint="eastAsia" w:ascii="Times New Roman" w:hAnsi="Times New Roman" w:eastAsia="方正仿宋_GBK" w:cs="Times New Roman"/>
          <w:color w:val="auto"/>
          <w:kern w:val="2"/>
          <w:sz w:val="32"/>
          <w:szCs w:val="32"/>
          <w:highlight w:val="none"/>
          <w:lang w:val="en-US" w:eastAsia="zh-CN" w:bidi="ar-SA"/>
        </w:rPr>
        <w:t>支出决算为10.55万元，完成预算100%，决算数等于预算数。</w:t>
      </w:r>
    </w:p>
    <w:p w14:paraId="10A4FE30">
      <w:pPr>
        <w:pStyle w:val="1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16.</w:t>
      </w:r>
      <w:r>
        <w:rPr>
          <w:rFonts w:hint="eastAsia" w:ascii="方正仿宋_GBK" w:hAnsi="方正仿宋_GBK" w:eastAsia="方正仿宋_GBK" w:cs="方正仿宋_GBK"/>
          <w:b/>
          <w:bCs/>
          <w:color w:val="auto"/>
          <w:sz w:val="32"/>
          <w:szCs w:val="32"/>
          <w:highlight w:val="none"/>
        </w:rPr>
        <w:t>住房保障支出</w:t>
      </w:r>
      <w:r>
        <w:rPr>
          <w:rStyle w:val="18"/>
          <w:rFonts w:hint="eastAsia" w:ascii="方正仿宋_GBK" w:hAnsi="方正仿宋_GBK" w:eastAsia="方正仿宋_GBK" w:cs="方正仿宋_GBK"/>
          <w:bCs/>
          <w:color w:val="auto"/>
          <w:sz w:val="32"/>
          <w:szCs w:val="32"/>
          <w:highlight w:val="none"/>
        </w:rPr>
        <w:t>（类）住房改革支出（款）住房公积金（项）:</w:t>
      </w:r>
      <w:r>
        <w:rPr>
          <w:rFonts w:hint="eastAsia" w:ascii="Times New Roman" w:hAnsi="Times New Roman" w:eastAsia="方正仿宋_GBK" w:cs="Times New Roman"/>
          <w:color w:val="auto"/>
          <w:kern w:val="2"/>
          <w:sz w:val="32"/>
          <w:szCs w:val="32"/>
          <w:highlight w:val="none"/>
          <w:lang w:val="en-US" w:eastAsia="zh-CN" w:bidi="ar-SA"/>
        </w:rPr>
        <w:t>支出决算为179.85万元，完成预算100%，决算数等于预算数。</w:t>
      </w:r>
    </w:p>
    <w:p w14:paraId="546173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14:paraId="1DC5986F">
      <w:pPr>
        <w:tabs>
          <w:tab w:val="right" w:pos="8306"/>
        </w:tabs>
        <w:spacing w:line="600" w:lineRule="exact"/>
        <w:ind w:firstLine="640"/>
        <w:outlineLvl w:val="1"/>
        <w:rPr>
          <w:rStyle w:val="30"/>
          <w:rFonts w:ascii="Times New Roman" w:hAnsi="Times New Roman"/>
          <w:color w:val="auto"/>
          <w:highlight w:val="none"/>
        </w:rPr>
      </w:pPr>
      <w:bookmarkStart w:id="53" w:name="_Toc1267207400"/>
      <w:bookmarkStart w:id="54" w:name="_Toc15396608"/>
      <w:bookmarkStart w:id="5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3"/>
      <w:bookmarkEnd w:id="54"/>
      <w:bookmarkEnd w:id="55"/>
      <w:r>
        <w:rPr>
          <w:rStyle w:val="30"/>
          <w:rFonts w:ascii="Times New Roman" w:hAnsi="Times New Roman" w:eastAsia="黑体"/>
          <w:b w:val="0"/>
          <w:color w:val="auto"/>
          <w:highlight w:val="none"/>
        </w:rPr>
        <w:tab/>
      </w:r>
    </w:p>
    <w:p w14:paraId="3E5E43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2024年度一般公共预算财政拨款基本支出2574.35万元，其中：</w:t>
      </w:r>
    </w:p>
    <w:p w14:paraId="60A3D7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人员经费2185.24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方正仿宋_GBK" w:cs="Times New Roman"/>
          <w:color w:val="auto"/>
          <w:kern w:val="2"/>
          <w:sz w:val="32"/>
          <w:szCs w:val="32"/>
          <w:highlight w:val="none"/>
          <w:lang w:val="en-US" w:eastAsia="zh-CN" w:bidi="ar-SA"/>
        </w:rPr>
        <w:br w:type="textWrapping"/>
      </w:r>
      <w:r>
        <w:rPr>
          <w:rFonts w:hint="eastAsia" w:eastAsia="方正仿宋_GBK" w:cs="Times New Roman"/>
          <w:color w:val="auto"/>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公用经费389.11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479C065">
      <w:pPr>
        <w:spacing w:line="600" w:lineRule="exact"/>
        <w:ind w:firstLine="640"/>
        <w:outlineLvl w:val="1"/>
        <w:rPr>
          <w:rStyle w:val="30"/>
          <w:rFonts w:ascii="Times New Roman" w:hAnsi="Times New Roman" w:eastAsia="黑体"/>
          <w:b w:val="0"/>
          <w:color w:val="auto"/>
          <w:highlight w:val="none"/>
        </w:rPr>
      </w:pPr>
      <w:bookmarkStart w:id="56" w:name="_Toc15377215"/>
      <w:bookmarkStart w:id="57" w:name="_Toc15396609"/>
      <w:bookmarkStart w:id="58" w:name="_Toc1824801784"/>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财政拨款“三公”经费支出决算情况说明</w:t>
      </w:r>
      <w:bookmarkEnd w:id="56"/>
      <w:bookmarkEnd w:id="57"/>
      <w:bookmarkEnd w:id="58"/>
    </w:p>
    <w:p w14:paraId="7B8DC9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645130048"/>
      <w:bookmarkStart w:id="60" w:name="_Toc15377216"/>
      <w:bookmarkStart w:id="61" w:name="_Toc798083542"/>
      <w:r>
        <w:rPr>
          <w:rFonts w:hint="eastAsia" w:ascii="Times New Roman" w:hAnsi="Times New Roman" w:eastAsia="楷体_GB2312" w:cs="楷体_GB2312"/>
          <w:b/>
          <w:color w:val="auto"/>
          <w:sz w:val="32"/>
          <w:szCs w:val="32"/>
          <w:highlight w:val="none"/>
        </w:rPr>
        <w:t>（一）“三公”经费财政拨款支出决算总体情况说明</w:t>
      </w:r>
      <w:bookmarkEnd w:id="59"/>
      <w:bookmarkEnd w:id="60"/>
      <w:bookmarkEnd w:id="61"/>
    </w:p>
    <w:p w14:paraId="6C2308D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024年度“三公”经费财政拨款支出决算为41.04万元，完成预算91.06%，较上年度增加减少3.47万元，下降7.8%。决算数小于预算数（或与预算数持平）的主要原因是本年厉行精简节约。</w:t>
      </w:r>
    </w:p>
    <w:p w14:paraId="52CDB5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17"/>
      <w:bookmarkStart w:id="63" w:name="_Toc1781986826"/>
      <w:bookmarkStart w:id="64" w:name="_Toc694241780"/>
      <w:r>
        <w:rPr>
          <w:rFonts w:hint="eastAsia" w:ascii="Times New Roman" w:hAnsi="Times New Roman" w:eastAsia="楷体_GB2312" w:cs="楷体_GB2312"/>
          <w:b/>
          <w:color w:val="auto"/>
          <w:sz w:val="32"/>
          <w:szCs w:val="32"/>
          <w:highlight w:val="none"/>
        </w:rPr>
        <w:t>（二）“三公”经费财政拨款支出决算具体情况说明</w:t>
      </w:r>
      <w:bookmarkEnd w:id="62"/>
      <w:bookmarkEnd w:id="63"/>
      <w:bookmarkEnd w:id="64"/>
    </w:p>
    <w:p w14:paraId="60E805BF">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2024年度“三公”经费财政拨款支出决算中，因公出国（境）费支出决算0万元，占0%；公务用车购置及运行维护费支出决算38.78万元，占94.5%；公务接待费支出决算2.26万元，占5.5%。具体情况如下：</w:t>
      </w:r>
    </w:p>
    <w:p w14:paraId="30E3F2D0">
      <w:pPr>
        <w:pStyle w:val="2"/>
        <w:rPr>
          <w:rFonts w:hint="eastAsia" w:ascii="Times New Roman" w:hAnsi="Times New Roman" w:eastAsia="方正仿宋_GBK" w:cs="Times New Roman"/>
          <w:color w:val="auto"/>
          <w:kern w:val="2"/>
          <w:sz w:val="32"/>
          <w:szCs w:val="32"/>
          <w:highlight w:val="none"/>
          <w:lang w:val="en-US" w:eastAsia="zh-CN" w:bidi="ar-SA"/>
        </w:rPr>
      </w:pPr>
    </w:p>
    <w:p w14:paraId="64B8BBEF">
      <w:pPr>
        <w:pStyle w:val="2"/>
        <w:rPr>
          <w:rFonts w:hint="eastAsia" w:ascii="Times New Roman" w:hAnsi="Times New Roman" w:eastAsia="方正仿宋_GBK" w:cs="Times New Roman"/>
          <w:color w:val="auto"/>
          <w:kern w:val="2"/>
          <w:sz w:val="32"/>
          <w:szCs w:val="32"/>
          <w:highlight w:val="none"/>
          <w:lang w:val="en-US" w:eastAsia="zh-CN" w:bidi="ar-SA"/>
        </w:rPr>
      </w:pPr>
    </w:p>
    <w:p w14:paraId="73BD572A">
      <w:pPr>
        <w:pStyle w:val="2"/>
        <w:rPr>
          <w:rFonts w:hint="eastAsia" w:ascii="Times New Roman" w:hAnsi="Times New Roman" w:eastAsia="方正仿宋_GBK" w:cs="Times New Roman"/>
          <w:color w:val="auto"/>
          <w:kern w:val="2"/>
          <w:sz w:val="32"/>
          <w:szCs w:val="32"/>
          <w:highlight w:val="none"/>
          <w:lang w:val="en-US" w:eastAsia="zh-CN" w:bidi="ar-SA"/>
        </w:rPr>
      </w:pPr>
    </w:p>
    <w:p w14:paraId="5F5B65B0">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（图7：“三公”经费财政拨款支出结构）（饼状图）</w:t>
      </w:r>
    </w:p>
    <w:p w14:paraId="0A546286">
      <w:pPr>
        <w:pStyle w:val="2"/>
        <w:rPr>
          <w:rFonts w:hint="eastAsia" w:ascii="Times New Roman" w:hAnsi="Times New Roman" w:eastAsia="仿宋_GB2312" w:cs="仿宋_GB2312"/>
          <w:color w:val="auto"/>
          <w:kern w:val="2"/>
          <w:sz w:val="32"/>
          <w:szCs w:val="32"/>
          <w:highlight w:val="none"/>
          <w:lang w:val="en-US" w:eastAsia="zh-CN" w:bidi="ar-SA"/>
        </w:rPr>
      </w:pPr>
    </w:p>
    <w:p w14:paraId="06C035E2">
      <w:pPr>
        <w:pStyle w:val="2"/>
        <w:jc w:val="center"/>
      </w:pPr>
      <w:r>
        <w:drawing>
          <wp:inline distT="0" distB="0" distL="114300" distR="114300">
            <wp:extent cx="4572000" cy="2743200"/>
            <wp:effectExtent l="4445" t="4445" r="14605" b="14605"/>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6C2BC2">
      <w:pPr>
        <w:pStyle w:val="2"/>
        <w:jc w:val="center"/>
        <w:rPr>
          <w:rFonts w:hint="eastAsia"/>
          <w:lang w:val="en-US" w:eastAsia="zh-CN"/>
        </w:rPr>
      </w:pPr>
    </w:p>
    <w:p w14:paraId="625E15D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w:t>
      </w:r>
      <w:r>
        <w:rPr>
          <w:rFonts w:hint="eastAsia" w:eastAsia="方正仿宋_GBK" w:cs="Times New Roman"/>
          <w:color w:val="auto"/>
          <w:kern w:val="2"/>
          <w:sz w:val="32"/>
          <w:szCs w:val="32"/>
          <w:highlight w:val="none"/>
          <w:lang w:val="en-US" w:eastAsia="zh-CN" w:bidi="ar-SA"/>
        </w:rPr>
        <w:t>3</w:t>
      </w:r>
      <w:r>
        <w:rPr>
          <w:rFonts w:hint="eastAsia" w:ascii="Times New Roman" w:hAnsi="Times New Roman" w:eastAsia="方正仿宋_GBK" w:cs="Times New Roman"/>
          <w:color w:val="auto"/>
          <w:kern w:val="2"/>
          <w:sz w:val="32"/>
          <w:szCs w:val="32"/>
          <w:highlight w:val="none"/>
          <w:lang w:val="en-US" w:eastAsia="zh-CN" w:bidi="ar-SA"/>
        </w:rPr>
        <w:t>年决算数持平。</w:t>
      </w:r>
    </w:p>
    <w:p w14:paraId="0F097D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38.78万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ascii="Times New Roman" w:hAnsi="Times New Roman" w:eastAsia="仿宋_GB2312" w:cs="仿宋_GB2312"/>
          <w:color w:val="auto"/>
          <w:kern w:val="2"/>
          <w:sz w:val="32"/>
          <w:szCs w:val="32"/>
          <w:highlight w:val="none"/>
          <w:lang w:val="en-US" w:eastAsia="zh-CN" w:bidi="ar-SA"/>
        </w:rPr>
        <w:t>9</w:t>
      </w:r>
      <w:r>
        <w:rPr>
          <w:rFonts w:hint="eastAsia" w:ascii="Times New Roman" w:hAnsi="Times New Roman" w:eastAsia="方正仿宋_GBK" w:cs="Times New Roman"/>
          <w:color w:val="auto"/>
          <w:kern w:val="2"/>
          <w:sz w:val="32"/>
          <w:szCs w:val="32"/>
          <w:highlight w:val="none"/>
          <w:lang w:val="en-US" w:eastAsia="zh-CN" w:bidi="ar-SA"/>
        </w:rPr>
        <w:t>4.5%。公务用车购置及运行维护费支出决算比2023年度减少</w:t>
      </w:r>
      <w:r>
        <w:rPr>
          <w:rFonts w:hint="eastAsia" w:eastAsia="方正仿宋_GBK" w:cs="Times New Roman"/>
          <w:color w:val="auto"/>
          <w:kern w:val="2"/>
          <w:sz w:val="32"/>
          <w:szCs w:val="32"/>
          <w:highlight w:val="none"/>
          <w:lang w:val="en-US" w:eastAsia="zh-CN" w:bidi="ar-SA"/>
        </w:rPr>
        <w:t>4.03</w:t>
      </w:r>
      <w:r>
        <w:rPr>
          <w:rFonts w:hint="eastAsia" w:ascii="Times New Roman" w:hAnsi="Times New Roman" w:eastAsia="方正仿宋_GBK" w:cs="Times New Roman"/>
          <w:color w:val="auto"/>
          <w:kern w:val="2"/>
          <w:sz w:val="32"/>
          <w:szCs w:val="32"/>
          <w:highlight w:val="none"/>
          <w:lang w:val="en-US" w:eastAsia="zh-CN" w:bidi="ar-SA"/>
        </w:rPr>
        <w:t>万元，下降</w:t>
      </w:r>
      <w:r>
        <w:rPr>
          <w:rFonts w:hint="eastAsia" w:eastAsia="方正仿宋_GBK" w:cs="Times New Roman"/>
          <w:color w:val="auto"/>
          <w:kern w:val="2"/>
          <w:sz w:val="32"/>
          <w:szCs w:val="32"/>
          <w:highlight w:val="none"/>
          <w:lang w:val="en-US" w:eastAsia="zh-CN" w:bidi="ar-SA"/>
        </w:rPr>
        <w:t>9.4</w:t>
      </w:r>
      <w:r>
        <w:rPr>
          <w:rFonts w:hint="eastAsia" w:ascii="Times New Roman" w:hAnsi="Times New Roman" w:eastAsia="方正仿宋_GBK" w:cs="Times New Roman"/>
          <w:color w:val="auto"/>
          <w:kern w:val="2"/>
          <w:sz w:val="32"/>
          <w:szCs w:val="32"/>
          <w:highlight w:val="none"/>
          <w:lang w:val="en-US" w:eastAsia="zh-CN" w:bidi="ar-SA"/>
        </w:rPr>
        <w:t>%。主要原因是本年厉行精简节约。</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highlight w:val="none"/>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D5D99A0">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公务用车运行维护费支出38.78万元。主要用于办理案件、督导工作、</w:t>
      </w:r>
      <w:r>
        <w:rPr>
          <w:rFonts w:hint="eastAsia" w:eastAsia="方正仿宋_GBK" w:cs="Times New Roman"/>
          <w:color w:val="auto"/>
          <w:kern w:val="2"/>
          <w:sz w:val="32"/>
          <w:szCs w:val="32"/>
          <w:highlight w:val="none"/>
          <w:lang w:val="en-US" w:eastAsia="zh-CN" w:bidi="ar-SA"/>
        </w:rPr>
        <w:t>脱贫攻坚</w:t>
      </w:r>
      <w:r>
        <w:rPr>
          <w:rFonts w:hint="eastAsia" w:ascii="Times New Roman" w:hAnsi="Times New Roman" w:eastAsia="方正仿宋_GBK" w:cs="Times New Roman"/>
          <w:color w:val="auto"/>
          <w:kern w:val="2"/>
          <w:sz w:val="32"/>
          <w:szCs w:val="32"/>
          <w:highlight w:val="none"/>
          <w:lang w:val="en-US" w:eastAsia="zh-CN" w:bidi="ar-SA"/>
        </w:rPr>
        <w:t>等所需的公务用车燃料费、维修费、过路过桥费、保险费等支出。</w:t>
      </w:r>
    </w:p>
    <w:p w14:paraId="6F605465">
      <w:pPr>
        <w:keepNext w:val="0"/>
        <w:keepLines w:val="0"/>
        <w:widowControl/>
        <w:suppressLineNumbers w:val="0"/>
        <w:ind w:firstLine="643"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2.26万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5.5</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32.52</w:t>
      </w:r>
      <w:r>
        <w:rPr>
          <w:rFonts w:hint="eastAsia" w:ascii="Times New Roman" w:hAnsi="Times New Roman" w:eastAsia="仿宋_GB2312" w:cs="仿宋_GB2312"/>
          <w:color w:val="auto"/>
          <w:kern w:val="2"/>
          <w:sz w:val="32"/>
          <w:szCs w:val="32"/>
          <w:highlight w:val="none"/>
          <w:lang w:val="en-US" w:eastAsia="zh-CN" w:bidi="ar-SA"/>
        </w:rPr>
        <w:t>%。主要原因是业务招待费根据实际支出列支。其中：</w:t>
      </w:r>
    </w:p>
    <w:p w14:paraId="02CB4D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国内公务接待支出2.26万元，主要用于上级机关来巴督查、检查、指导工作及市州检察院来巴交流、学习、协助办案等接待活动的用餐费开支。国内公务接待37批次，289人次（不包括陪同人员），共计支出</w:t>
      </w:r>
      <w:r>
        <w:rPr>
          <w:rFonts w:hint="eastAsia" w:ascii="Times New Roman" w:hAnsi="Times New Roman" w:eastAsia="仿宋_GB2312" w:cs="仿宋_GB2312"/>
          <w:color w:val="auto"/>
          <w:kern w:val="2"/>
          <w:sz w:val="32"/>
          <w:szCs w:val="32"/>
          <w:highlight w:val="none"/>
          <w:lang w:val="en-US" w:eastAsia="zh" w:bidi="ar-SA"/>
        </w:rPr>
        <w:t>2.26</w:t>
      </w:r>
      <w:r>
        <w:rPr>
          <w:rFonts w:hint="eastAsia" w:ascii="Times New Roman" w:hAnsi="Times New Roman" w:eastAsia="仿宋_GB2312" w:cs="仿宋_GB2312"/>
          <w:color w:val="auto"/>
          <w:kern w:val="2"/>
          <w:sz w:val="32"/>
          <w:szCs w:val="32"/>
          <w:highlight w:val="none"/>
          <w:lang w:val="en-US" w:eastAsia="zh-CN" w:bidi="ar-SA"/>
        </w:rPr>
        <w:t>万元，具体内容包括：考察调研方面</w:t>
      </w:r>
      <w:r>
        <w:rPr>
          <w:rFonts w:hint="eastAsia" w:eastAsia="仿宋_GB2312" w:cs="仿宋_GB2312"/>
          <w:color w:val="auto"/>
          <w:kern w:val="2"/>
          <w:sz w:val="32"/>
          <w:szCs w:val="32"/>
          <w:highlight w:val="none"/>
          <w:lang w:val="en-US" w:eastAsia="zh" w:bidi="ar-SA"/>
        </w:rPr>
        <w:t>3</w:t>
      </w:r>
      <w:r>
        <w:rPr>
          <w:rFonts w:hint="eastAsia" w:ascii="Times New Roman" w:hAnsi="Times New Roman" w:eastAsia="仿宋_GB2312" w:cs="仿宋_GB2312"/>
          <w:color w:val="auto"/>
          <w:kern w:val="2"/>
          <w:sz w:val="32"/>
          <w:szCs w:val="32"/>
          <w:highlight w:val="none"/>
          <w:lang w:val="en-US" w:eastAsia="zh-CN" w:bidi="ar-SA"/>
        </w:rPr>
        <w:t>笔</w:t>
      </w:r>
      <w:r>
        <w:rPr>
          <w:rFonts w:hint="eastAsia" w:eastAsia="仿宋_GB2312" w:cs="仿宋_GB2312"/>
          <w:color w:val="auto"/>
          <w:kern w:val="2"/>
          <w:sz w:val="32"/>
          <w:szCs w:val="32"/>
          <w:highlight w:val="none"/>
          <w:lang w:val="en-US" w:eastAsia="zh" w:bidi="ar-SA"/>
        </w:rPr>
        <w:t>2970</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办案工作</w:t>
      </w:r>
      <w:r>
        <w:rPr>
          <w:rFonts w:hint="eastAsia" w:ascii="Times New Roman" w:hAnsi="Times New Roman" w:eastAsia="仿宋_GB2312" w:cs="仿宋_GB2312"/>
          <w:color w:val="auto"/>
          <w:kern w:val="2"/>
          <w:sz w:val="32"/>
          <w:szCs w:val="32"/>
          <w:highlight w:val="none"/>
          <w:lang w:val="en-US" w:eastAsia="zh-CN" w:bidi="ar-SA"/>
        </w:rPr>
        <w:t>方面</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笔</w:t>
      </w:r>
      <w:r>
        <w:rPr>
          <w:rFonts w:hint="eastAsia" w:eastAsia="仿宋_GB2312" w:cs="仿宋_GB2312"/>
          <w:color w:val="auto"/>
          <w:kern w:val="2"/>
          <w:sz w:val="32"/>
          <w:szCs w:val="32"/>
          <w:highlight w:val="none"/>
          <w:lang w:val="en-US" w:eastAsia="zh-CN" w:bidi="ar-SA"/>
        </w:rPr>
        <w:t>5245</w:t>
      </w:r>
      <w:r>
        <w:rPr>
          <w:rFonts w:hint="eastAsia" w:ascii="Times New Roman" w:hAnsi="Times New Roman" w:eastAsia="仿宋_GB2312" w:cs="仿宋_GB2312"/>
          <w:color w:val="auto"/>
          <w:kern w:val="2"/>
          <w:sz w:val="32"/>
          <w:szCs w:val="32"/>
          <w:highlight w:val="none"/>
          <w:lang w:val="en-US" w:eastAsia="zh-CN" w:bidi="ar-SA"/>
        </w:rPr>
        <w:t>元，汇报工作方面8笔12625元，学习交流方面3笔1760元。</w:t>
      </w:r>
    </w:p>
    <w:p w14:paraId="3559FB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w:t>
      </w:r>
      <w:bookmarkStart w:id="65" w:name="_Toc15377218"/>
      <w:bookmarkStart w:id="66" w:name="_Toc15396610"/>
    </w:p>
    <w:p w14:paraId="6F2C8F85">
      <w:pPr>
        <w:spacing w:line="600" w:lineRule="exact"/>
        <w:ind w:firstLine="640"/>
        <w:outlineLvl w:val="1"/>
        <w:rPr>
          <w:rStyle w:val="30"/>
          <w:rFonts w:ascii="Times New Roman" w:hAnsi="Times New Roman" w:eastAsia="黑体"/>
          <w:color w:val="auto"/>
          <w:highlight w:val="none"/>
        </w:rPr>
      </w:pPr>
      <w:bookmarkStart w:id="67" w:name="_Toc1544572387"/>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5"/>
      <w:bookmarkEnd w:id="66"/>
      <w:bookmarkEnd w:id="67"/>
    </w:p>
    <w:p w14:paraId="44BA70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w:t>
      </w:r>
    </w:p>
    <w:p w14:paraId="54C6ED38">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68" w:name="_Toc1151152780"/>
      <w:bookmarkStart w:id="69" w:name="_Toc15377219"/>
      <w:bookmarkStart w:id="70"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8"/>
      <w:bookmarkEnd w:id="69"/>
      <w:bookmarkEnd w:id="70"/>
    </w:p>
    <w:p w14:paraId="7FB6F6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2024年度国有资本经营预算财政拨款支出0万元。</w:t>
      </w:r>
    </w:p>
    <w:p w14:paraId="5D846F8D">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71" w:name="_Toc1347631388"/>
      <w:bookmarkStart w:id="72" w:name="_Toc15377221"/>
      <w:bookmarkStart w:id="73"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71"/>
      <w:bookmarkEnd w:id="72"/>
      <w:bookmarkEnd w:id="73"/>
    </w:p>
    <w:p w14:paraId="74C72A9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4" w:name="_Toc15377222"/>
      <w:bookmarkStart w:id="75" w:name="_Toc111783507"/>
      <w:bookmarkStart w:id="76" w:name="_Toc935790253"/>
      <w:r>
        <w:rPr>
          <w:rFonts w:hint="eastAsia" w:ascii="Times New Roman" w:hAnsi="Times New Roman" w:eastAsia="楷体_GB2312" w:cs="楷体_GB2312"/>
          <w:b/>
          <w:color w:val="auto"/>
          <w:sz w:val="32"/>
          <w:szCs w:val="32"/>
          <w:highlight w:val="none"/>
        </w:rPr>
        <w:t>（一）机关运行经费支出情况</w:t>
      </w:r>
      <w:bookmarkEnd w:id="74"/>
      <w:bookmarkEnd w:id="75"/>
      <w:bookmarkEnd w:id="76"/>
    </w:p>
    <w:p w14:paraId="50338FB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2024年度，巴中市人民检察院机关运行经费支出389.11万元，比2023年度减少41.45万元，下降9.63%。主要原因是本年</w:t>
      </w:r>
      <w:r>
        <w:rPr>
          <w:rFonts w:hint="eastAsia" w:eastAsia="仿宋_GB2312" w:cs="仿宋_GB2312"/>
          <w:color w:val="auto"/>
          <w:kern w:val="2"/>
          <w:sz w:val="32"/>
          <w:szCs w:val="32"/>
          <w:highlight w:val="none"/>
          <w:lang w:val="en-US" w:eastAsia="zh-CN" w:bidi="ar-SA"/>
        </w:rPr>
        <w:t>厉行</w:t>
      </w:r>
      <w:r>
        <w:rPr>
          <w:rFonts w:hint="eastAsia" w:ascii="Times New Roman" w:hAnsi="Times New Roman" w:eastAsia="仿宋_GB2312" w:cs="仿宋_GB2312"/>
          <w:color w:val="auto"/>
          <w:kern w:val="2"/>
          <w:sz w:val="32"/>
          <w:szCs w:val="32"/>
          <w:highlight w:val="none"/>
          <w:lang w:val="en-US" w:eastAsia="zh-CN" w:bidi="ar-SA"/>
        </w:rPr>
        <w:t>精简节约，缩减开支。</w:t>
      </w:r>
    </w:p>
    <w:p w14:paraId="3A35AA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7" w:name="_Toc15377223"/>
      <w:bookmarkStart w:id="78" w:name="_Toc427593395"/>
      <w:bookmarkStart w:id="79" w:name="_Toc127024666"/>
      <w:r>
        <w:rPr>
          <w:rFonts w:hint="eastAsia" w:ascii="Times New Roman" w:hAnsi="Times New Roman" w:eastAsia="楷体_GB2312" w:cs="楷体_GB2312"/>
          <w:b/>
          <w:color w:val="auto"/>
          <w:sz w:val="32"/>
          <w:szCs w:val="32"/>
          <w:highlight w:val="none"/>
        </w:rPr>
        <w:t>（二）政府采购支出情况</w:t>
      </w:r>
      <w:bookmarkEnd w:id="77"/>
      <w:bookmarkEnd w:id="78"/>
      <w:bookmarkEnd w:id="79"/>
    </w:p>
    <w:p w14:paraId="36BD3CB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巴中市人民检察院政府采购支出总额97.85万元，其中：政府采购货物支出97.85万元、政府采购工程支出0万元、政府采购服务支出0万元。主要用于驻监狱看守所监察室监控系统防火墙及监控储存设备项目、购买认罪认罚设备项目、12309检察服务中心功能布局优化项目、办案区设备等采购支出。授予中小企业合同金额0万元，占政府采购支出总额的0%，其中：授予小微企业合同金额0万元，占政府采购支出总额的0%。</w:t>
      </w:r>
    </w:p>
    <w:p w14:paraId="045591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0" w:name="_Toc15377224"/>
      <w:bookmarkStart w:id="81" w:name="_Toc1571008323"/>
      <w:bookmarkStart w:id="82" w:name="_Toc457256139"/>
      <w:r>
        <w:rPr>
          <w:rFonts w:hint="eastAsia" w:ascii="Times New Roman" w:hAnsi="Times New Roman" w:eastAsia="楷体_GB2312" w:cs="楷体_GB2312"/>
          <w:b/>
          <w:color w:val="auto"/>
          <w:sz w:val="32"/>
          <w:szCs w:val="32"/>
          <w:highlight w:val="none"/>
        </w:rPr>
        <w:t>（三）国有资产占有使用情况</w:t>
      </w:r>
      <w:bookmarkEnd w:id="80"/>
      <w:bookmarkEnd w:id="81"/>
      <w:bookmarkEnd w:id="82"/>
    </w:p>
    <w:p w14:paraId="1A952B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w:t>
      </w:r>
      <w:r>
        <w:rPr>
          <w:rFonts w:hint="eastAsia" w:ascii="Times New Roman" w:hAnsi="Times New Roman" w:eastAsia="方正仿宋_GBK" w:cs="Times New Roman"/>
          <w:color w:val="auto"/>
          <w:kern w:val="2"/>
          <w:sz w:val="32"/>
          <w:szCs w:val="32"/>
          <w:highlight w:val="none"/>
          <w:lang w:val="en-US" w:eastAsia="zh-CN" w:bidi="ar-SA"/>
        </w:rPr>
        <w:t>四川省巴中市人民检察院部门整体</w:t>
      </w:r>
      <w:r>
        <w:rPr>
          <w:rFonts w:hint="eastAsia" w:ascii="Times New Roman" w:hAnsi="Times New Roman" w:eastAsia="仿宋_GB2312" w:cs="仿宋_GB2312"/>
          <w:color w:val="auto"/>
          <w:kern w:val="2"/>
          <w:sz w:val="32"/>
          <w:szCs w:val="32"/>
          <w:highlight w:val="none"/>
          <w:lang w:val="en-US" w:eastAsia="zh-CN" w:bidi="ar-SA"/>
        </w:rPr>
        <w:t>共有车辆10辆，其中：机要通信用车1辆、其他用车</w:t>
      </w:r>
      <w:r>
        <w:rPr>
          <w:rFonts w:hint="eastAsia" w:ascii="Times New Roman" w:hAnsi="Times New Roman" w:eastAsia="仿宋_GB2312" w:cs="仿宋_GB2312"/>
          <w:color w:val="auto"/>
          <w:kern w:val="2"/>
          <w:sz w:val="32"/>
          <w:szCs w:val="32"/>
          <w:highlight w:val="none"/>
          <w:lang w:val="en-US" w:eastAsia="zh" w:bidi="ar-SA"/>
        </w:rPr>
        <w:t>9</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主要用于</w:t>
      </w:r>
      <w:r>
        <w:rPr>
          <w:rFonts w:hint="eastAsia" w:ascii="Times New Roman" w:hAnsi="Times New Roman" w:eastAsia="仿宋_GB2312" w:cs="仿宋_GB2312"/>
          <w:color w:val="auto"/>
          <w:kern w:val="2"/>
          <w:sz w:val="32"/>
          <w:szCs w:val="32"/>
          <w:highlight w:val="none"/>
          <w:lang w:val="en-US" w:eastAsia="zh-CN" w:bidi="ar-SA"/>
        </w:rPr>
        <w:t>执法执勤、案件查办、监督检查等公务出行。单价100万元（含）以上设备（不含车辆）0台（套）。</w:t>
      </w:r>
    </w:p>
    <w:p w14:paraId="798A9C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3" w:name="_Toc1580045901"/>
      <w:bookmarkStart w:id="84" w:name="_Toc173648316"/>
      <w:r>
        <w:rPr>
          <w:rFonts w:hint="eastAsia" w:ascii="Times New Roman" w:hAnsi="Times New Roman" w:eastAsia="楷体_GB2312" w:cs="楷体_GB2312"/>
          <w:b/>
          <w:color w:val="auto"/>
          <w:sz w:val="32"/>
          <w:szCs w:val="32"/>
          <w:highlight w:val="none"/>
        </w:rPr>
        <w:t>（四）预算绩效管理情况</w:t>
      </w:r>
      <w:bookmarkEnd w:id="83"/>
      <w:bookmarkEnd w:id="84"/>
    </w:p>
    <w:p w14:paraId="65FDD90A">
      <w:pPr>
        <w:keepNext w:val="0"/>
        <w:keepLines w:val="0"/>
        <w:pageBreakBefore w:val="0"/>
        <w:widowControl w:val="0"/>
        <w:suppressAutoHyphens/>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w:t>
      </w:r>
      <w:r>
        <w:rPr>
          <w:rFonts w:hint="eastAsia" w:ascii="Times New Roman" w:hAnsi="Times New Roman" w:eastAsia="方正仿宋_GBK" w:cs="Times New Roman"/>
          <w:color w:val="auto"/>
          <w:kern w:val="2"/>
          <w:sz w:val="32"/>
          <w:szCs w:val="32"/>
          <w:highlight w:val="none"/>
          <w:lang w:val="en-US" w:eastAsia="zh-CN" w:bidi="ar-SA"/>
        </w:rPr>
        <w:t>据预算绩效管理要求，四川省巴中市人民检察院部门整体在2024年度预算编制阶段，组织对</w:t>
      </w:r>
      <w:r>
        <w:rPr>
          <w:rFonts w:hint="default" w:ascii="Times New Roman" w:hAnsi="Times New Roman" w:eastAsia="方正仿宋_GBK" w:cs="Times New Roman"/>
          <w:color w:val="auto"/>
          <w:kern w:val="2"/>
          <w:sz w:val="32"/>
          <w:szCs w:val="32"/>
          <w:highlight w:val="none"/>
          <w:lang w:val="en-US" w:eastAsia="zh-CN" w:bidi="ar-SA"/>
        </w:rPr>
        <w:t>转移支付资金项目</w:t>
      </w:r>
      <w:r>
        <w:rPr>
          <w:rFonts w:hint="eastAsia" w:ascii="Times New Roman" w:hAnsi="Times New Roman" w:eastAsia="方正仿宋_GBK" w:cs="Times New Roman"/>
          <w:color w:val="auto"/>
          <w:kern w:val="2"/>
          <w:sz w:val="32"/>
          <w:szCs w:val="32"/>
          <w:highlight w:val="none"/>
          <w:lang w:val="en-US" w:eastAsia="zh-CN" w:bidi="ar-SA"/>
        </w:rPr>
        <w:t>等1个项目开展了预算事前绩效评估，对</w:t>
      </w:r>
      <w:r>
        <w:rPr>
          <w:rFonts w:hint="eastAsia" w:eastAsia="方正仿宋_GBK" w:cs="Times New Roman"/>
          <w:color w:val="auto"/>
          <w:kern w:val="2"/>
          <w:sz w:val="32"/>
          <w:szCs w:val="32"/>
          <w:highlight w:val="none"/>
          <w:lang w:val="en-US" w:eastAsia="zh-CN" w:bidi="ar-SA"/>
        </w:rPr>
        <w:t>13</w:t>
      </w:r>
      <w:r>
        <w:rPr>
          <w:rFonts w:hint="eastAsia" w:ascii="Times New Roman" w:hAnsi="Times New Roman" w:eastAsia="方正仿宋_GBK" w:cs="Times New Roman"/>
          <w:color w:val="auto"/>
          <w:kern w:val="2"/>
          <w:sz w:val="32"/>
          <w:szCs w:val="32"/>
          <w:highlight w:val="none"/>
          <w:lang w:val="en-US" w:eastAsia="zh-CN" w:bidi="ar-SA"/>
        </w:rPr>
        <w:t>个项目编制了绩效目标，预算执行过程中，选取14个项目开展绩效监控。</w:t>
      </w:r>
    </w:p>
    <w:p w14:paraId="0642CC8B">
      <w:pPr>
        <w:keepNext w:val="0"/>
        <w:keepLines w:val="0"/>
        <w:pageBreakBefore w:val="0"/>
        <w:widowControl w:val="0"/>
        <w:suppressAutoHyphens/>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组织对2024年度一般公共预算、政府性基金预算、国有资本经营预算、社会保险基金预算以及资本资产、债券资金等全面开展绩效自评，形成四川省巴中市人民检察院</w:t>
      </w:r>
      <w:r>
        <w:rPr>
          <w:rFonts w:hint="eastAsia" w:eastAsia="方正仿宋_GBK" w:cs="Times New Roman"/>
          <w:color w:val="auto"/>
          <w:kern w:val="2"/>
          <w:sz w:val="32"/>
          <w:szCs w:val="32"/>
          <w:highlight w:val="none"/>
          <w:lang w:val="en-US" w:eastAsia="zh-CN" w:bidi="ar-SA"/>
        </w:rPr>
        <w:t>部门整体</w:t>
      </w:r>
      <w:r>
        <w:rPr>
          <w:rFonts w:hint="eastAsia" w:ascii="Times New Roman" w:hAnsi="Times New Roman" w:eastAsia="方正仿宋_GBK" w:cs="Times New Roman"/>
          <w:color w:val="auto"/>
          <w:kern w:val="2"/>
          <w:sz w:val="32"/>
          <w:szCs w:val="32"/>
          <w:highlight w:val="none"/>
          <w:lang w:val="en-US" w:eastAsia="zh-CN" w:bidi="ar-SA"/>
        </w:rPr>
        <w:t>（含部门预算项目）绩效自评报告，其中，四川省巴中市人民检察院部门整体（含部门预算项目）绩效自评得分为93分，绩效自评综述：2024年，市检察院认真贯彻执行党中央、省、市有关方针政策和法律规定，不断建立健全内控制度，加强财务管理和项目管理，较好地完成了部门整体目标任务。</w:t>
      </w:r>
    </w:p>
    <w:p w14:paraId="6E4AEDB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5" w:name="_Toc841403599"/>
      <w:bookmarkStart w:id="86" w:name="_Toc15377225"/>
      <w:bookmarkStart w:id="87"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5"/>
      <w:bookmarkEnd w:id="86"/>
      <w:bookmarkEnd w:id="87"/>
    </w:p>
    <w:p w14:paraId="0971CA88">
      <w:pPr>
        <w:spacing w:line="600" w:lineRule="exact"/>
        <w:jc w:val="left"/>
        <w:rPr>
          <w:rFonts w:ascii="Times New Roman" w:hAnsi="Times New Roman"/>
          <w:b/>
          <w:color w:val="auto"/>
          <w:sz w:val="44"/>
          <w:szCs w:val="44"/>
          <w:highlight w:val="none"/>
        </w:rPr>
      </w:pPr>
    </w:p>
    <w:p w14:paraId="156A4556">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4CF9356C">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w:t>
      </w:r>
    </w:p>
    <w:p w14:paraId="2C07D310">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3C3E457D">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14:paraId="2E78E75F">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4D8386B">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2133699F">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060D9029">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0A80723C">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9.一般公共服务（类）纪检监察事务（款）派驻派出机构（项）：指由纪检监察部门负担的派驻各部门和单位的纪检监察人员的专项业务支出。</w:t>
      </w:r>
    </w:p>
    <w:p w14:paraId="4FF97EC8">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10.公共安全（类）检察（款）行政运行（项）：指行政单位（包括实行公务员管理的事业单位）的基本支出。</w:t>
      </w:r>
    </w:p>
    <w:p w14:paraId="5BE9187A">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11.公共安全（类）检察（款）一般行政管理事务（项）：指行政单位（包括实行公务员管理的事业单位）未单位设置项级科目的其他项目支出。</w:t>
      </w:r>
    </w:p>
    <w:p w14:paraId="332BEB8B">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bookmarkStart w:id="88" w:name="_Toc15396614"/>
      <w:bookmarkStart w:id="89" w:name="_Toc15377226"/>
      <w:r>
        <w:rPr>
          <w:rFonts w:hint="eastAsia" w:ascii="Times New Roman" w:hAnsi="Times New Roman" w:eastAsia="方正仿宋_GBK" w:cs="Times New Roman"/>
          <w:color w:val="auto"/>
          <w:kern w:val="2"/>
          <w:sz w:val="32"/>
          <w:szCs w:val="32"/>
          <w:highlight w:val="none"/>
          <w:lang w:val="en-US" w:eastAsia="zh-CN" w:bidi="ar-SA"/>
        </w:rPr>
        <w:t>12.公共安全（类）检察（款）“两房”建设（项）：指办案用房和专业技术用房及附属设施的建设和修缮支出。</w:t>
      </w:r>
    </w:p>
    <w:p w14:paraId="16DB1F5E">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13.公共安全（类）检察（款）检察监督（项）：指检察机关依法开展法律监督工作的支出，包括侦查监督、公诉、审判监督、执行监督、民事行政监督、公益诉讼、控告申诉等。</w:t>
      </w:r>
    </w:p>
    <w:p w14:paraId="2E09259F">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14.公共安全（类）检察（款）事业运行（项）：指事业单位的基本支出，不包括行政单位（包括实行公务员管理的事业单位）后勤服务中心、医务室等附属事业单位。</w:t>
      </w:r>
    </w:p>
    <w:p w14:paraId="10718954">
      <w:pPr>
        <w:pStyle w:val="27"/>
        <w:spacing w:line="560" w:lineRule="exact"/>
        <w:ind w:firstLine="640" w:firstLineChars="200"/>
        <w:rPr>
          <w:rFonts w:hint="eastAsia" w:ascii="Times New Roman" w:hAnsi="Times New Roman" w:eastAsia="方正仿宋_GBK" w:cs="Times New Roman"/>
          <w:i w:val="0"/>
          <w:iCs w:val="0"/>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15.公</w:t>
      </w:r>
      <w:r>
        <w:rPr>
          <w:rFonts w:hint="eastAsia" w:ascii="Times New Roman" w:hAnsi="Times New Roman" w:eastAsia="方正仿宋_GBK" w:cs="Times New Roman"/>
          <w:i w:val="0"/>
          <w:iCs w:val="0"/>
          <w:color w:val="auto"/>
          <w:kern w:val="2"/>
          <w:sz w:val="32"/>
          <w:szCs w:val="32"/>
          <w:highlight w:val="none"/>
          <w:lang w:val="en-US" w:eastAsia="zh-CN" w:bidi="ar-SA"/>
        </w:rPr>
        <w:t>共安全（类）检察（款）其他检察支出（项）</w:t>
      </w:r>
      <w:r>
        <w:rPr>
          <w:rFonts w:hint="eastAsia" w:ascii="Times New Roman" w:hAnsi="Times New Roman" w:eastAsia="方正仿宋_GBK" w:cs="Times New Roman"/>
          <w:color w:val="auto"/>
          <w:kern w:val="2"/>
          <w:sz w:val="32"/>
          <w:szCs w:val="32"/>
          <w:highlight w:val="none"/>
          <w:lang w:val="en-US" w:eastAsia="zh-CN" w:bidi="ar-SA"/>
        </w:rPr>
        <w:t>：指检察机关依法开展法律监督工作的其他支出，包括检察政策理论研究费、举报控申费、司法协助费、资料费、其他支出等。</w:t>
      </w:r>
    </w:p>
    <w:p w14:paraId="3BFA4D25">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16.社会保障和就业（类）行政事业单位养老支出（款）机关事业单位基本养老保险缴费支出（项）：指机关事业单位实施养老保险制度由单位缴纳的基本养老保险费支出。</w:t>
      </w:r>
    </w:p>
    <w:p w14:paraId="45A00DB4">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17.社会保障和就业（类）抚恤（款）死亡抚恤（项）：指按规定用于烈士和牺牲、病故人员家属的一次性和定期抚恤金、丧葬补助费以及烈士褒扬金。</w:t>
      </w:r>
    </w:p>
    <w:p w14:paraId="0D1BFB62">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18.社会保障和就业（类）其他社会保障和就业支出（款）其他社会保障和就业支出（项）：指其他用于社会保障和就业方面的支出。</w:t>
      </w:r>
    </w:p>
    <w:p w14:paraId="7590843A">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19.卫生与健康（类）行政事业单位医疗（款）行政单位医疗（项）：指财政部门安排的行政单位（包括实行公务员管理的事业单位）基本医疗保险缴费经费，未参加医疗保险的行政单位的公费医疗经费，按国家享受离休人员、红军老战士待遇人员的医疗经费。</w:t>
      </w:r>
    </w:p>
    <w:p w14:paraId="0A9A6318">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20.卫生与健康（类）行政事业单位医疗（款）事业单位医疗（项）：指财政部门安排的事业单位基本医疗保险缴费经费，未参加医疗保险的事业单位的公费医疗经费，按国家规定享受离休人员待遇的医疗经费。</w:t>
      </w:r>
    </w:p>
    <w:p w14:paraId="383EA297">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21.卫生与健康（类）行政事业单位医疗（款）公务员医疗补助（项）：指财政部门安排的公务员医疗补助经费。</w:t>
      </w:r>
    </w:p>
    <w:p w14:paraId="77CBED33">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22.卫生与健康（类）行政事业单位医疗（款）其他行政事业单位医疗支出（项）：指其他用于行政事业单位医疗方面的支出。</w:t>
      </w:r>
    </w:p>
    <w:p w14:paraId="48A8F5BD">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23.住房保障（类）住房改革支出（款）住房公积金（项）：指行政事业单位按人力资源和社会保障部、财政部规定的基本工资和津贴补贴以及规定比例为职工缴纳的住房公积金。</w:t>
      </w:r>
    </w:p>
    <w:p w14:paraId="71C1811D">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24.基本支出：指为保障机构正常运转、完成日常工作任务而发生的人员支出和公用支出。</w:t>
      </w:r>
    </w:p>
    <w:p w14:paraId="24A37D0B">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25.项目支出：指在基本支出之外为完成特定行政任务和事业发展目标所发生的支出。 </w:t>
      </w:r>
    </w:p>
    <w:p w14:paraId="009F94EC">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26.经营支出：指事业单位在专业业务活动及其辅助活动之外开展非独立核算经营活动发生的支出。</w:t>
      </w:r>
    </w:p>
    <w:p w14:paraId="3A61CC83">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79EEBF">
      <w:pPr>
        <w:pStyle w:val="27"/>
        <w:spacing w:line="560" w:lineRule="exact"/>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2A63EB">
      <w:pPr>
        <w:spacing w:line="600" w:lineRule="exact"/>
        <w:jc w:val="center"/>
        <w:rPr>
          <w:rFonts w:hint="eastAsia" w:ascii="Times New Roman" w:hAnsi="Times New Roman" w:eastAsia="黑体"/>
          <w:color w:val="auto"/>
          <w:sz w:val="44"/>
          <w:szCs w:val="44"/>
          <w:highlight w:val="none"/>
        </w:rPr>
      </w:pPr>
    </w:p>
    <w:p w14:paraId="72FC8F22">
      <w:pPr>
        <w:spacing w:line="600" w:lineRule="exact"/>
        <w:jc w:val="center"/>
        <w:rPr>
          <w:rFonts w:hint="eastAsia" w:ascii="Times New Roman" w:hAnsi="Times New Roman" w:eastAsia="黑体"/>
          <w:color w:val="auto"/>
          <w:sz w:val="44"/>
          <w:szCs w:val="44"/>
          <w:highlight w:val="none"/>
        </w:rPr>
      </w:pPr>
    </w:p>
    <w:p w14:paraId="7F4A029D">
      <w:pPr>
        <w:spacing w:line="600" w:lineRule="exact"/>
        <w:jc w:val="center"/>
        <w:rPr>
          <w:rFonts w:hint="eastAsia" w:ascii="Times New Roman" w:hAnsi="Times New Roman" w:eastAsia="黑体"/>
          <w:color w:val="auto"/>
          <w:sz w:val="44"/>
          <w:szCs w:val="44"/>
          <w:highlight w:val="none"/>
        </w:rPr>
      </w:pPr>
    </w:p>
    <w:p w14:paraId="0E220722">
      <w:pPr>
        <w:spacing w:line="600" w:lineRule="exact"/>
        <w:jc w:val="center"/>
        <w:rPr>
          <w:rFonts w:hint="eastAsia" w:ascii="Times New Roman" w:hAnsi="Times New Roman" w:eastAsia="黑体"/>
          <w:color w:val="auto"/>
          <w:sz w:val="44"/>
          <w:szCs w:val="44"/>
          <w:highlight w:val="none"/>
        </w:rPr>
      </w:pPr>
    </w:p>
    <w:p w14:paraId="0A09BE3A">
      <w:pPr>
        <w:spacing w:line="600" w:lineRule="exact"/>
        <w:jc w:val="center"/>
        <w:rPr>
          <w:rFonts w:hint="eastAsia" w:ascii="Times New Roman" w:hAnsi="Times New Roman" w:eastAsia="黑体"/>
          <w:color w:val="auto"/>
          <w:sz w:val="44"/>
          <w:szCs w:val="44"/>
          <w:highlight w:val="none"/>
        </w:rPr>
      </w:pPr>
    </w:p>
    <w:p w14:paraId="44CE0595">
      <w:pPr>
        <w:spacing w:line="600" w:lineRule="exact"/>
        <w:jc w:val="both"/>
        <w:rPr>
          <w:rFonts w:hint="eastAsia" w:ascii="Times New Roman" w:hAnsi="Times New Roman" w:eastAsia="黑体"/>
          <w:color w:val="auto"/>
          <w:sz w:val="44"/>
          <w:szCs w:val="44"/>
          <w:highlight w:val="none"/>
        </w:rPr>
      </w:pPr>
    </w:p>
    <w:p w14:paraId="66E9749C">
      <w:pPr>
        <w:spacing w:line="600" w:lineRule="exact"/>
        <w:jc w:val="center"/>
        <w:rPr>
          <w:rFonts w:hint="eastAsia" w:ascii="Times New Roman" w:hAnsi="Times New Roman" w:eastAsia="黑体"/>
          <w:color w:val="auto"/>
          <w:sz w:val="44"/>
          <w:szCs w:val="44"/>
          <w:highlight w:val="none"/>
        </w:rPr>
      </w:pPr>
    </w:p>
    <w:p w14:paraId="780E2D51">
      <w:pPr>
        <w:numPr>
          <w:ilvl w:val="0"/>
          <w:numId w:val="0"/>
        </w:numPr>
        <w:spacing w:line="600" w:lineRule="exact"/>
        <w:jc w:val="center"/>
        <w:outlineLvl w:val="0"/>
        <w:rPr>
          <w:rFonts w:hint="eastAsia" w:ascii="Times New Roman" w:hAnsi="Times New Roman" w:eastAsia="黑体"/>
          <w:color w:val="auto"/>
          <w:sz w:val="44"/>
          <w:szCs w:val="44"/>
          <w:highlight w:val="none"/>
          <w:lang w:eastAsia="zh-CN"/>
        </w:rPr>
      </w:pPr>
      <w:bookmarkStart w:id="90" w:name="_Toc2007136270"/>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88"/>
      <w:bookmarkEnd w:id="90"/>
    </w:p>
    <w:p w14:paraId="63E923B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1663BD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公文小标宋"/>
          <w:color w:val="auto"/>
          <w:sz w:val="44"/>
          <w:szCs w:val="44"/>
          <w:highlight w:val="none"/>
          <w:lang w:val="en-US" w:eastAsia="zh-CN"/>
        </w:rPr>
      </w:pPr>
      <w:bookmarkStart w:id="91" w:name="_Toc458325609"/>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91"/>
    </w:p>
    <w:p w14:paraId="1374A2F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公文小标宋" w:cs="Times New Roman"/>
          <w:b w:val="0"/>
          <w:bCs/>
          <w:sz w:val="44"/>
          <w:szCs w:val="44"/>
          <w:highlight w:val="none"/>
          <w:shd w:val="clear" w:color="auto" w:fill="FFFFFF"/>
        </w:rPr>
      </w:pPr>
      <w:r>
        <w:rPr>
          <w:rFonts w:hint="default" w:ascii="Times New Roman" w:hAnsi="Times New Roman" w:eastAsia="方正公文小标宋" w:cs="Times New Roman"/>
          <w:b w:val="0"/>
          <w:bCs/>
          <w:sz w:val="44"/>
          <w:szCs w:val="44"/>
          <w:highlight w:val="none"/>
          <w:shd w:val="clear" w:color="auto" w:fill="FFFFFF"/>
        </w:rPr>
        <w:t>四川省巴中市人民检察院</w:t>
      </w:r>
    </w:p>
    <w:p w14:paraId="76DA49D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公文小标宋" w:cs="Times New Roman"/>
          <w:b w:val="0"/>
          <w:bCs/>
          <w:sz w:val="44"/>
          <w:szCs w:val="44"/>
          <w:highlight w:val="none"/>
          <w:shd w:val="clear" w:color="auto" w:fill="FFFFFF"/>
        </w:rPr>
        <w:t>部门</w:t>
      </w:r>
      <w:r>
        <w:rPr>
          <w:rFonts w:hint="default" w:ascii="Times New Roman" w:hAnsi="Times New Roman" w:eastAsia="方正公文小标宋" w:cs="Times New Roman"/>
          <w:b w:val="0"/>
          <w:bCs/>
          <w:sz w:val="44"/>
          <w:szCs w:val="44"/>
          <w:highlight w:val="none"/>
          <w:shd w:val="clear" w:color="auto" w:fill="FFFFFF"/>
          <w:lang w:eastAsia="zh-CN"/>
        </w:rPr>
        <w:t>预算</w:t>
      </w:r>
      <w:r>
        <w:rPr>
          <w:rFonts w:hint="default" w:ascii="Times New Roman" w:hAnsi="Times New Roman" w:eastAsia="方正公文小标宋" w:cs="Times New Roman"/>
          <w:b w:val="0"/>
          <w:bCs/>
          <w:sz w:val="44"/>
          <w:szCs w:val="44"/>
          <w:highlight w:val="none"/>
          <w:shd w:val="clear" w:color="auto" w:fill="FFFFFF"/>
        </w:rPr>
        <w:t>绩效</w:t>
      </w:r>
      <w:r>
        <w:rPr>
          <w:rFonts w:hint="eastAsia" w:ascii="Times New Roman" w:hAnsi="Times New Roman" w:eastAsia="方正公文小标宋" w:cs="Times New Roman"/>
          <w:b w:val="0"/>
          <w:bCs/>
          <w:sz w:val="44"/>
          <w:szCs w:val="44"/>
          <w:highlight w:val="none"/>
          <w:shd w:val="clear" w:color="auto" w:fill="FFFFFF"/>
          <w:lang w:eastAsia="zh-CN"/>
        </w:rPr>
        <w:t>评价</w:t>
      </w:r>
      <w:r>
        <w:rPr>
          <w:rFonts w:hint="default" w:ascii="Times New Roman" w:hAnsi="Times New Roman" w:eastAsia="方正公文小标宋" w:cs="Times New Roman"/>
          <w:b w:val="0"/>
          <w:bCs/>
          <w:sz w:val="44"/>
          <w:szCs w:val="44"/>
          <w:highlight w:val="none"/>
          <w:shd w:val="clear" w:color="auto" w:fill="FFFFFF"/>
        </w:rPr>
        <w:t>报告</w:t>
      </w:r>
    </w:p>
    <w:p w14:paraId="4554B62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F22F3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0CE42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方正楷体_GBK" w:hAnsi="方正楷体_GBK" w:eastAsia="方正楷体_GBK" w:cs="方正楷体_GBK"/>
          <w:b w:val="0"/>
          <w:bCs w:val="0"/>
          <w:color w:val="000000"/>
          <w:kern w:val="0"/>
          <w:sz w:val="32"/>
          <w:szCs w:val="32"/>
          <w:highlight w:val="none"/>
          <w:shd w:val="clear" w:color="auto" w:fill="FFFFFF"/>
          <w:lang w:val="zh-CN"/>
        </w:rPr>
      </w:pPr>
      <w:r>
        <w:rPr>
          <w:rFonts w:hint="eastAsia" w:ascii="方正楷体_GBK" w:hAnsi="方正楷体_GBK" w:eastAsia="方正楷体_GBK" w:cs="方正楷体_GBK"/>
          <w:b w:val="0"/>
          <w:bCs w:val="0"/>
          <w:color w:val="000000"/>
          <w:kern w:val="0"/>
          <w:sz w:val="32"/>
          <w:szCs w:val="32"/>
          <w:highlight w:val="none"/>
          <w:shd w:val="clear" w:color="auto" w:fill="FFFFFF"/>
          <w:lang w:val="zh-CN"/>
        </w:rPr>
        <w:t>（一）</w:t>
      </w:r>
      <w:r>
        <w:rPr>
          <w:rFonts w:hint="default" w:ascii="方正楷体_GBK" w:hAnsi="方正楷体_GBK" w:eastAsia="方正楷体_GBK" w:cs="方正楷体_GBK"/>
          <w:b w:val="0"/>
          <w:bCs w:val="0"/>
          <w:color w:val="000000"/>
          <w:kern w:val="0"/>
          <w:sz w:val="32"/>
          <w:szCs w:val="32"/>
          <w:highlight w:val="none"/>
          <w:shd w:val="clear" w:color="auto" w:fill="FFFFFF"/>
          <w:lang w:val="zh-CN"/>
        </w:rPr>
        <w:t>机构组成。</w:t>
      </w:r>
    </w:p>
    <w:p w14:paraId="095E7D7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rPr>
      </w:pPr>
      <w:r>
        <w:rPr>
          <w:rFonts w:hint="eastAsia" w:ascii="Times New Roman" w:hAnsi="Times New Roman" w:eastAsia="方正仿宋_GBK" w:cs="Times New Roman"/>
          <w:color w:val="auto"/>
          <w:kern w:val="2"/>
          <w:sz w:val="32"/>
          <w:szCs w:val="32"/>
          <w:highlight w:val="none"/>
          <w:lang w:val="en-US" w:eastAsia="zh-CN" w:bidi="ar-SA"/>
        </w:rPr>
        <w:t>2024年，巴中市人民检察院独立核算机构1个，独立编制机构2个，其中：行政机构1个，事业机构1个，较上年均无增减变化。</w:t>
      </w:r>
    </w:p>
    <w:p w14:paraId="4C7CC761">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方正楷体_GBK" w:hAnsi="方正楷体_GBK" w:eastAsia="方正楷体_GBK" w:cs="方正楷体_GBK"/>
          <w:b w:val="0"/>
          <w:bCs w:val="0"/>
          <w:color w:val="000000"/>
          <w:kern w:val="0"/>
          <w:sz w:val="32"/>
          <w:szCs w:val="32"/>
          <w:highlight w:val="none"/>
          <w:shd w:val="clear" w:color="auto" w:fill="FFFFFF"/>
          <w:lang w:val="zh-CN"/>
        </w:rPr>
      </w:pPr>
      <w:r>
        <w:rPr>
          <w:rFonts w:hint="eastAsia" w:ascii="方正楷体_GBK" w:hAnsi="方正楷体_GBK" w:eastAsia="方正楷体_GBK" w:cs="方正楷体_GBK"/>
          <w:b w:val="0"/>
          <w:bCs w:val="0"/>
          <w:color w:val="000000"/>
          <w:kern w:val="0"/>
          <w:sz w:val="32"/>
          <w:szCs w:val="32"/>
          <w:highlight w:val="none"/>
          <w:shd w:val="clear" w:color="auto" w:fill="FFFFFF"/>
          <w:lang w:val="zh-CN"/>
        </w:rPr>
        <w:t>（二）</w:t>
      </w:r>
      <w:r>
        <w:rPr>
          <w:rFonts w:hint="default" w:ascii="方正楷体_GBK" w:hAnsi="方正楷体_GBK" w:eastAsia="方正楷体_GBK" w:cs="方正楷体_GBK"/>
          <w:b w:val="0"/>
          <w:bCs w:val="0"/>
          <w:color w:val="000000"/>
          <w:kern w:val="0"/>
          <w:sz w:val="32"/>
          <w:szCs w:val="32"/>
          <w:highlight w:val="none"/>
          <w:shd w:val="clear" w:color="auto" w:fill="FFFFFF"/>
          <w:lang w:val="zh-CN"/>
        </w:rPr>
        <w:t>机构职能</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w:t>
      </w:r>
    </w:p>
    <w:p w14:paraId="6379016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1.依法对巴中市人民代表大会及其常务委员会负责并报告工作。</w:t>
      </w:r>
    </w:p>
    <w:p w14:paraId="24DA771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2.领导全市检察机关的工作，按</w:t>
      </w:r>
      <w:r>
        <w:rPr>
          <w:rFonts w:hint="eastAsia" w:eastAsia="方正仿宋_GBK" w:cs="Times New Roman"/>
          <w:color w:val="auto"/>
          <w:kern w:val="2"/>
          <w:sz w:val="32"/>
          <w:szCs w:val="32"/>
          <w:highlight w:val="none"/>
          <w:lang w:val="zh-CN" w:eastAsia="zh-CN" w:bidi="ar-SA"/>
        </w:rPr>
        <w:t>照最</w:t>
      </w:r>
      <w:r>
        <w:rPr>
          <w:rFonts w:hint="default" w:ascii="Times New Roman" w:hAnsi="Times New Roman" w:eastAsia="方正仿宋_GBK" w:cs="Times New Roman"/>
          <w:color w:val="auto"/>
          <w:kern w:val="2"/>
          <w:sz w:val="32"/>
          <w:szCs w:val="32"/>
          <w:highlight w:val="none"/>
          <w:lang w:val="zh-CN" w:eastAsia="zh-CN" w:bidi="ar-SA"/>
        </w:rPr>
        <w:t>高检、省院确定的工作方针，部署全市检察工作任务。</w:t>
      </w:r>
    </w:p>
    <w:p w14:paraId="249708F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负责全市检察机关文电、会务、机要、档案、保密等工作。组织协调全市检察机关重要工作部署、重大决策的贯彻实施。承担综合性绩效考核相关工作。起草审核相关文件文稿，处理检察信息，负责领导批办事项督查工作。负责人大代表、政协委员联络工作和特约检察员的联系工作，组织指导人民监督员工作。</w:t>
      </w:r>
    </w:p>
    <w:p w14:paraId="5580BBA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负责对巴中市监察委员会移送职务犯罪案件的审查逮捕、审查起诉、出庭支持公诉、抗诉，开展相关审判监督以及相关案件的补充侦查。负责对破坏社会主义市场经济秩序犯罪案件的审查逮捕、审查起诉、出庭支持公诉、抗诉，开展相关立案监督、侦查监督、审判监督以及相关案件的补充侦查。</w:t>
      </w:r>
    </w:p>
    <w:p w14:paraId="1696C46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5.负责对第4项职能之外的刑事案件的审查逮捕、审查起诉、出庭支持公诉、抗诉，开展相关立案监督、侦查监督、审判监督以及相关案件的补充侦查。办理相关刑事申诉案件。</w:t>
      </w:r>
    </w:p>
    <w:p w14:paraId="052AE8B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6.负责对监狱、看守所、社区矫正机构等执法活动的监督，对刑事判决、裁定执行、强制医疗执行、羁押和办案期限的监督，羁押必要性审查。办理罪犯又犯罪案件。负责对司法工作人员利用职权实施的非法拘禁、刑讯逼供、非法搜查等14项侵犯公民权利、损害司法公正犯罪，以及按照刑事诉讼法规定需要人民检察院直接受理的其他重大犯罪案件的侦查。</w:t>
      </w:r>
    </w:p>
    <w:p w14:paraId="4FEDAE9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7.负责办理申请监督和提请抗诉的民事、行政案件的审查、抗诉。承办对巴中市中级人民法院民事、行政诉讼活动的法律监督，对审判监督程序以外的其他民事、行政审判程序中审判人员的违法行为提出检察建议，对民事执行、行政执法活动实行法律监督。开展民事支持起诉工作。办理民事、行政申诉案件。</w:t>
      </w:r>
    </w:p>
    <w:p w14:paraId="7DCD361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8.负责办理破坏生态环境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巴中市中级人民法院开庭审理的公益诉讼案件，派员出席法庭，依照有关规定提出检察建议。办理公益诉讼申诉案件。</w:t>
      </w:r>
    </w:p>
    <w:p w14:paraId="400CF80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9.负责对未成年人犯罪和侵害未成年人犯罪案件的审查逮捕、审查起诉、出庭支持公诉、抗诉，开展相关立案监督、侦查监督、审判监督以及相关案件的补充侦查。开展未成年人司法保护和预防未成年人犯罪工作。</w:t>
      </w:r>
    </w:p>
    <w:p w14:paraId="69081EE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10.负责受理控告和申诉。承办国家赔偿案件和国家司法救助案件。</w:t>
      </w:r>
    </w:p>
    <w:p w14:paraId="5A6B63D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11.负责法律政策、检察基础理论、检察应用理论、法治建设等方面的调查研究工作。对征求意见的立法、地方立法草案进行研究，提出修改意见和建议。负责检察委员会、检察官协会、专家咨询委员会的日常工作。编辑有关检察刊物。负责司法体制改革综合协调相关工作。</w:t>
      </w:r>
    </w:p>
    <w:p w14:paraId="6A56364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12.负责案件的统一受理流转、办案流程监控、涉案财物管理、法律文书监管、案件信息公开，统一组织办案质量评查、业务考评和业务统计分析研判等工作。负责接待律师等诉讼参与人依法行使诉讼权利。负责业务信息化需求统筹，指导全市检察机关统一业务应用系统的应用。</w:t>
      </w:r>
    </w:p>
    <w:p w14:paraId="0BFFD0D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13.制定实施全市检察机关财务和装备规划，编制巴中市人民检察院支出规划和部门预决算，负责本级财务管理、国有资产管理、车辆管理、政府采购等工作，负责机关安保等工作。</w:t>
      </w:r>
    </w:p>
    <w:p w14:paraId="7AC62EE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14.承担对全市检察机关执行法律、法规和最高人民检察院、四川省人民检察院、巴中市人民检察院的规定、决定等情况进行督察。承担内部审计工作。承担党组巡察工作领导小组日常工作。</w:t>
      </w:r>
    </w:p>
    <w:p w14:paraId="78416FE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15.负责指导全市检察技术工作，组织全市检察机关重大技术疑难案件会检。制定全市检察机关技术工作计划和业务规章制度。依职权组织全市检察技术人员的业务培训和职称评定。受理和承办各类案件的现场勘验、检验鉴定和技术性证据审查。负责全市检察信息化和智慧检察的总体规划和统筹推进。承担相关软件研制、开发、推广和维护。负责全市检察机关通信网络系统管理和维护，承担三级专线网、检察工作网、互联网等网络的建设、维护和管理。</w:t>
      </w:r>
    </w:p>
    <w:p w14:paraId="705DBAE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16.负责全市检察机关思想政治工作、新闻宣传、舆论引导、组织人事、教育培训、离退休干部、司法警察等工作。</w:t>
      </w:r>
    </w:p>
    <w:p w14:paraId="204D540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17.协同市委主管部门管理和考核县、区人民检察院的检察长；协同县级党委管理和考核县、区人民检察院副检察长及政治处主任；报经省人民检察院检察长提请省人民代表大会常务委员会批准任免本院检察长；提请市人民代表大会常务委员会批准或不批准县、区人民检察院检察长的任免；提请市人民代表大会常务委员会任免本院的副检察长、检察委员会委员、检察员。</w:t>
      </w:r>
    </w:p>
    <w:p w14:paraId="0D3C5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18.负责其它应当由市人民检察院承办的事项。</w:t>
      </w:r>
    </w:p>
    <w:p w14:paraId="7C66B4B7">
      <w:pPr>
        <w:pStyle w:val="2"/>
        <w:numPr>
          <w:ilvl w:val="0"/>
          <w:numId w:val="0"/>
        </w:numPr>
        <w:rPr>
          <w:rFonts w:hint="default" w:eastAsia="宋体"/>
          <w:lang w:val="en-US" w:eastAsia="zh-CN"/>
        </w:rPr>
      </w:pPr>
    </w:p>
    <w:p w14:paraId="4C7FBCA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color w:val="000000"/>
          <w:kern w:val="0"/>
          <w:sz w:val="32"/>
          <w:szCs w:val="32"/>
          <w:highlight w:val="none"/>
          <w:shd w:val="clear" w:color="auto" w:fill="FFFFFF"/>
          <w:lang w:val="zh-CN"/>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人员概况</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w:t>
      </w:r>
    </w:p>
    <w:p w14:paraId="48679C13">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2024年，年末实有人数79人，较上年减少3人，原因是：4人调出，1人调入。</w:t>
      </w:r>
    </w:p>
    <w:p w14:paraId="529EB99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3BC47C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方正楷体_GBK" w:hAnsi="方正楷体_GBK" w:eastAsia="方正楷体_GBK" w:cs="方正楷体_GBK"/>
          <w:b w:val="0"/>
          <w:bCs w:val="0"/>
          <w:color w:val="000000"/>
          <w:kern w:val="0"/>
          <w:sz w:val="32"/>
          <w:szCs w:val="32"/>
          <w:highlight w:val="none"/>
          <w:shd w:val="clear" w:color="auto" w:fill="FFFFFF"/>
          <w:lang w:val="zh-CN"/>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（一）</w:t>
      </w:r>
      <w:r>
        <w:rPr>
          <w:rFonts w:hint="eastAsia" w:ascii="方正楷体_GBK" w:hAnsi="方正楷体_GBK" w:eastAsia="方正楷体_GBK" w:cs="方正楷体_GBK"/>
          <w:b w:val="0"/>
          <w:bCs w:val="0"/>
          <w:color w:val="000000"/>
          <w:kern w:val="0"/>
          <w:sz w:val="32"/>
          <w:szCs w:val="32"/>
          <w:highlight w:val="none"/>
          <w:shd w:val="clear" w:color="auto" w:fill="FFFFFF"/>
          <w:lang w:val="zh-CN"/>
        </w:rPr>
        <w:t>收入情况</w:t>
      </w:r>
      <w:r>
        <w:rPr>
          <w:rFonts w:hint="default" w:ascii="方正楷体_GBK" w:hAnsi="方正楷体_GBK" w:eastAsia="方正楷体_GBK" w:cs="方正楷体_GBK"/>
          <w:b w:val="0"/>
          <w:bCs w:val="0"/>
          <w:color w:val="000000"/>
          <w:kern w:val="0"/>
          <w:sz w:val="32"/>
          <w:szCs w:val="32"/>
          <w:highlight w:val="none"/>
          <w:shd w:val="clear" w:color="auto" w:fill="FFFFFF"/>
          <w:lang w:val="zh-CN"/>
        </w:rPr>
        <w:t>。</w:t>
      </w:r>
    </w:p>
    <w:p w14:paraId="6FB784B3">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巴中市人民检察院部门2024年年初预算收入2746.4万元，决算报表收入2998.17万元。</w:t>
      </w:r>
    </w:p>
    <w:p w14:paraId="58B5D333">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方正楷体_GBK" w:hAnsi="方正楷体_GBK" w:eastAsia="方正楷体_GBK" w:cs="方正楷体_GBK"/>
          <w:b w:val="0"/>
          <w:bCs w:val="0"/>
          <w:color w:val="000000"/>
          <w:kern w:val="0"/>
          <w:sz w:val="32"/>
          <w:szCs w:val="32"/>
          <w:highlight w:val="none"/>
          <w:shd w:val="clear" w:color="auto" w:fill="FFFFFF"/>
          <w:lang w:val="zh-CN"/>
        </w:rPr>
      </w:pPr>
      <w:r>
        <w:rPr>
          <w:rFonts w:hint="eastAsia" w:ascii="方正楷体_GBK" w:hAnsi="方正楷体_GBK" w:eastAsia="方正楷体_GBK" w:cs="方正楷体_GBK"/>
          <w:b w:val="0"/>
          <w:bCs w:val="0"/>
          <w:color w:val="000000"/>
          <w:kern w:val="0"/>
          <w:sz w:val="32"/>
          <w:szCs w:val="32"/>
          <w:highlight w:val="none"/>
          <w:shd w:val="clear" w:color="auto" w:fill="FFFFFF"/>
          <w:lang w:val="zh-CN"/>
        </w:rPr>
        <w:t>支出情况</w:t>
      </w:r>
      <w:r>
        <w:rPr>
          <w:rFonts w:hint="default" w:ascii="方正楷体_GBK" w:hAnsi="方正楷体_GBK" w:eastAsia="方正楷体_GBK" w:cs="方正楷体_GBK"/>
          <w:b w:val="0"/>
          <w:bCs w:val="0"/>
          <w:color w:val="000000"/>
          <w:kern w:val="0"/>
          <w:sz w:val="32"/>
          <w:szCs w:val="32"/>
          <w:highlight w:val="none"/>
          <w:shd w:val="clear" w:color="auto" w:fill="FFFFFF"/>
          <w:lang w:val="zh-CN"/>
        </w:rPr>
        <w:t>。</w:t>
      </w:r>
    </w:p>
    <w:p w14:paraId="3767CC70">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巴中市人民检察院部门2024年年初预算支出2746.4万元，决算报表支出2998.17万元。</w:t>
      </w:r>
    </w:p>
    <w:p w14:paraId="12A4607F">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ascii="方正楷体_GBK" w:hAnsi="方正楷体_GBK" w:eastAsia="方正楷体_GBK" w:cs="方正楷体_GBK"/>
          <w:b w:val="0"/>
          <w:bCs w:val="0"/>
          <w:color w:val="000000"/>
          <w:kern w:val="0"/>
          <w:sz w:val="32"/>
          <w:szCs w:val="32"/>
          <w:highlight w:val="none"/>
          <w:shd w:val="clear" w:color="auto" w:fill="FFFFFF"/>
          <w:lang w:val="zh-CN" w:eastAsia="zh-CN"/>
        </w:rPr>
      </w:pPr>
      <w:r>
        <w:rPr>
          <w:rFonts w:hint="default" w:ascii="方正楷体_GBK" w:hAnsi="方正楷体_GBK" w:eastAsia="方正楷体_GBK" w:cs="方正楷体_GBK"/>
          <w:b w:val="0"/>
          <w:bCs w:val="0"/>
          <w:color w:val="000000"/>
          <w:kern w:val="0"/>
          <w:sz w:val="32"/>
          <w:szCs w:val="32"/>
          <w:highlight w:val="none"/>
          <w:shd w:val="clear" w:color="auto" w:fill="FFFFFF"/>
          <w:lang w:val="zh-CN"/>
        </w:rPr>
        <w:t>结余分配和结转结余情况</w:t>
      </w:r>
      <w:r>
        <w:rPr>
          <w:rFonts w:hint="eastAsia" w:ascii="方正楷体_GBK" w:hAnsi="方正楷体_GBK" w:eastAsia="方正楷体_GBK" w:cs="方正楷体_GBK"/>
          <w:b w:val="0"/>
          <w:bCs w:val="0"/>
          <w:color w:val="000000"/>
          <w:kern w:val="0"/>
          <w:sz w:val="32"/>
          <w:szCs w:val="32"/>
          <w:highlight w:val="none"/>
          <w:shd w:val="clear" w:color="auto" w:fill="FFFFFF"/>
          <w:lang w:val="zh-CN" w:eastAsia="zh-CN"/>
        </w:rPr>
        <w:t>。</w:t>
      </w:r>
    </w:p>
    <w:p w14:paraId="27FB35C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en-US" w:eastAsia="zh-CN" w:bidi="ar-SA"/>
        </w:rPr>
        <w:t>巴中市人民检察院部门2024年决算报表无</w:t>
      </w:r>
      <w:r>
        <w:rPr>
          <w:rFonts w:hint="default" w:ascii="Times New Roman" w:hAnsi="Times New Roman" w:eastAsia="方正仿宋_GBK" w:cs="Times New Roman"/>
          <w:color w:val="auto"/>
          <w:kern w:val="2"/>
          <w:sz w:val="32"/>
          <w:szCs w:val="32"/>
          <w:highlight w:val="none"/>
          <w:lang w:val="en-US" w:eastAsia="zh-CN" w:bidi="ar-SA"/>
        </w:rPr>
        <w:t>结转结余</w:t>
      </w:r>
      <w:r>
        <w:rPr>
          <w:rFonts w:hint="eastAsia" w:ascii="Times New Roman" w:hAnsi="Times New Roman" w:eastAsia="方正仿宋_GBK" w:cs="Times New Roman"/>
          <w:color w:val="auto"/>
          <w:kern w:val="2"/>
          <w:sz w:val="32"/>
          <w:szCs w:val="32"/>
          <w:highlight w:val="none"/>
          <w:lang w:val="en-US" w:eastAsia="zh-CN" w:bidi="ar-SA"/>
        </w:rPr>
        <w:t>的情况</w:t>
      </w:r>
      <w:r>
        <w:rPr>
          <w:rFonts w:hint="default" w:ascii="Times New Roman" w:hAnsi="Times New Roman" w:eastAsia="方正仿宋_GBK" w:cs="Times New Roman"/>
          <w:color w:val="auto"/>
          <w:kern w:val="2"/>
          <w:sz w:val="32"/>
          <w:szCs w:val="32"/>
          <w:highlight w:val="none"/>
          <w:lang w:val="en-US" w:eastAsia="zh-CN" w:bidi="ar-SA"/>
        </w:rPr>
        <w:t>。</w:t>
      </w:r>
    </w:p>
    <w:p w14:paraId="2B3933D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53ED697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620F73D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2C591FD">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w:t>
      </w:r>
      <w:r>
        <w:rPr>
          <w:rFonts w:hint="eastAsia" w:ascii="Times New Roman" w:hAnsi="Times New Roman" w:eastAsia="方正仿宋_GBK" w:cs="Times New Roman"/>
          <w:color w:val="auto"/>
          <w:kern w:val="2"/>
          <w:sz w:val="32"/>
          <w:szCs w:val="32"/>
          <w:highlight w:val="none"/>
          <w:lang w:val="en-US" w:eastAsia="zh-CN" w:bidi="ar-SA"/>
        </w:rPr>
        <w:t>巴中市人民检察院</w:t>
      </w:r>
      <w:r>
        <w:rPr>
          <w:rFonts w:hint="default" w:ascii="Times New Roman" w:hAnsi="Times New Roman" w:eastAsia="方正仿宋_GBK" w:cs="Times New Roman"/>
          <w:color w:val="auto"/>
          <w:kern w:val="2"/>
          <w:sz w:val="32"/>
          <w:szCs w:val="32"/>
          <w:highlight w:val="none"/>
          <w:lang w:val="en-US" w:eastAsia="zh-CN" w:bidi="ar-SA"/>
        </w:rPr>
        <w:t>在市委和省检察院的坚强领导下，坚持以习近平新时代中国特色社会主义思想为指导，深入践行习近平法治思想，认真落实中央、省委、市委和上级检察机关各项</w:t>
      </w:r>
      <w:r>
        <w:rPr>
          <w:rFonts w:hint="eastAsia" w:ascii="Times New Roman" w:hAnsi="Times New Roman" w:eastAsia="方正仿宋_GBK" w:cs="Times New Roman"/>
          <w:color w:val="auto"/>
          <w:kern w:val="2"/>
          <w:sz w:val="32"/>
          <w:szCs w:val="32"/>
          <w:highlight w:val="none"/>
          <w:lang w:val="en-US" w:eastAsia="zh-CN" w:bidi="ar-SA"/>
        </w:rPr>
        <w:t>决策</w:t>
      </w:r>
      <w:r>
        <w:rPr>
          <w:rFonts w:hint="default" w:ascii="Times New Roman" w:hAnsi="Times New Roman" w:eastAsia="方正仿宋_GBK" w:cs="Times New Roman"/>
          <w:color w:val="auto"/>
          <w:kern w:val="2"/>
          <w:sz w:val="32"/>
          <w:szCs w:val="32"/>
          <w:highlight w:val="none"/>
          <w:lang w:val="en-US" w:eastAsia="zh-CN" w:bidi="ar-SA"/>
        </w:rPr>
        <w:t>部署，坚持从政治上着眼、</w:t>
      </w:r>
      <w:r>
        <w:rPr>
          <w:rFonts w:hint="eastAsia" w:ascii="Times New Roman" w:hAnsi="Times New Roman" w:eastAsia="方正仿宋_GBK" w:cs="Times New Roman"/>
          <w:color w:val="auto"/>
          <w:kern w:val="2"/>
          <w:sz w:val="32"/>
          <w:szCs w:val="32"/>
          <w:highlight w:val="none"/>
          <w:lang w:val="en-US" w:eastAsia="zh-CN" w:bidi="ar-SA"/>
        </w:rPr>
        <w:t>在</w:t>
      </w:r>
      <w:r>
        <w:rPr>
          <w:rFonts w:hint="default" w:ascii="Times New Roman" w:hAnsi="Times New Roman" w:eastAsia="方正仿宋_GBK" w:cs="Times New Roman"/>
          <w:color w:val="auto"/>
          <w:kern w:val="2"/>
          <w:sz w:val="32"/>
          <w:szCs w:val="32"/>
          <w:highlight w:val="none"/>
          <w:lang w:val="en-US" w:eastAsia="zh-CN" w:bidi="ar-SA"/>
        </w:rPr>
        <w:t>法治上着力，以</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三个善于</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引领</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高质效办好每一个案件</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的检察实践，</w:t>
      </w:r>
      <w:r>
        <w:rPr>
          <w:rFonts w:hint="eastAsia" w:ascii="Times New Roman" w:hAnsi="Times New Roman" w:eastAsia="方正仿宋_GBK" w:cs="Times New Roman"/>
          <w:color w:val="auto"/>
          <w:kern w:val="2"/>
          <w:sz w:val="32"/>
          <w:szCs w:val="32"/>
          <w:highlight w:val="none"/>
          <w:lang w:val="en-US" w:eastAsia="zh-CN" w:bidi="ar-SA"/>
        </w:rPr>
        <w:t>各项检察工作取得新的成效，为全市经济社会发展提供了坚强法治保障。</w:t>
      </w:r>
    </w:p>
    <w:p w14:paraId="62DF342A">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b/>
          <w:bCs/>
          <w:color w:val="auto"/>
          <w:kern w:val="2"/>
          <w:sz w:val="32"/>
          <w:szCs w:val="32"/>
          <w:highlight w:val="none"/>
          <w:lang w:val="en-US" w:eastAsia="zh-CN" w:bidi="ar-SA"/>
        </w:rPr>
      </w:pPr>
      <w:r>
        <w:rPr>
          <w:rFonts w:hint="eastAsia" w:eastAsia="方正仿宋_GBK" w:cs="Times New Roman"/>
          <w:b/>
          <w:bCs/>
          <w:color w:val="auto"/>
          <w:kern w:val="2"/>
          <w:sz w:val="32"/>
          <w:szCs w:val="32"/>
          <w:highlight w:val="none"/>
          <w:lang w:val="en-US" w:eastAsia="zh-CN" w:bidi="ar-SA"/>
        </w:rPr>
        <w:t>（</w:t>
      </w:r>
      <w:r>
        <w:rPr>
          <w:rFonts w:hint="eastAsia" w:ascii="Times New Roman" w:hAnsi="Times New Roman" w:eastAsia="方正仿宋_GBK" w:cs="Times New Roman"/>
          <w:b/>
          <w:bCs/>
          <w:color w:val="auto"/>
          <w:kern w:val="2"/>
          <w:sz w:val="32"/>
          <w:szCs w:val="32"/>
          <w:highlight w:val="none"/>
          <w:lang w:val="en-US" w:eastAsia="zh-CN" w:bidi="ar-SA"/>
        </w:rPr>
        <w:t>1</w:t>
      </w:r>
      <w:r>
        <w:rPr>
          <w:rFonts w:hint="eastAsia" w:eastAsia="方正仿宋_GBK" w:cs="Times New Roman"/>
          <w:b/>
          <w:bCs/>
          <w:color w:val="auto"/>
          <w:kern w:val="2"/>
          <w:sz w:val="32"/>
          <w:szCs w:val="32"/>
          <w:highlight w:val="none"/>
          <w:lang w:val="en-US" w:eastAsia="zh-CN" w:bidi="ar-SA"/>
        </w:rPr>
        <w:t>）</w:t>
      </w:r>
      <w:r>
        <w:rPr>
          <w:rFonts w:hint="eastAsia" w:ascii="Times New Roman" w:hAnsi="Times New Roman" w:eastAsia="方正仿宋_GBK" w:cs="Times New Roman"/>
          <w:b/>
          <w:bCs/>
          <w:color w:val="auto"/>
          <w:kern w:val="2"/>
          <w:sz w:val="32"/>
          <w:szCs w:val="32"/>
          <w:highlight w:val="none"/>
          <w:lang w:val="en-US" w:eastAsia="zh-CN" w:bidi="ar-SA"/>
        </w:rPr>
        <w:t>聚焦中心</w:t>
      </w:r>
      <w:r>
        <w:rPr>
          <w:rFonts w:hint="default" w:ascii="Times New Roman" w:hAnsi="Times New Roman" w:eastAsia="方正仿宋_GBK" w:cs="Times New Roman"/>
          <w:b/>
          <w:bCs/>
          <w:color w:val="auto"/>
          <w:kern w:val="2"/>
          <w:sz w:val="32"/>
          <w:szCs w:val="32"/>
          <w:highlight w:val="none"/>
          <w:lang w:val="en-US" w:eastAsia="zh-CN" w:bidi="ar-SA"/>
        </w:rPr>
        <w:t>大局，以检察之力</w:t>
      </w:r>
      <w:r>
        <w:rPr>
          <w:rFonts w:hint="eastAsia" w:ascii="Times New Roman" w:hAnsi="Times New Roman" w:eastAsia="方正仿宋_GBK" w:cs="Times New Roman"/>
          <w:b/>
          <w:bCs/>
          <w:color w:val="auto"/>
          <w:kern w:val="2"/>
          <w:sz w:val="32"/>
          <w:szCs w:val="32"/>
          <w:highlight w:val="none"/>
          <w:lang w:val="en-US" w:eastAsia="zh-CN" w:bidi="ar-SA"/>
        </w:rPr>
        <w:t>助推全市</w:t>
      </w:r>
      <w:r>
        <w:rPr>
          <w:rFonts w:hint="default" w:ascii="Times New Roman" w:hAnsi="Times New Roman" w:eastAsia="方正仿宋_GBK" w:cs="Times New Roman"/>
          <w:b/>
          <w:bCs/>
          <w:color w:val="auto"/>
          <w:kern w:val="2"/>
          <w:sz w:val="32"/>
          <w:szCs w:val="32"/>
          <w:highlight w:val="none"/>
          <w:lang w:val="en-US" w:eastAsia="zh-CN" w:bidi="ar-SA"/>
        </w:rPr>
        <w:t>高质量发展</w:t>
      </w:r>
    </w:p>
    <w:p w14:paraId="4AF9AC5C">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坚持</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党的中心工作推动到哪里，检察</w:t>
      </w:r>
      <w:r>
        <w:rPr>
          <w:rFonts w:hint="eastAsia" w:ascii="Times New Roman" w:hAnsi="Times New Roman" w:eastAsia="方正仿宋_GBK" w:cs="Times New Roman"/>
          <w:color w:val="auto"/>
          <w:kern w:val="2"/>
          <w:sz w:val="32"/>
          <w:szCs w:val="32"/>
          <w:highlight w:val="none"/>
          <w:lang w:val="en-US" w:eastAsia="zh-CN" w:bidi="ar-SA"/>
        </w:rPr>
        <w:t>履职</w:t>
      </w:r>
      <w:r>
        <w:rPr>
          <w:rFonts w:hint="default" w:ascii="Times New Roman" w:hAnsi="Times New Roman" w:eastAsia="方正仿宋_GBK" w:cs="Times New Roman"/>
          <w:color w:val="auto"/>
          <w:kern w:val="2"/>
          <w:sz w:val="32"/>
          <w:szCs w:val="32"/>
          <w:highlight w:val="none"/>
          <w:lang w:val="en-US" w:eastAsia="zh-CN" w:bidi="ar-SA"/>
        </w:rPr>
        <w:t>就跟进到哪里</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，以高质效</w:t>
      </w:r>
      <w:r>
        <w:rPr>
          <w:rFonts w:hint="eastAsia" w:ascii="Times New Roman" w:hAnsi="Times New Roman" w:eastAsia="方正仿宋_GBK" w:cs="Times New Roman"/>
          <w:color w:val="auto"/>
          <w:kern w:val="2"/>
          <w:sz w:val="32"/>
          <w:szCs w:val="32"/>
          <w:highlight w:val="none"/>
          <w:lang w:val="en-US" w:eastAsia="zh-CN" w:bidi="ar-SA"/>
        </w:rPr>
        <w:t>办案</w:t>
      </w:r>
      <w:r>
        <w:rPr>
          <w:rFonts w:hint="default" w:ascii="Times New Roman" w:hAnsi="Times New Roman" w:eastAsia="方正仿宋_GBK" w:cs="Times New Roman"/>
          <w:color w:val="auto"/>
          <w:kern w:val="2"/>
          <w:sz w:val="32"/>
          <w:szCs w:val="32"/>
          <w:highlight w:val="none"/>
          <w:lang w:val="en-US" w:eastAsia="zh-CN" w:bidi="ar-SA"/>
        </w:rPr>
        <w:t>护航巴中</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一市四区三地</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建设。</w:t>
      </w:r>
    </w:p>
    <w:p w14:paraId="615D7202">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全力维护安全稳定。</w:t>
      </w:r>
      <w:r>
        <w:rPr>
          <w:rFonts w:hint="default" w:ascii="Times New Roman" w:hAnsi="Times New Roman" w:eastAsia="方正仿宋_GBK" w:cs="Times New Roman"/>
          <w:color w:val="auto"/>
          <w:kern w:val="2"/>
          <w:sz w:val="32"/>
          <w:szCs w:val="32"/>
          <w:highlight w:val="none"/>
          <w:lang w:val="en-US" w:eastAsia="zh-CN" w:bidi="ar-SA"/>
        </w:rPr>
        <w:t>贯彻总体国家安全观，</w:t>
      </w:r>
      <w:r>
        <w:rPr>
          <w:rFonts w:hint="eastAsia" w:ascii="Times New Roman" w:hAnsi="Times New Roman" w:eastAsia="方正仿宋_GBK" w:cs="Times New Roman"/>
          <w:color w:val="auto"/>
          <w:kern w:val="2"/>
          <w:sz w:val="32"/>
          <w:szCs w:val="32"/>
          <w:highlight w:val="none"/>
          <w:lang w:val="en-US" w:eastAsia="zh-CN" w:bidi="ar-SA"/>
        </w:rPr>
        <w:t>严厉打击</w:t>
      </w:r>
      <w:r>
        <w:rPr>
          <w:rFonts w:hint="default" w:ascii="Times New Roman" w:hAnsi="Times New Roman" w:eastAsia="方正仿宋_GBK" w:cs="Times New Roman"/>
          <w:color w:val="auto"/>
          <w:kern w:val="2"/>
          <w:sz w:val="32"/>
          <w:szCs w:val="32"/>
          <w:highlight w:val="none"/>
          <w:lang w:val="en-US" w:eastAsia="zh-CN" w:bidi="ar-SA"/>
        </w:rPr>
        <w:t>危害国家安全、政治安全、公共安全和人民群众生命财产安全的犯罪，推进更高水平的平安巴中建设，批捕</w:t>
      </w:r>
      <w:r>
        <w:rPr>
          <w:rFonts w:hint="eastAsia" w:ascii="Times New Roman" w:hAnsi="Times New Roman" w:eastAsia="方正仿宋_GBK" w:cs="Times New Roman"/>
          <w:color w:val="auto"/>
          <w:kern w:val="2"/>
          <w:sz w:val="32"/>
          <w:szCs w:val="32"/>
          <w:highlight w:val="none"/>
          <w:lang w:val="en-US" w:eastAsia="zh-CN" w:bidi="ar-SA"/>
        </w:rPr>
        <w:t>310</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420</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，同比上升22.8%和44.1%；</w:t>
      </w:r>
      <w:r>
        <w:rPr>
          <w:rFonts w:hint="default" w:ascii="Times New Roman" w:hAnsi="Times New Roman" w:eastAsia="方正仿宋_GBK" w:cs="Times New Roman"/>
          <w:color w:val="auto"/>
          <w:kern w:val="2"/>
          <w:sz w:val="32"/>
          <w:szCs w:val="32"/>
          <w:highlight w:val="none"/>
          <w:lang w:val="en-US" w:eastAsia="zh-CN" w:bidi="ar-SA"/>
        </w:rPr>
        <w:t>起诉</w:t>
      </w:r>
      <w:r>
        <w:rPr>
          <w:rFonts w:hint="eastAsia" w:ascii="Times New Roman" w:hAnsi="Times New Roman" w:eastAsia="方正仿宋_GBK" w:cs="Times New Roman"/>
          <w:color w:val="auto"/>
          <w:kern w:val="2"/>
          <w:sz w:val="32"/>
          <w:szCs w:val="32"/>
          <w:highlight w:val="none"/>
          <w:lang w:val="en-US" w:eastAsia="zh-CN" w:bidi="ar-SA"/>
        </w:rPr>
        <w:t>697</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802</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，同比下降</w:t>
      </w:r>
      <w:r>
        <w:rPr>
          <w:rFonts w:hint="default" w:ascii="Times New Roman" w:hAnsi="Times New Roman" w:eastAsia="方正仿宋_GBK" w:cs="Times New Roman"/>
          <w:color w:val="auto"/>
          <w:kern w:val="2"/>
          <w:sz w:val="32"/>
          <w:szCs w:val="32"/>
          <w:highlight w:val="none"/>
          <w:lang w:val="en-US" w:eastAsia="zh-CN" w:bidi="ar-SA"/>
        </w:rPr>
        <w:t>24.8%</w:t>
      </w:r>
      <w:r>
        <w:rPr>
          <w:rFonts w:hint="eastAsia" w:ascii="Times New Roman" w:hAnsi="Times New Roman" w:eastAsia="方正仿宋_GBK" w:cs="Times New Roman"/>
          <w:color w:val="auto"/>
          <w:kern w:val="2"/>
          <w:sz w:val="32"/>
          <w:szCs w:val="32"/>
          <w:highlight w:val="none"/>
          <w:lang w:val="en-US" w:eastAsia="zh-CN" w:bidi="ar-SA"/>
        </w:rPr>
        <w:t>和</w:t>
      </w:r>
      <w:r>
        <w:rPr>
          <w:rFonts w:hint="default" w:ascii="Times New Roman" w:hAnsi="Times New Roman" w:eastAsia="方正仿宋_GBK" w:cs="Times New Roman"/>
          <w:color w:val="auto"/>
          <w:kern w:val="2"/>
          <w:sz w:val="32"/>
          <w:szCs w:val="32"/>
          <w:highlight w:val="none"/>
          <w:lang w:val="en-US" w:eastAsia="zh-CN" w:bidi="ar-SA"/>
        </w:rPr>
        <w:t>24.5%</w:t>
      </w:r>
      <w:r>
        <w:rPr>
          <w:rFonts w:hint="eastAsia" w:ascii="Times New Roman" w:hAnsi="Times New Roman" w:eastAsia="方正仿宋_GBK" w:cs="Times New Roman"/>
          <w:color w:val="auto"/>
          <w:kern w:val="2"/>
          <w:sz w:val="32"/>
          <w:szCs w:val="32"/>
          <w:highlight w:val="none"/>
          <w:lang w:val="en-US" w:eastAsia="zh-CN" w:bidi="ar-SA"/>
        </w:rPr>
        <w:t>，遏制了犯罪上升势头。重拳惩治</w:t>
      </w:r>
      <w:r>
        <w:rPr>
          <w:rFonts w:hint="default" w:ascii="Times New Roman" w:hAnsi="Times New Roman" w:eastAsia="方正仿宋_GBK" w:cs="Times New Roman"/>
          <w:color w:val="auto"/>
          <w:kern w:val="2"/>
          <w:sz w:val="32"/>
          <w:szCs w:val="32"/>
          <w:highlight w:val="none"/>
          <w:lang w:val="en-US" w:eastAsia="zh-CN" w:bidi="ar-SA"/>
        </w:rPr>
        <w:t>毒品犯罪，批捕</w:t>
      </w:r>
      <w:r>
        <w:rPr>
          <w:rFonts w:hint="eastAsia" w:ascii="Times New Roman" w:hAnsi="Times New Roman" w:eastAsia="方正仿宋_GBK" w:cs="Times New Roman"/>
          <w:color w:val="auto"/>
          <w:kern w:val="2"/>
          <w:sz w:val="32"/>
          <w:szCs w:val="32"/>
          <w:highlight w:val="none"/>
          <w:lang w:val="en-US" w:eastAsia="zh-CN" w:bidi="ar-SA"/>
        </w:rPr>
        <w:t>15</w:t>
      </w:r>
      <w:r>
        <w:rPr>
          <w:rFonts w:hint="default" w:ascii="Times New Roman" w:hAnsi="Times New Roman" w:eastAsia="方正仿宋_GBK" w:cs="Times New Roman"/>
          <w:color w:val="auto"/>
          <w:kern w:val="2"/>
          <w:sz w:val="32"/>
          <w:szCs w:val="32"/>
          <w:highlight w:val="none"/>
          <w:lang w:val="en-US" w:eastAsia="zh-CN" w:bidi="ar-SA"/>
        </w:rPr>
        <w:t>人，起诉</w:t>
      </w:r>
      <w:r>
        <w:rPr>
          <w:rFonts w:hint="eastAsia" w:ascii="Times New Roman" w:hAnsi="Times New Roman" w:eastAsia="方正仿宋_GBK" w:cs="Times New Roman"/>
          <w:color w:val="auto"/>
          <w:kern w:val="2"/>
          <w:sz w:val="32"/>
          <w:szCs w:val="32"/>
          <w:highlight w:val="none"/>
          <w:lang w:val="en-US" w:eastAsia="zh-CN" w:bidi="ar-SA"/>
        </w:rPr>
        <w:t>16</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。常态化</w:t>
      </w:r>
      <w:r>
        <w:rPr>
          <w:rFonts w:hint="default" w:ascii="Times New Roman" w:hAnsi="Times New Roman" w:eastAsia="方正仿宋_GBK" w:cs="Times New Roman"/>
          <w:color w:val="auto"/>
          <w:kern w:val="2"/>
          <w:sz w:val="32"/>
          <w:szCs w:val="32"/>
          <w:highlight w:val="none"/>
          <w:lang w:val="en-US" w:eastAsia="zh-CN" w:bidi="ar-SA"/>
        </w:rPr>
        <w:t>开展扫黑除恶斗争，办理的谢某某等人</w:t>
      </w:r>
      <w:r>
        <w:rPr>
          <w:rFonts w:hint="eastAsia" w:ascii="Times New Roman" w:hAnsi="Times New Roman" w:eastAsia="方正仿宋_GBK" w:cs="Times New Roman"/>
          <w:color w:val="auto"/>
          <w:kern w:val="2"/>
          <w:sz w:val="32"/>
          <w:szCs w:val="32"/>
          <w:highlight w:val="none"/>
          <w:lang w:val="en-US" w:eastAsia="zh-CN" w:bidi="ar-SA"/>
        </w:rPr>
        <w:t>组织、领导</w:t>
      </w:r>
      <w:r>
        <w:rPr>
          <w:rFonts w:hint="default" w:ascii="Times New Roman" w:hAnsi="Times New Roman" w:eastAsia="方正仿宋_GBK" w:cs="Times New Roman"/>
          <w:color w:val="auto"/>
          <w:kern w:val="2"/>
          <w:sz w:val="32"/>
          <w:szCs w:val="32"/>
          <w:highlight w:val="none"/>
          <w:lang w:val="en-US" w:eastAsia="zh-CN" w:bidi="ar-SA"/>
        </w:rPr>
        <w:t>黑社会性质组织案获评全省十大典型案例。坚持宽严相济，依法不批捕</w:t>
      </w:r>
      <w:r>
        <w:rPr>
          <w:rFonts w:hint="eastAsia" w:ascii="Times New Roman" w:hAnsi="Times New Roman" w:eastAsia="方正仿宋_GBK" w:cs="Times New Roman"/>
          <w:color w:val="auto"/>
          <w:kern w:val="2"/>
          <w:sz w:val="32"/>
          <w:szCs w:val="32"/>
          <w:highlight w:val="none"/>
          <w:lang w:val="en-US" w:eastAsia="zh-CN" w:bidi="ar-SA"/>
        </w:rPr>
        <w:t>392</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，同比上升4.9%；</w:t>
      </w:r>
      <w:r>
        <w:rPr>
          <w:rFonts w:hint="default" w:ascii="Times New Roman" w:hAnsi="Times New Roman" w:eastAsia="方正仿宋_GBK" w:cs="Times New Roman"/>
          <w:color w:val="auto"/>
          <w:kern w:val="2"/>
          <w:sz w:val="32"/>
          <w:szCs w:val="32"/>
          <w:highlight w:val="none"/>
          <w:lang w:val="en-US" w:eastAsia="zh-CN" w:bidi="ar-SA"/>
        </w:rPr>
        <w:t>不起诉</w:t>
      </w:r>
      <w:r>
        <w:rPr>
          <w:rFonts w:hint="eastAsia" w:ascii="Times New Roman" w:hAnsi="Times New Roman" w:eastAsia="方正仿宋_GBK" w:cs="Times New Roman"/>
          <w:color w:val="auto"/>
          <w:kern w:val="2"/>
          <w:sz w:val="32"/>
          <w:szCs w:val="32"/>
          <w:highlight w:val="none"/>
          <w:lang w:val="en-US" w:eastAsia="zh-CN" w:bidi="ar-SA"/>
        </w:rPr>
        <w:t>549</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，同比下降</w:t>
      </w:r>
      <w:r>
        <w:rPr>
          <w:rFonts w:hint="default" w:ascii="Times New Roman" w:hAnsi="Times New Roman" w:eastAsia="方正仿宋_GBK" w:cs="Times New Roman"/>
          <w:color w:val="auto"/>
          <w:kern w:val="2"/>
          <w:sz w:val="32"/>
          <w:szCs w:val="32"/>
          <w:highlight w:val="none"/>
          <w:lang w:val="en-US" w:eastAsia="zh-CN" w:bidi="ar-SA"/>
        </w:rPr>
        <w:t>42.7</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认罪认罚从宽制度适用率达</w:t>
      </w:r>
      <w:r>
        <w:rPr>
          <w:rFonts w:hint="eastAsia" w:ascii="Times New Roman" w:hAnsi="Times New Roman" w:eastAsia="方正仿宋_GBK" w:cs="Times New Roman"/>
          <w:color w:val="auto"/>
          <w:kern w:val="2"/>
          <w:sz w:val="32"/>
          <w:szCs w:val="32"/>
          <w:highlight w:val="none"/>
          <w:lang w:val="en-US" w:eastAsia="zh-CN" w:bidi="ar-SA"/>
        </w:rPr>
        <w:t>84.2</w:t>
      </w:r>
      <w:r>
        <w:rPr>
          <w:rFonts w:hint="default" w:ascii="Times New Roman" w:hAnsi="Times New Roman" w:eastAsia="方正仿宋_GBK" w:cs="Times New Roman"/>
          <w:color w:val="auto"/>
          <w:kern w:val="2"/>
          <w:sz w:val="32"/>
          <w:szCs w:val="32"/>
          <w:highlight w:val="none"/>
          <w:lang w:val="en-US" w:eastAsia="zh-CN" w:bidi="ar-SA"/>
        </w:rPr>
        <w:t>%、一审服判率达</w:t>
      </w:r>
      <w:r>
        <w:rPr>
          <w:rFonts w:hint="eastAsia" w:ascii="Times New Roman" w:hAnsi="Times New Roman" w:eastAsia="方正仿宋_GBK" w:cs="Times New Roman"/>
          <w:color w:val="auto"/>
          <w:kern w:val="2"/>
          <w:sz w:val="32"/>
          <w:szCs w:val="32"/>
          <w:highlight w:val="none"/>
          <w:lang w:val="en-US" w:eastAsia="zh-CN" w:bidi="ar-SA"/>
        </w:rPr>
        <w:t>91.2</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最大限度</w:t>
      </w:r>
      <w:r>
        <w:rPr>
          <w:rFonts w:hint="default" w:ascii="Times New Roman" w:hAnsi="Times New Roman" w:eastAsia="方正仿宋_GBK" w:cs="Times New Roman"/>
          <w:color w:val="auto"/>
          <w:kern w:val="2"/>
          <w:sz w:val="32"/>
          <w:szCs w:val="32"/>
          <w:highlight w:val="none"/>
          <w:lang w:val="en-US" w:eastAsia="zh-CN" w:bidi="ar-SA"/>
        </w:rPr>
        <w:t>减少</w:t>
      </w:r>
      <w:r>
        <w:rPr>
          <w:rFonts w:hint="eastAsia" w:ascii="Times New Roman" w:hAnsi="Times New Roman" w:eastAsia="方正仿宋_GBK" w:cs="Times New Roman"/>
          <w:color w:val="auto"/>
          <w:kern w:val="2"/>
          <w:sz w:val="32"/>
          <w:szCs w:val="32"/>
          <w:highlight w:val="none"/>
          <w:lang w:val="en-US" w:eastAsia="zh-CN" w:bidi="ar-SA"/>
        </w:rPr>
        <w:t>社会的</w:t>
      </w:r>
      <w:r>
        <w:rPr>
          <w:rFonts w:hint="default" w:ascii="Times New Roman" w:hAnsi="Times New Roman" w:eastAsia="方正仿宋_GBK" w:cs="Times New Roman"/>
          <w:color w:val="auto"/>
          <w:kern w:val="2"/>
          <w:sz w:val="32"/>
          <w:szCs w:val="32"/>
          <w:highlight w:val="none"/>
          <w:lang w:val="en-US" w:eastAsia="zh-CN" w:bidi="ar-SA"/>
        </w:rPr>
        <w:t>对立面。</w:t>
      </w:r>
      <w:r>
        <w:rPr>
          <w:rFonts w:hint="eastAsia" w:ascii="Times New Roman" w:hAnsi="Times New Roman" w:eastAsia="方正仿宋_GBK" w:cs="Times New Roman"/>
          <w:color w:val="auto"/>
          <w:kern w:val="2"/>
          <w:sz w:val="32"/>
          <w:szCs w:val="32"/>
          <w:highlight w:val="none"/>
          <w:lang w:val="en-US" w:eastAsia="zh-CN" w:bidi="ar-SA"/>
        </w:rPr>
        <w:t>坚持“</w:t>
      </w:r>
      <w:r>
        <w:rPr>
          <w:rFonts w:hint="default" w:ascii="Times New Roman" w:hAnsi="Times New Roman" w:eastAsia="方正仿宋_GBK" w:cs="Times New Roman"/>
          <w:color w:val="auto"/>
          <w:kern w:val="2"/>
          <w:sz w:val="32"/>
          <w:szCs w:val="32"/>
          <w:highlight w:val="none"/>
          <w:lang w:val="en-US" w:eastAsia="zh-CN" w:bidi="ar-SA"/>
        </w:rPr>
        <w:t>治罪</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与</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治理</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并重，建立轻罪案件</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一站式</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办理中心，</w:t>
      </w:r>
      <w:r>
        <w:rPr>
          <w:rFonts w:hint="eastAsia" w:ascii="Times New Roman" w:hAnsi="Times New Roman" w:eastAsia="方正仿宋_GBK" w:cs="Times New Roman"/>
          <w:color w:val="auto"/>
          <w:kern w:val="2"/>
          <w:sz w:val="32"/>
          <w:szCs w:val="32"/>
          <w:highlight w:val="none"/>
          <w:lang w:val="en-US" w:eastAsia="zh-CN" w:bidi="ar-SA"/>
        </w:rPr>
        <w:t>推行“轻案快办”</w:t>
      </w:r>
      <w:r>
        <w:rPr>
          <w:rFonts w:hint="default" w:ascii="Times New Roman" w:hAnsi="Times New Roman" w:eastAsia="方正仿宋_GBK" w:cs="Times New Roman"/>
          <w:color w:val="auto"/>
          <w:kern w:val="2"/>
          <w:sz w:val="32"/>
          <w:szCs w:val="32"/>
          <w:highlight w:val="none"/>
          <w:lang w:val="en-US" w:eastAsia="zh-CN" w:bidi="ar-SA"/>
        </w:rPr>
        <w:t>新模式，实现公正</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高效司法。</w:t>
      </w:r>
    </w:p>
    <w:p w14:paraId="7C6929EC">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助力优化营商环境。</w:t>
      </w:r>
      <w:r>
        <w:rPr>
          <w:rFonts w:hint="default" w:ascii="Times New Roman" w:hAnsi="Times New Roman" w:eastAsia="方正仿宋_GBK" w:cs="Times New Roman"/>
          <w:color w:val="auto"/>
          <w:kern w:val="2"/>
          <w:sz w:val="32"/>
          <w:szCs w:val="32"/>
          <w:highlight w:val="none"/>
          <w:lang w:val="en-US" w:eastAsia="zh-CN" w:bidi="ar-SA"/>
        </w:rPr>
        <w:t>防范化解金融风险，起诉非法吸收公众存款、集资诈骗、洗钱等金融犯罪</w:t>
      </w:r>
      <w:r>
        <w:rPr>
          <w:rFonts w:hint="eastAsia" w:ascii="Times New Roman" w:hAnsi="Times New Roman" w:eastAsia="方正仿宋_GBK" w:cs="Times New Roman"/>
          <w:color w:val="auto"/>
          <w:kern w:val="2"/>
          <w:sz w:val="32"/>
          <w:szCs w:val="32"/>
          <w:highlight w:val="none"/>
          <w:lang w:val="en-US" w:eastAsia="zh-CN" w:bidi="ar-SA"/>
        </w:rPr>
        <w:t>13</w:t>
      </w:r>
      <w:r>
        <w:rPr>
          <w:rFonts w:hint="default" w:ascii="Times New Roman" w:hAnsi="Times New Roman" w:eastAsia="方正仿宋_GBK" w:cs="Times New Roman"/>
          <w:color w:val="auto"/>
          <w:kern w:val="2"/>
          <w:sz w:val="32"/>
          <w:szCs w:val="32"/>
          <w:highlight w:val="none"/>
          <w:lang w:val="en-US" w:eastAsia="zh-CN" w:bidi="ar-SA"/>
        </w:rPr>
        <w:t>人。强化涉企案件监督，监督清理不当立案和</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挂案</w:t>
      </w:r>
      <w:r>
        <w:rPr>
          <w:rFonts w:hint="eastAsia" w:ascii="Times New Roman" w:hAnsi="Times New Roman" w:eastAsia="方正仿宋_GBK" w:cs="Times New Roman"/>
          <w:color w:val="auto"/>
          <w:kern w:val="2"/>
          <w:sz w:val="32"/>
          <w:szCs w:val="32"/>
          <w:highlight w:val="none"/>
          <w:lang w:val="en-US" w:eastAsia="zh-CN" w:bidi="ar-SA"/>
        </w:rPr>
        <w:t>”15</w:t>
      </w:r>
      <w:r>
        <w:rPr>
          <w:rFonts w:hint="default" w:ascii="Times New Roman" w:hAnsi="Times New Roman" w:eastAsia="方正仿宋_GBK" w:cs="Times New Roman"/>
          <w:color w:val="auto"/>
          <w:kern w:val="2"/>
          <w:sz w:val="32"/>
          <w:szCs w:val="32"/>
          <w:highlight w:val="none"/>
          <w:lang w:val="en-US" w:eastAsia="zh-CN" w:bidi="ar-SA"/>
        </w:rPr>
        <w:t>件，纠正行政违法行为5件，监督判决执行169件，挽</w:t>
      </w:r>
      <w:r>
        <w:rPr>
          <w:rFonts w:hint="eastAsia" w:ascii="Times New Roman" w:hAnsi="Times New Roman" w:eastAsia="方正仿宋_GBK" w:cs="Times New Roman"/>
          <w:color w:val="auto"/>
          <w:kern w:val="2"/>
          <w:sz w:val="32"/>
          <w:szCs w:val="32"/>
          <w:highlight w:val="none"/>
          <w:lang w:val="en-US" w:eastAsia="zh-CN" w:bidi="ar-SA"/>
        </w:rPr>
        <w:t>回</w:t>
      </w:r>
      <w:r>
        <w:rPr>
          <w:rFonts w:hint="default" w:ascii="Times New Roman" w:hAnsi="Times New Roman" w:eastAsia="方正仿宋_GBK" w:cs="Times New Roman"/>
          <w:color w:val="auto"/>
          <w:kern w:val="2"/>
          <w:sz w:val="32"/>
          <w:szCs w:val="32"/>
          <w:highlight w:val="none"/>
          <w:lang w:val="en-US" w:eastAsia="zh-CN" w:bidi="ar-SA"/>
        </w:rPr>
        <w:t>损</w:t>
      </w:r>
      <w:r>
        <w:rPr>
          <w:rFonts w:hint="eastAsia" w:ascii="Times New Roman" w:hAnsi="Times New Roman" w:eastAsia="方正仿宋_GBK" w:cs="Times New Roman"/>
          <w:color w:val="auto"/>
          <w:kern w:val="2"/>
          <w:sz w:val="32"/>
          <w:szCs w:val="32"/>
          <w:highlight w:val="none"/>
          <w:lang w:val="en-US" w:eastAsia="zh-CN" w:bidi="ar-SA"/>
        </w:rPr>
        <w:t>失</w:t>
      </w:r>
      <w:r>
        <w:rPr>
          <w:rFonts w:hint="default" w:ascii="Times New Roman" w:hAnsi="Times New Roman" w:eastAsia="方正仿宋_GBK" w:cs="Times New Roman"/>
          <w:color w:val="auto"/>
          <w:kern w:val="2"/>
          <w:sz w:val="32"/>
          <w:szCs w:val="32"/>
          <w:highlight w:val="none"/>
          <w:lang w:val="en-US" w:eastAsia="zh-CN" w:bidi="ar-SA"/>
        </w:rPr>
        <w:t>750万</w:t>
      </w:r>
      <w:r>
        <w:rPr>
          <w:rFonts w:hint="eastAsia" w:ascii="Times New Roman" w:hAnsi="Times New Roman" w:eastAsia="方正仿宋_GBK" w:cs="Times New Roman"/>
          <w:color w:val="auto"/>
          <w:kern w:val="2"/>
          <w:sz w:val="32"/>
          <w:szCs w:val="32"/>
          <w:highlight w:val="none"/>
          <w:lang w:val="en-US" w:eastAsia="zh-CN" w:bidi="ar-SA"/>
        </w:rPr>
        <w:t>余</w:t>
      </w:r>
      <w:r>
        <w:rPr>
          <w:rFonts w:hint="default" w:ascii="Times New Roman" w:hAnsi="Times New Roman" w:eastAsia="方正仿宋_GBK" w:cs="Times New Roman"/>
          <w:color w:val="auto"/>
          <w:kern w:val="2"/>
          <w:sz w:val="32"/>
          <w:szCs w:val="32"/>
          <w:highlight w:val="none"/>
          <w:lang w:val="en-US" w:eastAsia="zh-CN" w:bidi="ar-SA"/>
        </w:rPr>
        <w:t>元。</w:t>
      </w:r>
      <w:r>
        <w:rPr>
          <w:rFonts w:hint="eastAsia" w:ascii="Times New Roman" w:hAnsi="Times New Roman" w:eastAsia="方正仿宋_GBK" w:cs="Times New Roman"/>
          <w:color w:val="auto"/>
          <w:kern w:val="2"/>
          <w:sz w:val="32"/>
          <w:szCs w:val="32"/>
          <w:highlight w:val="none"/>
          <w:lang w:val="en-US" w:eastAsia="zh-CN" w:bidi="ar-SA"/>
        </w:rPr>
        <w:t>与市司法局建立规范涉企社区矫正对象管理机制，</w:t>
      </w:r>
      <w:r>
        <w:rPr>
          <w:rFonts w:hint="default" w:ascii="Times New Roman" w:hAnsi="Times New Roman" w:eastAsia="方正仿宋_GBK" w:cs="Times New Roman"/>
          <w:color w:val="auto"/>
          <w:kern w:val="2"/>
          <w:sz w:val="32"/>
          <w:szCs w:val="32"/>
          <w:highlight w:val="none"/>
          <w:lang w:val="en-US" w:eastAsia="zh-CN" w:bidi="ar-SA"/>
        </w:rPr>
        <w:t>监督审批</w:t>
      </w:r>
      <w:r>
        <w:rPr>
          <w:rFonts w:hint="eastAsia" w:ascii="Times New Roman" w:hAnsi="Times New Roman" w:eastAsia="方正仿宋_GBK" w:cs="Times New Roman"/>
          <w:color w:val="auto"/>
          <w:kern w:val="2"/>
          <w:sz w:val="32"/>
          <w:szCs w:val="32"/>
          <w:highlight w:val="none"/>
          <w:lang w:val="en-US" w:eastAsia="zh-CN" w:bidi="ar-SA"/>
        </w:rPr>
        <w:t>赴外地经营</w:t>
      </w:r>
      <w:r>
        <w:rPr>
          <w:rFonts w:hint="default" w:ascii="Times New Roman" w:hAnsi="Times New Roman" w:eastAsia="方正仿宋_GBK" w:cs="Times New Roman"/>
          <w:color w:val="auto"/>
          <w:kern w:val="2"/>
          <w:sz w:val="32"/>
          <w:szCs w:val="32"/>
          <w:highlight w:val="none"/>
          <w:lang w:val="en-US" w:eastAsia="zh-CN" w:bidi="ar-SA"/>
        </w:rPr>
        <w:t>请假70余人次。积极开展预防性公益诉讼，向企业发出法律风险告知书2</w:t>
      </w:r>
      <w:r>
        <w:rPr>
          <w:rFonts w:hint="eastAsia"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份，促进规范生产经营。</w:t>
      </w:r>
      <w:r>
        <w:rPr>
          <w:rFonts w:hint="eastAsia" w:ascii="Times New Roman" w:hAnsi="Times New Roman" w:eastAsia="方正仿宋_GBK" w:cs="Times New Roman"/>
          <w:color w:val="auto"/>
          <w:kern w:val="2"/>
          <w:sz w:val="32"/>
          <w:szCs w:val="32"/>
          <w:highlight w:val="none"/>
          <w:lang w:val="en-US" w:eastAsia="zh-CN" w:bidi="ar-SA"/>
        </w:rPr>
        <w:t>护航</w:t>
      </w:r>
      <w:r>
        <w:rPr>
          <w:rFonts w:hint="default" w:ascii="Times New Roman" w:hAnsi="Times New Roman" w:eastAsia="方正仿宋_GBK" w:cs="Times New Roman"/>
          <w:color w:val="auto"/>
          <w:kern w:val="2"/>
          <w:sz w:val="32"/>
          <w:szCs w:val="32"/>
          <w:highlight w:val="none"/>
          <w:lang w:val="en-US" w:eastAsia="zh-CN" w:bidi="ar-SA"/>
        </w:rPr>
        <w:t>创新驱动发展，起诉侵犯知识产权、地理标志品牌犯罪</w:t>
      </w:r>
      <w:r>
        <w:rPr>
          <w:rFonts w:hint="eastAsia" w:ascii="Times New Roman" w:hAnsi="Times New Roman" w:eastAsia="方正仿宋_GBK" w:cs="Times New Roman"/>
          <w:color w:val="auto"/>
          <w:kern w:val="2"/>
          <w:sz w:val="32"/>
          <w:szCs w:val="32"/>
          <w:highlight w:val="none"/>
          <w:lang w:val="en-US" w:eastAsia="zh-CN" w:bidi="ar-SA"/>
        </w:rPr>
        <w:t>17</w:t>
      </w:r>
      <w:r>
        <w:rPr>
          <w:rFonts w:hint="default" w:ascii="Times New Roman" w:hAnsi="Times New Roman" w:eastAsia="方正仿宋_GBK" w:cs="Times New Roman"/>
          <w:color w:val="auto"/>
          <w:kern w:val="2"/>
          <w:sz w:val="32"/>
          <w:szCs w:val="32"/>
          <w:highlight w:val="none"/>
          <w:lang w:val="en-US" w:eastAsia="zh-CN" w:bidi="ar-SA"/>
        </w:rPr>
        <w:t>人，办理的</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通江银耳</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案获评全省城乡融合履职、知识产权综合履职典型案例</w:t>
      </w:r>
      <w:r>
        <w:rPr>
          <w:rFonts w:hint="eastAsia" w:ascii="Times New Roman" w:hAnsi="Times New Roman" w:eastAsia="方正仿宋_GBK" w:cs="Times New Roman"/>
          <w:color w:val="auto"/>
          <w:kern w:val="2"/>
          <w:sz w:val="32"/>
          <w:szCs w:val="32"/>
          <w:highlight w:val="none"/>
          <w:lang w:val="en-US" w:eastAsia="zh-CN" w:bidi="ar-SA"/>
        </w:rPr>
        <w:t>，被《人民代表报》《人民权力报》重点报道</w:t>
      </w:r>
      <w:r>
        <w:rPr>
          <w:rFonts w:hint="default" w:ascii="Times New Roman" w:hAnsi="Times New Roman" w:eastAsia="方正仿宋_GBK" w:cs="Times New Roman"/>
          <w:color w:val="auto"/>
          <w:kern w:val="2"/>
          <w:sz w:val="32"/>
          <w:szCs w:val="32"/>
          <w:highlight w:val="none"/>
          <w:lang w:val="en-US" w:eastAsia="zh-CN" w:bidi="ar-SA"/>
        </w:rPr>
        <w:t>。推行</w:t>
      </w:r>
      <w:r>
        <w:rPr>
          <w:rFonts w:hint="eastAsia" w:ascii="Times New Roman" w:hAnsi="Times New Roman" w:eastAsia="方正仿宋_GBK" w:cs="Times New Roman"/>
          <w:color w:val="auto"/>
          <w:kern w:val="2"/>
          <w:sz w:val="32"/>
          <w:szCs w:val="32"/>
          <w:highlight w:val="none"/>
          <w:lang w:val="en-US" w:eastAsia="zh-CN" w:bidi="ar-SA"/>
        </w:rPr>
        <w:t>检察服务企业发展“</w:t>
      </w:r>
      <w:r>
        <w:rPr>
          <w:rFonts w:hint="default" w:ascii="Times New Roman" w:hAnsi="Times New Roman" w:eastAsia="方正仿宋_GBK" w:cs="Times New Roman"/>
          <w:color w:val="auto"/>
          <w:kern w:val="2"/>
          <w:sz w:val="32"/>
          <w:szCs w:val="32"/>
          <w:highlight w:val="none"/>
          <w:lang w:val="en-US" w:eastAsia="zh-CN" w:bidi="ar-SA"/>
        </w:rPr>
        <w:t>四个一</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机制，</w:t>
      </w:r>
      <w:r>
        <w:rPr>
          <w:rFonts w:hint="eastAsia" w:ascii="Times New Roman" w:hAnsi="Times New Roman" w:eastAsia="方正仿宋_GBK" w:cs="Times New Roman"/>
          <w:color w:val="auto"/>
          <w:kern w:val="2"/>
          <w:sz w:val="32"/>
          <w:szCs w:val="32"/>
          <w:highlight w:val="none"/>
          <w:lang w:val="en-US" w:eastAsia="zh-CN" w:bidi="ar-SA"/>
        </w:rPr>
        <w:t>协力</w:t>
      </w:r>
      <w:r>
        <w:rPr>
          <w:rFonts w:hint="default" w:ascii="Times New Roman" w:hAnsi="Times New Roman" w:eastAsia="方正仿宋_GBK" w:cs="Times New Roman"/>
          <w:color w:val="auto"/>
          <w:kern w:val="2"/>
          <w:sz w:val="32"/>
          <w:szCs w:val="32"/>
          <w:highlight w:val="none"/>
          <w:lang w:val="en-US" w:eastAsia="zh-CN" w:bidi="ar-SA"/>
        </w:rPr>
        <w:t>将巴中打造</w:t>
      </w:r>
      <w:r>
        <w:rPr>
          <w:rFonts w:hint="eastAsia" w:ascii="Times New Roman" w:hAnsi="Times New Roman" w:eastAsia="方正仿宋_GBK" w:cs="Times New Roman"/>
          <w:color w:val="auto"/>
          <w:kern w:val="2"/>
          <w:sz w:val="32"/>
          <w:szCs w:val="32"/>
          <w:highlight w:val="none"/>
          <w:lang w:val="en-US" w:eastAsia="zh-CN" w:bidi="ar-SA"/>
        </w:rPr>
        <w:t>成“</w:t>
      </w:r>
      <w:r>
        <w:rPr>
          <w:rFonts w:hint="default" w:ascii="Times New Roman" w:hAnsi="Times New Roman" w:eastAsia="方正仿宋_GBK" w:cs="Times New Roman"/>
          <w:color w:val="auto"/>
          <w:kern w:val="2"/>
          <w:sz w:val="32"/>
          <w:szCs w:val="32"/>
          <w:highlight w:val="none"/>
          <w:lang w:val="en-US" w:eastAsia="zh-CN" w:bidi="ar-SA"/>
        </w:rPr>
        <w:t>企业容易做生意的地方</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w:t>
      </w:r>
    </w:p>
    <w:p w14:paraId="7BE947B2">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聚力</w:t>
      </w:r>
      <w:r>
        <w:rPr>
          <w:rFonts w:hint="eastAsia" w:ascii="Times New Roman" w:hAnsi="Times New Roman" w:eastAsia="方正仿宋_GBK" w:cs="Times New Roman"/>
          <w:b/>
          <w:bCs/>
          <w:color w:val="auto"/>
          <w:kern w:val="2"/>
          <w:sz w:val="32"/>
          <w:szCs w:val="32"/>
          <w:highlight w:val="none"/>
          <w:lang w:val="en-US" w:eastAsia="zh-CN" w:bidi="ar-SA"/>
        </w:rPr>
        <w:t>加强</w:t>
      </w:r>
      <w:r>
        <w:rPr>
          <w:rFonts w:hint="default" w:ascii="Times New Roman" w:hAnsi="Times New Roman" w:eastAsia="方正仿宋_GBK" w:cs="Times New Roman"/>
          <w:b/>
          <w:bCs/>
          <w:color w:val="auto"/>
          <w:kern w:val="2"/>
          <w:sz w:val="32"/>
          <w:szCs w:val="32"/>
          <w:highlight w:val="none"/>
          <w:lang w:val="en-US" w:eastAsia="zh-CN" w:bidi="ar-SA"/>
        </w:rPr>
        <w:t>资源保护。</w:t>
      </w:r>
      <w:r>
        <w:rPr>
          <w:rFonts w:hint="default" w:ascii="Times New Roman" w:hAnsi="Times New Roman" w:eastAsia="方正仿宋_GBK" w:cs="Times New Roman"/>
          <w:color w:val="auto"/>
          <w:kern w:val="2"/>
          <w:sz w:val="32"/>
          <w:szCs w:val="32"/>
          <w:highlight w:val="none"/>
          <w:lang w:val="en-US" w:eastAsia="zh-CN" w:bidi="ar-SA"/>
        </w:rPr>
        <w:t>坚持用最严密法治保护生态环境，依法</w:t>
      </w:r>
      <w:r>
        <w:rPr>
          <w:rFonts w:hint="eastAsia" w:ascii="Times New Roman" w:hAnsi="Times New Roman" w:eastAsia="方正仿宋_GBK" w:cs="Times New Roman"/>
          <w:color w:val="auto"/>
          <w:kern w:val="2"/>
          <w:sz w:val="32"/>
          <w:szCs w:val="32"/>
          <w:highlight w:val="none"/>
          <w:lang w:val="en-US" w:eastAsia="zh-CN" w:bidi="ar-SA"/>
        </w:rPr>
        <w:t>打击</w:t>
      </w:r>
      <w:r>
        <w:rPr>
          <w:rFonts w:hint="default" w:ascii="Times New Roman" w:hAnsi="Times New Roman" w:eastAsia="方正仿宋_GBK" w:cs="Times New Roman"/>
          <w:color w:val="auto"/>
          <w:kern w:val="2"/>
          <w:sz w:val="32"/>
          <w:szCs w:val="32"/>
          <w:highlight w:val="none"/>
          <w:lang w:val="en-US" w:eastAsia="zh-CN" w:bidi="ar-SA"/>
        </w:rPr>
        <w:t>破坏生态环境资源犯罪，批捕</w:t>
      </w:r>
      <w:r>
        <w:rPr>
          <w:rFonts w:hint="eastAsia" w:ascii="Times New Roman" w:hAnsi="Times New Roman" w:eastAsia="方正仿宋_GBK" w:cs="Times New Roman"/>
          <w:color w:val="auto"/>
          <w:kern w:val="2"/>
          <w:sz w:val="32"/>
          <w:szCs w:val="32"/>
          <w:highlight w:val="none"/>
          <w:lang w:val="en-US" w:eastAsia="zh-CN" w:bidi="ar-SA"/>
        </w:rPr>
        <w:t>13</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20</w:t>
      </w:r>
      <w:r>
        <w:rPr>
          <w:rFonts w:hint="default" w:ascii="Times New Roman" w:hAnsi="Times New Roman" w:eastAsia="方正仿宋_GBK" w:cs="Times New Roman"/>
          <w:color w:val="auto"/>
          <w:kern w:val="2"/>
          <w:sz w:val="32"/>
          <w:szCs w:val="32"/>
          <w:highlight w:val="none"/>
          <w:lang w:val="en-US" w:eastAsia="zh-CN" w:bidi="ar-SA"/>
        </w:rPr>
        <w:t>人，起诉</w:t>
      </w:r>
      <w:r>
        <w:rPr>
          <w:rFonts w:hint="eastAsia" w:ascii="Times New Roman" w:hAnsi="Times New Roman" w:eastAsia="方正仿宋_GBK" w:cs="Times New Roman"/>
          <w:color w:val="auto"/>
          <w:kern w:val="2"/>
          <w:sz w:val="32"/>
          <w:szCs w:val="32"/>
          <w:highlight w:val="none"/>
          <w:lang w:val="en-US" w:eastAsia="zh-CN" w:bidi="ar-SA"/>
        </w:rPr>
        <w:t>76</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145</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强化综合治理</w:t>
      </w:r>
      <w:r>
        <w:rPr>
          <w:rFonts w:hint="default" w:ascii="Times New Roman" w:hAnsi="Times New Roman" w:eastAsia="方正仿宋_GBK" w:cs="Times New Roman"/>
          <w:color w:val="auto"/>
          <w:kern w:val="2"/>
          <w:sz w:val="32"/>
          <w:szCs w:val="32"/>
          <w:highlight w:val="none"/>
          <w:lang w:val="en-US" w:eastAsia="zh-CN" w:bidi="ar-SA"/>
        </w:rPr>
        <w:t>，督促整改固体废物、生活污水等环境污染问题</w:t>
      </w:r>
      <w:r>
        <w:rPr>
          <w:rFonts w:hint="eastAsia" w:ascii="Times New Roman" w:hAnsi="Times New Roman" w:eastAsia="方正仿宋_GBK" w:cs="Times New Roman"/>
          <w:color w:val="auto"/>
          <w:kern w:val="2"/>
          <w:sz w:val="32"/>
          <w:szCs w:val="32"/>
          <w:highlight w:val="none"/>
          <w:lang w:val="en-US" w:eastAsia="zh-CN" w:bidi="ar-SA"/>
        </w:rPr>
        <w:t>39个</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监督排除108</w:t>
      </w:r>
      <w:r>
        <w:rPr>
          <w:rFonts w:hint="default" w:ascii="Times New Roman" w:hAnsi="Times New Roman" w:eastAsia="方正仿宋_GBK" w:cs="Times New Roman"/>
          <w:color w:val="auto"/>
          <w:kern w:val="2"/>
          <w:sz w:val="32"/>
          <w:szCs w:val="32"/>
          <w:highlight w:val="none"/>
          <w:lang w:val="en-US" w:eastAsia="zh-CN" w:bidi="ar-SA"/>
        </w:rPr>
        <w:t>株古树生长安全隐患，持续擦亮巴中</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中国十大秀美之城</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名片。运用</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碳汇+司法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生态修复补偿机制，</w:t>
      </w:r>
      <w:r>
        <w:rPr>
          <w:rFonts w:hint="eastAsia" w:ascii="Times New Roman" w:hAnsi="Times New Roman" w:eastAsia="方正仿宋_GBK" w:cs="Times New Roman"/>
          <w:color w:val="auto"/>
          <w:kern w:val="2"/>
          <w:sz w:val="32"/>
          <w:szCs w:val="32"/>
          <w:highlight w:val="none"/>
          <w:lang w:val="en-US" w:eastAsia="zh-CN" w:bidi="ar-SA"/>
        </w:rPr>
        <w:t>实现碳汇交易300余吨，</w:t>
      </w:r>
      <w:r>
        <w:rPr>
          <w:rFonts w:hint="default" w:ascii="Times New Roman" w:hAnsi="Times New Roman" w:eastAsia="方正仿宋_GBK" w:cs="Times New Roman"/>
          <w:color w:val="auto"/>
          <w:kern w:val="2"/>
          <w:sz w:val="32"/>
          <w:szCs w:val="32"/>
          <w:highlight w:val="none"/>
          <w:lang w:val="en-US" w:eastAsia="zh-CN" w:bidi="ar-SA"/>
        </w:rPr>
        <w:t>促进巴中生态环境</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高颜值</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转化为经济发展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高价值</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。加强文物和文化遗产司法保护，督促完善摩崖造像综合保护措施，助力打造</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四龛护城</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文旅品牌。聚焦红色资源保护，办理</w:t>
      </w:r>
      <w:r>
        <w:rPr>
          <w:rFonts w:hint="eastAsia" w:ascii="Times New Roman" w:hAnsi="Times New Roman" w:eastAsia="方正仿宋_GBK" w:cs="Times New Roman"/>
          <w:color w:val="auto"/>
          <w:kern w:val="2"/>
          <w:sz w:val="32"/>
          <w:szCs w:val="32"/>
          <w:highlight w:val="none"/>
          <w:lang w:val="en-US" w:eastAsia="zh-CN" w:bidi="ar-SA"/>
        </w:rPr>
        <w:t>红色遗址、设施等</w:t>
      </w:r>
      <w:r>
        <w:rPr>
          <w:rFonts w:hint="default" w:ascii="Times New Roman" w:hAnsi="Times New Roman" w:eastAsia="方正仿宋_GBK" w:cs="Times New Roman"/>
          <w:color w:val="auto"/>
          <w:kern w:val="2"/>
          <w:sz w:val="32"/>
          <w:szCs w:val="32"/>
          <w:highlight w:val="none"/>
          <w:lang w:val="en-US" w:eastAsia="zh-CN" w:bidi="ar-SA"/>
        </w:rPr>
        <w:t>公益诉讼案件</w:t>
      </w:r>
      <w:r>
        <w:rPr>
          <w:rFonts w:hint="eastAsia"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与陕西、重庆、成都军检等10地检察机关会签跨区域协作机制，</w:t>
      </w:r>
      <w:r>
        <w:rPr>
          <w:rFonts w:hint="eastAsia" w:ascii="Times New Roman" w:hAnsi="Times New Roman" w:eastAsia="方正仿宋_GBK" w:cs="Times New Roman"/>
          <w:color w:val="auto"/>
          <w:kern w:val="2"/>
          <w:sz w:val="32"/>
          <w:szCs w:val="32"/>
          <w:highlight w:val="none"/>
          <w:lang w:val="en-US" w:eastAsia="zh-CN" w:bidi="ar-SA"/>
        </w:rPr>
        <w:t>共同保护</w:t>
      </w:r>
      <w:r>
        <w:rPr>
          <w:rFonts w:hint="default" w:ascii="Times New Roman" w:hAnsi="Times New Roman" w:eastAsia="方正仿宋_GBK" w:cs="Times New Roman"/>
          <w:color w:val="auto"/>
          <w:kern w:val="2"/>
          <w:sz w:val="32"/>
          <w:szCs w:val="32"/>
          <w:highlight w:val="none"/>
          <w:lang w:val="en-US" w:eastAsia="zh-CN" w:bidi="ar-SA"/>
        </w:rPr>
        <w:t>川陕苏区红色文物。</w:t>
      </w:r>
    </w:p>
    <w:p w14:paraId="15DBBABB">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合力惩治职务犯罪。</w:t>
      </w:r>
      <w:r>
        <w:rPr>
          <w:rFonts w:hint="default" w:ascii="Times New Roman" w:hAnsi="Times New Roman" w:eastAsia="方正仿宋_GBK" w:cs="Times New Roman"/>
          <w:color w:val="auto"/>
          <w:kern w:val="2"/>
          <w:sz w:val="32"/>
          <w:szCs w:val="32"/>
          <w:highlight w:val="none"/>
          <w:lang w:val="en-US" w:eastAsia="zh-CN" w:bidi="ar-SA"/>
        </w:rPr>
        <w:t>加强监检衔接，</w:t>
      </w:r>
      <w:r>
        <w:rPr>
          <w:rFonts w:hint="eastAsia" w:ascii="Times New Roman" w:hAnsi="Times New Roman" w:eastAsia="方正仿宋_GBK" w:cs="Times New Roman"/>
          <w:color w:val="auto"/>
          <w:kern w:val="2"/>
          <w:sz w:val="32"/>
          <w:szCs w:val="32"/>
          <w:highlight w:val="none"/>
          <w:lang w:val="en-US" w:eastAsia="zh-CN" w:bidi="ar-SA"/>
        </w:rPr>
        <w:t>持续深化反腐败斗争，</w:t>
      </w:r>
      <w:r>
        <w:rPr>
          <w:rFonts w:hint="default" w:ascii="Times New Roman" w:hAnsi="Times New Roman" w:eastAsia="方正仿宋_GBK" w:cs="Times New Roman"/>
          <w:color w:val="auto"/>
          <w:kern w:val="2"/>
          <w:sz w:val="32"/>
          <w:szCs w:val="32"/>
          <w:highlight w:val="none"/>
          <w:lang w:val="en-US" w:eastAsia="zh-CN" w:bidi="ar-SA"/>
        </w:rPr>
        <w:t>受理监委移送</w:t>
      </w:r>
      <w:r>
        <w:rPr>
          <w:rFonts w:hint="eastAsia" w:ascii="Times New Roman" w:hAnsi="Times New Roman" w:eastAsia="方正仿宋_GBK" w:cs="Times New Roman"/>
          <w:color w:val="auto"/>
          <w:kern w:val="2"/>
          <w:sz w:val="32"/>
          <w:szCs w:val="32"/>
          <w:highlight w:val="none"/>
          <w:lang w:val="en-US" w:eastAsia="zh-CN" w:bidi="ar-SA"/>
        </w:rPr>
        <w:t>审查起诉</w:t>
      </w:r>
      <w:r>
        <w:rPr>
          <w:rFonts w:hint="default" w:ascii="Times New Roman" w:hAnsi="Times New Roman" w:eastAsia="方正仿宋_GBK" w:cs="Times New Roman"/>
          <w:color w:val="auto"/>
          <w:kern w:val="2"/>
          <w:sz w:val="32"/>
          <w:szCs w:val="32"/>
          <w:highlight w:val="none"/>
          <w:lang w:val="en-US" w:eastAsia="zh-CN" w:bidi="ar-SA"/>
        </w:rPr>
        <w:t>职务犯罪案件</w:t>
      </w:r>
      <w:r>
        <w:rPr>
          <w:rFonts w:hint="eastAsia" w:ascii="Times New Roman" w:hAnsi="Times New Roman" w:eastAsia="方正仿宋_GBK" w:cs="Times New Roman"/>
          <w:color w:val="auto"/>
          <w:kern w:val="2"/>
          <w:sz w:val="32"/>
          <w:szCs w:val="32"/>
          <w:highlight w:val="none"/>
          <w:lang w:val="en-US" w:eastAsia="zh-CN" w:bidi="ar-SA"/>
        </w:rPr>
        <w:t>37</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44</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提起公</w:t>
      </w:r>
      <w:r>
        <w:rPr>
          <w:rFonts w:hint="default" w:ascii="Times New Roman" w:hAnsi="Times New Roman" w:eastAsia="方正仿宋_GBK" w:cs="Times New Roman"/>
          <w:color w:val="auto"/>
          <w:kern w:val="2"/>
          <w:sz w:val="32"/>
          <w:szCs w:val="32"/>
          <w:highlight w:val="none"/>
          <w:lang w:val="en-US" w:eastAsia="zh-CN" w:bidi="ar-SA"/>
        </w:rPr>
        <w:t>诉</w:t>
      </w:r>
      <w:r>
        <w:rPr>
          <w:rFonts w:hint="eastAsia" w:ascii="Times New Roman" w:hAnsi="Times New Roman" w:eastAsia="方正仿宋_GBK" w:cs="Times New Roman"/>
          <w:color w:val="auto"/>
          <w:kern w:val="2"/>
          <w:sz w:val="32"/>
          <w:szCs w:val="32"/>
          <w:highlight w:val="none"/>
          <w:lang w:val="en-US" w:eastAsia="zh-CN" w:bidi="ar-SA"/>
        </w:rPr>
        <w:t>40</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47</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，涉及处级以上干部7人。依法起诉了</w:t>
      </w:r>
      <w:r>
        <w:rPr>
          <w:rFonts w:hint="eastAsia" w:eastAsia="方正仿宋_GBK" w:cs="Times New Roman"/>
          <w:color w:val="auto"/>
          <w:kern w:val="2"/>
          <w:sz w:val="32"/>
          <w:szCs w:val="32"/>
          <w:highlight w:val="none"/>
          <w:lang w:val="en-US" w:eastAsia="zh-CN" w:bidi="ar-SA"/>
        </w:rPr>
        <w:t>国家市场监督管理总局</w:t>
      </w:r>
      <w:r>
        <w:rPr>
          <w:rFonts w:hint="eastAsia" w:ascii="Times New Roman" w:hAnsi="Times New Roman" w:eastAsia="方正仿宋_GBK" w:cs="Times New Roman"/>
          <w:color w:val="auto"/>
          <w:kern w:val="2"/>
          <w:sz w:val="32"/>
          <w:szCs w:val="32"/>
          <w:highlight w:val="none"/>
          <w:lang w:val="en-US" w:eastAsia="zh-CN" w:bidi="ar-SA"/>
        </w:rPr>
        <w:t>认可与检验检测司原副司长、一级巡视员乔某某受贿案等大要案件。</w:t>
      </w:r>
      <w:r>
        <w:rPr>
          <w:rFonts w:hint="default" w:ascii="Times New Roman" w:hAnsi="Times New Roman" w:eastAsia="方正仿宋_GBK" w:cs="Times New Roman"/>
          <w:color w:val="auto"/>
          <w:kern w:val="2"/>
          <w:sz w:val="32"/>
          <w:szCs w:val="32"/>
          <w:highlight w:val="none"/>
          <w:lang w:val="en-US" w:eastAsia="zh-CN" w:bidi="ar-SA"/>
        </w:rPr>
        <w:t>依法惩治侵害群众利益腐败犯罪，</w:t>
      </w:r>
      <w:r>
        <w:rPr>
          <w:rFonts w:hint="eastAsia" w:ascii="Times New Roman" w:hAnsi="Times New Roman" w:eastAsia="方正仿宋_GBK" w:cs="Times New Roman"/>
          <w:color w:val="auto"/>
          <w:kern w:val="2"/>
          <w:sz w:val="32"/>
          <w:szCs w:val="32"/>
          <w:highlight w:val="none"/>
          <w:lang w:val="en-US" w:eastAsia="zh-CN" w:bidi="ar-SA"/>
        </w:rPr>
        <w:t>起诉</w:t>
      </w:r>
      <w:r>
        <w:rPr>
          <w:rFonts w:hint="default" w:ascii="Times New Roman" w:hAnsi="Times New Roman" w:eastAsia="方正仿宋_GBK" w:cs="Times New Roman"/>
          <w:color w:val="auto"/>
          <w:kern w:val="2"/>
          <w:sz w:val="32"/>
          <w:szCs w:val="32"/>
          <w:highlight w:val="none"/>
          <w:lang w:val="en-US" w:eastAsia="zh-CN" w:bidi="ar-SA"/>
        </w:rPr>
        <w:t>医疗</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教育</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殡葬</w:t>
      </w:r>
      <w:r>
        <w:rPr>
          <w:rFonts w:hint="eastAsia" w:ascii="Times New Roman" w:hAnsi="Times New Roman" w:eastAsia="方正仿宋_GBK" w:cs="Times New Roman"/>
          <w:color w:val="auto"/>
          <w:kern w:val="2"/>
          <w:sz w:val="32"/>
          <w:szCs w:val="32"/>
          <w:highlight w:val="none"/>
          <w:lang w:val="en-US" w:eastAsia="zh-CN" w:bidi="ar-SA"/>
        </w:rPr>
        <w:t>等</w:t>
      </w:r>
      <w:r>
        <w:rPr>
          <w:rFonts w:hint="default" w:ascii="Times New Roman" w:hAnsi="Times New Roman" w:eastAsia="方正仿宋_GBK" w:cs="Times New Roman"/>
          <w:color w:val="auto"/>
          <w:kern w:val="2"/>
          <w:sz w:val="32"/>
          <w:szCs w:val="32"/>
          <w:highlight w:val="none"/>
          <w:lang w:val="en-US" w:eastAsia="zh-CN" w:bidi="ar-SA"/>
        </w:rPr>
        <w:t>领域</w:t>
      </w:r>
      <w:r>
        <w:rPr>
          <w:rFonts w:hint="eastAsia" w:ascii="Times New Roman" w:hAnsi="Times New Roman" w:eastAsia="方正仿宋_GBK" w:cs="Times New Roman"/>
          <w:color w:val="auto"/>
          <w:kern w:val="2"/>
          <w:sz w:val="32"/>
          <w:szCs w:val="32"/>
          <w:highlight w:val="none"/>
          <w:lang w:val="en-US" w:eastAsia="zh-CN" w:bidi="ar-SA"/>
        </w:rPr>
        <w:t>贪</w:t>
      </w:r>
      <w:r>
        <w:rPr>
          <w:rFonts w:hint="default" w:ascii="Times New Roman" w:hAnsi="Times New Roman" w:eastAsia="方正仿宋_GBK" w:cs="Times New Roman"/>
          <w:color w:val="auto"/>
          <w:kern w:val="2"/>
          <w:sz w:val="32"/>
          <w:szCs w:val="32"/>
          <w:highlight w:val="none"/>
          <w:lang w:val="en-US" w:eastAsia="zh-CN" w:bidi="ar-SA"/>
        </w:rPr>
        <w:t>腐案件</w:t>
      </w:r>
      <w:r>
        <w:rPr>
          <w:rFonts w:hint="eastAsia" w:ascii="Times New Roman" w:hAnsi="Times New Roman" w:eastAsia="方正仿宋_GBK" w:cs="Times New Roman"/>
          <w:color w:val="auto"/>
          <w:kern w:val="2"/>
          <w:sz w:val="32"/>
          <w:szCs w:val="32"/>
          <w:highlight w:val="none"/>
          <w:lang w:val="en-US" w:eastAsia="zh-CN" w:bidi="ar-SA"/>
        </w:rPr>
        <w:t>16人。落实“</w:t>
      </w:r>
      <w:r>
        <w:rPr>
          <w:rFonts w:hint="default" w:ascii="Times New Roman" w:hAnsi="Times New Roman" w:eastAsia="方正仿宋_GBK" w:cs="Times New Roman"/>
          <w:color w:val="auto"/>
          <w:kern w:val="2"/>
          <w:sz w:val="32"/>
          <w:szCs w:val="32"/>
          <w:highlight w:val="none"/>
          <w:lang w:val="en-US" w:eastAsia="zh-CN" w:bidi="ar-SA"/>
        </w:rPr>
        <w:t>行贿受贿一起查</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办理了李某某为推销医疗器械向某医院院长史某某行贿案。针对行业领域腐败问题</w:t>
      </w:r>
      <w:r>
        <w:rPr>
          <w:rFonts w:hint="default" w:ascii="Times New Roman" w:hAnsi="Times New Roman" w:eastAsia="方正仿宋_GBK" w:cs="Times New Roman"/>
          <w:color w:val="auto"/>
          <w:kern w:val="2"/>
          <w:sz w:val="32"/>
          <w:szCs w:val="32"/>
          <w:highlight w:val="none"/>
          <w:lang w:val="en-US" w:eastAsia="zh-CN" w:bidi="ar-SA"/>
        </w:rPr>
        <w:t>发出检察建议</w:t>
      </w:r>
      <w:r>
        <w:rPr>
          <w:rFonts w:hint="eastAsia" w:ascii="Times New Roman" w:hAnsi="Times New Roman" w:eastAsia="方正仿宋_GBK" w:cs="Times New Roman"/>
          <w:color w:val="auto"/>
          <w:kern w:val="2"/>
          <w:sz w:val="32"/>
          <w:szCs w:val="32"/>
          <w:highlight w:val="none"/>
          <w:lang w:val="en-US" w:eastAsia="zh-CN" w:bidi="ar-SA"/>
        </w:rPr>
        <w:t>10份</w:t>
      </w:r>
      <w:r>
        <w:rPr>
          <w:rFonts w:hint="default" w:ascii="Times New Roman" w:hAnsi="Times New Roman" w:eastAsia="方正仿宋_GBK" w:cs="Times New Roman"/>
          <w:color w:val="auto"/>
          <w:kern w:val="2"/>
          <w:sz w:val="32"/>
          <w:szCs w:val="32"/>
          <w:highlight w:val="none"/>
          <w:lang w:val="en-US" w:eastAsia="zh-CN" w:bidi="ar-SA"/>
        </w:rPr>
        <w:t>，以个案办理推动系统治理</w:t>
      </w:r>
      <w:r>
        <w:rPr>
          <w:rFonts w:hint="eastAsia" w:ascii="Times New Roman" w:hAnsi="Times New Roman" w:eastAsia="方正仿宋_GBK" w:cs="Times New Roman"/>
          <w:color w:val="auto"/>
          <w:kern w:val="2"/>
          <w:sz w:val="32"/>
          <w:szCs w:val="32"/>
          <w:highlight w:val="none"/>
          <w:lang w:val="en-US" w:eastAsia="zh-CN" w:bidi="ar-SA"/>
        </w:rPr>
        <w:t>。稳慎推进检察侦查，立案侦查了唐某某徇私枉法案。</w:t>
      </w:r>
      <w:r>
        <w:rPr>
          <w:rFonts w:hint="default" w:ascii="Times New Roman" w:hAnsi="Times New Roman" w:eastAsia="方正仿宋_GBK" w:cs="Times New Roman"/>
          <w:color w:val="auto"/>
          <w:kern w:val="2"/>
          <w:sz w:val="32"/>
          <w:szCs w:val="32"/>
          <w:highlight w:val="none"/>
          <w:lang w:val="en-US" w:eastAsia="zh-CN" w:bidi="ar-SA"/>
        </w:rPr>
        <w:t>查办的李某某滥用职权案被评为全省检察侦查典型案例。</w:t>
      </w:r>
    </w:p>
    <w:p w14:paraId="715BDC5A">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b/>
          <w:bCs/>
          <w:color w:val="auto"/>
          <w:kern w:val="2"/>
          <w:sz w:val="32"/>
          <w:szCs w:val="32"/>
          <w:highlight w:val="none"/>
          <w:lang w:val="en-US" w:eastAsia="zh-CN" w:bidi="ar-SA"/>
        </w:rPr>
      </w:pPr>
      <w:r>
        <w:rPr>
          <w:rFonts w:hint="eastAsia" w:eastAsia="方正仿宋_GBK" w:cs="Times New Roman"/>
          <w:b/>
          <w:bCs/>
          <w:color w:val="auto"/>
          <w:kern w:val="2"/>
          <w:sz w:val="32"/>
          <w:szCs w:val="32"/>
          <w:highlight w:val="none"/>
          <w:lang w:val="en-US" w:eastAsia="zh-CN" w:bidi="ar-SA"/>
        </w:rPr>
        <w:t>（2）</w:t>
      </w:r>
      <w:r>
        <w:rPr>
          <w:rFonts w:hint="eastAsia" w:ascii="Times New Roman" w:hAnsi="Times New Roman" w:eastAsia="方正仿宋_GBK" w:cs="Times New Roman"/>
          <w:b/>
          <w:bCs/>
          <w:color w:val="auto"/>
          <w:kern w:val="2"/>
          <w:sz w:val="32"/>
          <w:szCs w:val="32"/>
          <w:highlight w:val="none"/>
          <w:lang w:val="en-US" w:eastAsia="zh-CN" w:bidi="ar-SA"/>
        </w:rPr>
        <w:t>聚焦司法为民</w:t>
      </w:r>
      <w:r>
        <w:rPr>
          <w:rFonts w:hint="default" w:ascii="Times New Roman" w:hAnsi="Times New Roman" w:eastAsia="方正仿宋_GBK" w:cs="Times New Roman"/>
          <w:b/>
          <w:bCs/>
          <w:color w:val="auto"/>
          <w:kern w:val="2"/>
          <w:sz w:val="32"/>
          <w:szCs w:val="32"/>
          <w:highlight w:val="none"/>
          <w:lang w:val="en-US" w:eastAsia="zh-CN" w:bidi="ar-SA"/>
        </w:rPr>
        <w:t>，以检察之</w:t>
      </w:r>
      <w:r>
        <w:rPr>
          <w:rFonts w:hint="eastAsia" w:ascii="Times New Roman" w:hAnsi="Times New Roman" w:eastAsia="方正仿宋_GBK" w:cs="Times New Roman"/>
          <w:b/>
          <w:bCs/>
          <w:color w:val="auto"/>
          <w:kern w:val="2"/>
          <w:sz w:val="32"/>
          <w:szCs w:val="32"/>
          <w:highlight w:val="none"/>
          <w:lang w:val="en-US" w:eastAsia="zh-CN" w:bidi="ar-SA"/>
        </w:rPr>
        <w:t>责促进</w:t>
      </w:r>
      <w:r>
        <w:rPr>
          <w:rFonts w:hint="default" w:ascii="Times New Roman" w:hAnsi="Times New Roman" w:eastAsia="方正仿宋_GBK" w:cs="Times New Roman"/>
          <w:b/>
          <w:bCs/>
          <w:color w:val="auto"/>
          <w:kern w:val="2"/>
          <w:sz w:val="32"/>
          <w:szCs w:val="32"/>
          <w:highlight w:val="none"/>
          <w:lang w:val="en-US" w:eastAsia="zh-CN" w:bidi="ar-SA"/>
        </w:rPr>
        <w:t>高品质</w:t>
      </w:r>
      <w:r>
        <w:rPr>
          <w:rFonts w:hint="eastAsia" w:ascii="Times New Roman" w:hAnsi="Times New Roman" w:eastAsia="方正仿宋_GBK" w:cs="Times New Roman"/>
          <w:b/>
          <w:bCs/>
          <w:color w:val="auto"/>
          <w:kern w:val="2"/>
          <w:sz w:val="32"/>
          <w:szCs w:val="32"/>
          <w:highlight w:val="none"/>
          <w:lang w:val="en-US" w:eastAsia="zh-CN" w:bidi="ar-SA"/>
        </w:rPr>
        <w:t>法治服务</w:t>
      </w:r>
    </w:p>
    <w:p w14:paraId="6CF138A7">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坚持“民有所需、我有所应”，以“检护民生”专项行动持续做实</w:t>
      </w:r>
      <w:r>
        <w:rPr>
          <w:rFonts w:hint="default" w:ascii="Times New Roman" w:hAnsi="Times New Roman" w:eastAsia="方正仿宋_GBK" w:cs="Times New Roman"/>
          <w:color w:val="auto"/>
          <w:kern w:val="2"/>
          <w:sz w:val="32"/>
          <w:szCs w:val="32"/>
          <w:highlight w:val="none"/>
          <w:lang w:val="en-US" w:eastAsia="zh-CN" w:bidi="ar-SA"/>
        </w:rPr>
        <w:t>可感受、能体验、得实惠</w:t>
      </w:r>
      <w:r>
        <w:rPr>
          <w:rFonts w:hint="eastAsia" w:ascii="Times New Roman" w:hAnsi="Times New Roman" w:eastAsia="方正仿宋_GBK" w:cs="Times New Roman"/>
          <w:color w:val="auto"/>
          <w:kern w:val="2"/>
          <w:sz w:val="32"/>
          <w:szCs w:val="32"/>
          <w:highlight w:val="none"/>
          <w:lang w:val="en-US" w:eastAsia="zh-CN" w:bidi="ar-SA"/>
        </w:rPr>
        <w:t>的检察为民</w:t>
      </w:r>
      <w:r>
        <w:rPr>
          <w:rFonts w:hint="default" w:ascii="Times New Roman" w:hAnsi="Times New Roman" w:eastAsia="方正仿宋_GBK" w:cs="Times New Roman"/>
          <w:color w:val="auto"/>
          <w:kern w:val="2"/>
          <w:sz w:val="32"/>
          <w:szCs w:val="32"/>
          <w:highlight w:val="none"/>
          <w:lang w:val="en-US" w:eastAsia="zh-CN" w:bidi="ar-SA"/>
        </w:rPr>
        <w:t>。</w:t>
      </w:r>
    </w:p>
    <w:p w14:paraId="01053E2A">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守护群众身边安全。</w:t>
      </w:r>
      <w:r>
        <w:rPr>
          <w:rFonts w:hint="eastAsia" w:ascii="Times New Roman" w:hAnsi="Times New Roman" w:eastAsia="方正仿宋_GBK" w:cs="Times New Roman"/>
          <w:color w:val="auto"/>
          <w:kern w:val="2"/>
          <w:sz w:val="32"/>
          <w:szCs w:val="32"/>
          <w:highlight w:val="none"/>
          <w:lang w:val="en-US" w:eastAsia="zh-CN" w:bidi="ar-SA"/>
        </w:rPr>
        <w:t>强化</w:t>
      </w:r>
      <w:r>
        <w:rPr>
          <w:rFonts w:hint="default" w:ascii="Times New Roman" w:hAnsi="Times New Roman" w:eastAsia="方正仿宋_GBK" w:cs="Times New Roman"/>
          <w:color w:val="auto"/>
          <w:kern w:val="2"/>
          <w:sz w:val="32"/>
          <w:szCs w:val="32"/>
          <w:highlight w:val="none"/>
          <w:lang w:val="en-US" w:eastAsia="zh-CN" w:bidi="ar-SA"/>
        </w:rPr>
        <w:t>网络安全</w:t>
      </w:r>
      <w:r>
        <w:rPr>
          <w:rFonts w:hint="eastAsia" w:ascii="Times New Roman" w:hAnsi="Times New Roman" w:eastAsia="方正仿宋_GBK" w:cs="Times New Roman"/>
          <w:color w:val="auto"/>
          <w:kern w:val="2"/>
          <w:sz w:val="32"/>
          <w:szCs w:val="32"/>
          <w:highlight w:val="none"/>
          <w:lang w:val="en-US" w:eastAsia="zh-CN" w:bidi="ar-SA"/>
        </w:rPr>
        <w:t>保护</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严惩“</w:t>
      </w:r>
      <w:r>
        <w:rPr>
          <w:rFonts w:hint="default" w:ascii="Times New Roman" w:hAnsi="Times New Roman" w:eastAsia="方正仿宋_GBK" w:cs="Times New Roman"/>
          <w:color w:val="auto"/>
          <w:kern w:val="2"/>
          <w:sz w:val="32"/>
          <w:szCs w:val="32"/>
          <w:highlight w:val="none"/>
          <w:lang w:val="en-US" w:eastAsia="zh-CN" w:bidi="ar-SA"/>
        </w:rPr>
        <w:t>7.17</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5.09</w:t>
      </w:r>
      <w:r>
        <w:rPr>
          <w:rFonts w:hint="eastAsia" w:ascii="Times New Roman" w:hAnsi="Times New Roman" w:eastAsia="方正仿宋_GBK" w:cs="Times New Roman"/>
          <w:color w:val="auto"/>
          <w:kern w:val="2"/>
          <w:sz w:val="32"/>
          <w:szCs w:val="32"/>
          <w:highlight w:val="none"/>
          <w:lang w:val="en-US" w:eastAsia="zh-CN" w:bidi="ar-SA"/>
        </w:rPr>
        <w:t>”等</w:t>
      </w:r>
      <w:r>
        <w:rPr>
          <w:rFonts w:hint="default" w:ascii="Times New Roman" w:hAnsi="Times New Roman" w:eastAsia="方正仿宋_GBK" w:cs="Times New Roman"/>
          <w:color w:val="auto"/>
          <w:kern w:val="2"/>
          <w:sz w:val="32"/>
          <w:szCs w:val="32"/>
          <w:highlight w:val="none"/>
          <w:lang w:val="en-US" w:eastAsia="zh-CN" w:bidi="ar-SA"/>
        </w:rPr>
        <w:t>跨境电信网络诈骗</w:t>
      </w:r>
      <w:r>
        <w:rPr>
          <w:rFonts w:hint="eastAsia" w:ascii="Times New Roman" w:hAnsi="Times New Roman" w:eastAsia="方正仿宋_GBK" w:cs="Times New Roman"/>
          <w:color w:val="auto"/>
          <w:kern w:val="2"/>
          <w:sz w:val="32"/>
          <w:szCs w:val="32"/>
          <w:highlight w:val="none"/>
          <w:lang w:val="en-US" w:eastAsia="zh-CN" w:bidi="ar-SA"/>
        </w:rPr>
        <w:t>犯罪分子，</w:t>
      </w:r>
      <w:r>
        <w:rPr>
          <w:rFonts w:hint="default" w:ascii="Times New Roman" w:hAnsi="Times New Roman" w:eastAsia="方正仿宋_GBK" w:cs="Times New Roman"/>
          <w:color w:val="auto"/>
          <w:kern w:val="2"/>
          <w:sz w:val="32"/>
          <w:szCs w:val="32"/>
          <w:highlight w:val="none"/>
          <w:lang w:val="en-US" w:eastAsia="zh-CN" w:bidi="ar-SA"/>
        </w:rPr>
        <w:t>起诉电信网络诈骗、侵犯公民个人信息犯罪</w:t>
      </w:r>
      <w:r>
        <w:rPr>
          <w:rFonts w:hint="eastAsia" w:ascii="Times New Roman" w:hAnsi="Times New Roman" w:eastAsia="方正仿宋_GBK" w:cs="Times New Roman"/>
          <w:color w:val="auto"/>
          <w:kern w:val="2"/>
          <w:sz w:val="32"/>
          <w:szCs w:val="32"/>
          <w:highlight w:val="none"/>
          <w:lang w:val="en-US" w:eastAsia="zh-CN" w:bidi="ar-SA"/>
        </w:rPr>
        <w:t>258</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强化</w:t>
      </w:r>
      <w:r>
        <w:rPr>
          <w:rFonts w:hint="default" w:ascii="Times New Roman" w:hAnsi="Times New Roman" w:eastAsia="方正仿宋_GBK" w:cs="Times New Roman"/>
          <w:color w:val="auto"/>
          <w:kern w:val="2"/>
          <w:sz w:val="32"/>
          <w:szCs w:val="32"/>
          <w:highlight w:val="none"/>
          <w:lang w:val="en-US" w:eastAsia="zh-CN" w:bidi="ar-SA"/>
        </w:rPr>
        <w:t>食品药品安全</w:t>
      </w:r>
      <w:r>
        <w:rPr>
          <w:rFonts w:hint="eastAsia" w:ascii="Times New Roman" w:hAnsi="Times New Roman" w:eastAsia="方正仿宋_GBK" w:cs="Times New Roman"/>
          <w:color w:val="auto"/>
          <w:kern w:val="2"/>
          <w:sz w:val="32"/>
          <w:szCs w:val="32"/>
          <w:highlight w:val="none"/>
          <w:lang w:val="en-US" w:eastAsia="zh-CN" w:bidi="ar-SA"/>
        </w:rPr>
        <w:t>保护</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开展</w:t>
      </w:r>
      <w:r>
        <w:rPr>
          <w:rFonts w:hint="default" w:ascii="Times New Roman" w:hAnsi="Times New Roman" w:eastAsia="方正仿宋_GBK" w:cs="Times New Roman"/>
          <w:color w:val="auto"/>
          <w:kern w:val="2"/>
          <w:sz w:val="32"/>
          <w:szCs w:val="32"/>
          <w:highlight w:val="none"/>
          <w:lang w:val="en-US" w:eastAsia="zh-CN" w:bidi="ar-SA"/>
        </w:rPr>
        <w:t>食用农产品</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治违禁、控药残、促提升</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农资打假</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等专项行动，办理案件</w:t>
      </w:r>
      <w:r>
        <w:rPr>
          <w:rFonts w:hint="eastAsia" w:ascii="Times New Roman" w:hAnsi="Times New Roman" w:eastAsia="方正仿宋_GBK" w:cs="Times New Roman"/>
          <w:color w:val="auto"/>
          <w:kern w:val="2"/>
          <w:sz w:val="32"/>
          <w:szCs w:val="32"/>
          <w:highlight w:val="none"/>
          <w:lang w:val="en-US" w:eastAsia="zh-CN" w:bidi="ar-SA"/>
        </w:rPr>
        <w:t>20</w:t>
      </w:r>
      <w:r>
        <w:rPr>
          <w:rFonts w:hint="default" w:ascii="Times New Roman" w:hAnsi="Times New Roman" w:eastAsia="方正仿宋_GBK" w:cs="Times New Roman"/>
          <w:color w:val="auto"/>
          <w:kern w:val="2"/>
          <w:sz w:val="32"/>
          <w:szCs w:val="32"/>
          <w:highlight w:val="none"/>
          <w:lang w:val="en-US" w:eastAsia="zh-CN" w:bidi="ar-SA"/>
        </w:rPr>
        <w:t>件。支持省消委起诉孙某某、刘某某生产销售伪劣化肥案，推动规范化肥行业经营秩序，获评全省检察机关守护</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天府粮仓</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典型案例。</w:t>
      </w:r>
      <w:r>
        <w:rPr>
          <w:rFonts w:hint="eastAsia" w:ascii="Times New Roman" w:hAnsi="Times New Roman" w:eastAsia="方正仿宋_GBK" w:cs="Times New Roman"/>
          <w:color w:val="auto"/>
          <w:kern w:val="2"/>
          <w:sz w:val="32"/>
          <w:szCs w:val="32"/>
          <w:highlight w:val="none"/>
          <w:lang w:val="en-US" w:eastAsia="zh-CN" w:bidi="ar-SA"/>
        </w:rPr>
        <w:t>强化</w:t>
      </w:r>
      <w:r>
        <w:rPr>
          <w:rFonts w:hint="default" w:ascii="Times New Roman" w:hAnsi="Times New Roman" w:eastAsia="方正仿宋_GBK" w:cs="Times New Roman"/>
          <w:color w:val="auto"/>
          <w:kern w:val="2"/>
          <w:sz w:val="32"/>
          <w:szCs w:val="32"/>
          <w:highlight w:val="none"/>
          <w:lang w:val="en-US" w:eastAsia="zh-CN" w:bidi="ar-SA"/>
        </w:rPr>
        <w:t>风险</w:t>
      </w:r>
      <w:r>
        <w:rPr>
          <w:rFonts w:hint="eastAsia" w:ascii="Times New Roman" w:hAnsi="Times New Roman" w:eastAsia="方正仿宋_GBK" w:cs="Times New Roman"/>
          <w:color w:val="auto"/>
          <w:kern w:val="2"/>
          <w:sz w:val="32"/>
          <w:szCs w:val="32"/>
          <w:highlight w:val="none"/>
          <w:lang w:val="en-US" w:eastAsia="zh-CN" w:bidi="ar-SA"/>
        </w:rPr>
        <w:t>防控</w:t>
      </w:r>
      <w:r>
        <w:rPr>
          <w:rFonts w:hint="default" w:ascii="Times New Roman" w:hAnsi="Times New Roman" w:eastAsia="方正仿宋_GBK" w:cs="Times New Roman"/>
          <w:color w:val="auto"/>
          <w:kern w:val="2"/>
          <w:sz w:val="32"/>
          <w:szCs w:val="32"/>
          <w:highlight w:val="none"/>
          <w:lang w:val="en-US" w:eastAsia="zh-CN" w:bidi="ar-SA"/>
        </w:rPr>
        <w:t>，监督</w:t>
      </w:r>
      <w:r>
        <w:rPr>
          <w:rFonts w:hint="eastAsia" w:ascii="Times New Roman" w:hAnsi="Times New Roman" w:eastAsia="方正仿宋_GBK" w:cs="Times New Roman"/>
          <w:color w:val="auto"/>
          <w:kern w:val="2"/>
          <w:sz w:val="32"/>
          <w:szCs w:val="32"/>
          <w:highlight w:val="none"/>
          <w:lang w:val="en-US" w:eastAsia="zh-CN" w:bidi="ar-SA"/>
        </w:rPr>
        <w:t>相关部门</w:t>
      </w:r>
      <w:r>
        <w:rPr>
          <w:rFonts w:hint="default" w:ascii="Times New Roman" w:hAnsi="Times New Roman" w:eastAsia="方正仿宋_GBK" w:cs="Times New Roman"/>
          <w:color w:val="auto"/>
          <w:kern w:val="2"/>
          <w:sz w:val="32"/>
          <w:szCs w:val="32"/>
          <w:highlight w:val="none"/>
          <w:lang w:val="en-US" w:eastAsia="zh-CN" w:bidi="ar-SA"/>
        </w:rPr>
        <w:t>注销566名精神残疾人持有的机动车驾驶证</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协同筑牢</w:t>
      </w:r>
      <w:r>
        <w:rPr>
          <w:rFonts w:hint="eastAsia" w:ascii="Times New Roman" w:hAnsi="Times New Roman" w:eastAsia="方正仿宋_GBK" w:cs="Times New Roman"/>
          <w:color w:val="auto"/>
          <w:kern w:val="2"/>
          <w:sz w:val="32"/>
          <w:szCs w:val="32"/>
          <w:highlight w:val="none"/>
          <w:lang w:val="en-US" w:eastAsia="zh-CN" w:bidi="ar-SA"/>
        </w:rPr>
        <w:t>公共设施</w:t>
      </w:r>
      <w:r>
        <w:rPr>
          <w:rFonts w:hint="default" w:ascii="Times New Roman" w:hAnsi="Times New Roman" w:eastAsia="方正仿宋_GBK" w:cs="Times New Roman"/>
          <w:color w:val="auto"/>
          <w:kern w:val="2"/>
          <w:sz w:val="32"/>
          <w:szCs w:val="32"/>
          <w:highlight w:val="none"/>
          <w:lang w:val="en-US" w:eastAsia="zh-CN" w:bidi="ar-SA"/>
        </w:rPr>
        <w:t>安全防线</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督促整改窨井盖、充电桩、盲道等风险隐患，发出检察建议</w:t>
      </w:r>
      <w:r>
        <w:rPr>
          <w:rFonts w:hint="eastAsia" w:ascii="Times New Roman" w:hAnsi="Times New Roman" w:eastAsia="方正仿宋_GBK" w:cs="Times New Roman"/>
          <w:color w:val="auto"/>
          <w:kern w:val="2"/>
          <w:sz w:val="32"/>
          <w:szCs w:val="32"/>
          <w:highlight w:val="none"/>
          <w:lang w:val="en-US" w:eastAsia="zh-CN" w:bidi="ar-SA"/>
        </w:rPr>
        <w:t>16</w:t>
      </w:r>
      <w:r>
        <w:rPr>
          <w:rFonts w:hint="default" w:ascii="Times New Roman" w:hAnsi="Times New Roman" w:eastAsia="方正仿宋_GBK" w:cs="Times New Roman"/>
          <w:color w:val="auto"/>
          <w:kern w:val="2"/>
          <w:sz w:val="32"/>
          <w:szCs w:val="32"/>
          <w:highlight w:val="none"/>
          <w:lang w:val="en-US" w:eastAsia="zh-CN" w:bidi="ar-SA"/>
        </w:rPr>
        <w:t>份。</w:t>
      </w:r>
    </w:p>
    <w:p w14:paraId="2D24F6B6">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保护特殊群体权益。</w:t>
      </w:r>
      <w:r>
        <w:rPr>
          <w:rFonts w:hint="default" w:ascii="Times New Roman" w:hAnsi="Times New Roman" w:eastAsia="方正仿宋_GBK" w:cs="Times New Roman"/>
          <w:color w:val="auto"/>
          <w:kern w:val="2"/>
          <w:sz w:val="32"/>
          <w:szCs w:val="32"/>
          <w:highlight w:val="none"/>
          <w:lang w:val="en-US" w:eastAsia="zh-CN" w:bidi="ar-SA"/>
        </w:rPr>
        <w:t>聚焦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老有所</w:t>
      </w:r>
      <w:r>
        <w:rPr>
          <w:rFonts w:hint="eastAsia" w:ascii="Times New Roman" w:hAnsi="Times New Roman" w:eastAsia="方正仿宋_GBK" w:cs="Times New Roman"/>
          <w:color w:val="auto"/>
          <w:kern w:val="2"/>
          <w:sz w:val="32"/>
          <w:szCs w:val="32"/>
          <w:highlight w:val="none"/>
          <w:lang w:val="en-US" w:eastAsia="zh-CN" w:bidi="ar-SA"/>
        </w:rPr>
        <w:t>依”</w:t>
      </w:r>
      <w:r>
        <w:rPr>
          <w:rFonts w:hint="default" w:ascii="Times New Roman" w:hAnsi="Times New Roman" w:eastAsia="方正仿宋_GBK" w:cs="Times New Roman"/>
          <w:color w:val="auto"/>
          <w:kern w:val="2"/>
          <w:sz w:val="32"/>
          <w:szCs w:val="32"/>
          <w:highlight w:val="none"/>
          <w:lang w:val="en-US" w:eastAsia="zh-CN" w:bidi="ar-SA"/>
        </w:rPr>
        <w:t>，认真落实</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十一号检察建议</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开展养老服务机构安全管理专项监督，依法</w:t>
      </w:r>
      <w:r>
        <w:rPr>
          <w:rFonts w:hint="default" w:ascii="Times New Roman" w:hAnsi="Times New Roman" w:eastAsia="方正仿宋_GBK" w:cs="Times New Roman"/>
          <w:color w:val="auto"/>
          <w:kern w:val="2"/>
          <w:sz w:val="32"/>
          <w:szCs w:val="32"/>
          <w:highlight w:val="none"/>
          <w:lang w:val="en-US" w:eastAsia="zh-CN" w:bidi="ar-SA"/>
        </w:rPr>
        <w:t>打击利用伪劣商品、保健品、虚假保险等欺老骗老犯罪，起诉</w:t>
      </w:r>
      <w:r>
        <w:rPr>
          <w:rFonts w:hint="eastAsia" w:ascii="Times New Roman" w:hAnsi="Times New Roman" w:eastAsia="方正仿宋_GBK" w:cs="Times New Roman"/>
          <w:color w:val="auto"/>
          <w:kern w:val="2"/>
          <w:sz w:val="32"/>
          <w:szCs w:val="32"/>
          <w:highlight w:val="none"/>
          <w:lang w:val="en-US" w:eastAsia="zh-CN" w:bidi="ar-SA"/>
        </w:rPr>
        <w:t>56</w:t>
      </w:r>
      <w:r>
        <w:rPr>
          <w:rFonts w:hint="default" w:ascii="Times New Roman" w:hAnsi="Times New Roman" w:eastAsia="方正仿宋_GBK" w:cs="Times New Roman"/>
          <w:color w:val="auto"/>
          <w:kern w:val="2"/>
          <w:sz w:val="32"/>
          <w:szCs w:val="32"/>
          <w:highlight w:val="none"/>
          <w:lang w:val="en-US" w:eastAsia="zh-CN" w:bidi="ar-SA"/>
        </w:rPr>
        <w:t>人。聚焦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幼有所</w:t>
      </w:r>
      <w:r>
        <w:rPr>
          <w:rFonts w:hint="eastAsia" w:ascii="Times New Roman" w:hAnsi="Times New Roman" w:eastAsia="方正仿宋_GBK" w:cs="Times New Roman"/>
          <w:color w:val="auto"/>
          <w:kern w:val="2"/>
          <w:sz w:val="32"/>
          <w:szCs w:val="32"/>
          <w:highlight w:val="none"/>
          <w:lang w:val="en-US" w:eastAsia="zh-CN" w:bidi="ar-SA"/>
        </w:rPr>
        <w:t>护”</w:t>
      </w:r>
      <w:r>
        <w:rPr>
          <w:rFonts w:hint="default" w:ascii="Times New Roman" w:hAnsi="Times New Roman" w:eastAsia="方正仿宋_GBK" w:cs="Times New Roman"/>
          <w:color w:val="auto"/>
          <w:kern w:val="2"/>
          <w:sz w:val="32"/>
          <w:szCs w:val="32"/>
          <w:highlight w:val="none"/>
          <w:lang w:val="en-US" w:eastAsia="zh-CN" w:bidi="ar-SA"/>
        </w:rPr>
        <w:t>，强化未成年人综合司法保护，批捕侵害未成年人权益犯罪</w:t>
      </w:r>
      <w:r>
        <w:rPr>
          <w:rFonts w:hint="eastAsia" w:ascii="Times New Roman" w:hAnsi="Times New Roman" w:eastAsia="方正仿宋_GBK" w:cs="Times New Roman"/>
          <w:color w:val="auto"/>
          <w:kern w:val="2"/>
          <w:sz w:val="32"/>
          <w:szCs w:val="32"/>
          <w:highlight w:val="none"/>
          <w:lang w:val="en-US" w:eastAsia="zh-CN" w:bidi="ar-SA"/>
        </w:rPr>
        <w:t>109</w:t>
      </w:r>
      <w:r>
        <w:rPr>
          <w:rFonts w:hint="default" w:ascii="Times New Roman" w:hAnsi="Times New Roman" w:eastAsia="方正仿宋_GBK" w:cs="Times New Roman"/>
          <w:color w:val="auto"/>
          <w:kern w:val="2"/>
          <w:sz w:val="32"/>
          <w:szCs w:val="32"/>
          <w:highlight w:val="none"/>
          <w:lang w:val="en-US" w:eastAsia="zh-CN" w:bidi="ar-SA"/>
        </w:rPr>
        <w:t>人，起诉</w:t>
      </w:r>
      <w:r>
        <w:rPr>
          <w:rFonts w:hint="eastAsia" w:ascii="Times New Roman" w:hAnsi="Times New Roman" w:eastAsia="方正仿宋_GBK" w:cs="Times New Roman"/>
          <w:color w:val="auto"/>
          <w:kern w:val="2"/>
          <w:sz w:val="32"/>
          <w:szCs w:val="32"/>
          <w:highlight w:val="none"/>
          <w:lang w:val="en-US" w:eastAsia="zh-CN" w:bidi="ar-SA"/>
        </w:rPr>
        <w:t>93</w:t>
      </w:r>
      <w:r>
        <w:rPr>
          <w:rFonts w:hint="default" w:ascii="Times New Roman" w:hAnsi="Times New Roman" w:eastAsia="方正仿宋_GBK" w:cs="Times New Roman"/>
          <w:color w:val="auto"/>
          <w:kern w:val="2"/>
          <w:sz w:val="32"/>
          <w:szCs w:val="32"/>
          <w:highlight w:val="none"/>
          <w:lang w:val="en-US" w:eastAsia="zh-CN" w:bidi="ar-SA"/>
        </w:rPr>
        <w:t>人；坚持惩治与挽救并重，对</w:t>
      </w:r>
      <w:r>
        <w:rPr>
          <w:rFonts w:hint="eastAsia" w:ascii="Times New Roman" w:hAnsi="Times New Roman" w:eastAsia="方正仿宋_GBK" w:cs="Times New Roman"/>
          <w:color w:val="auto"/>
          <w:kern w:val="2"/>
          <w:sz w:val="32"/>
          <w:szCs w:val="32"/>
          <w:highlight w:val="none"/>
          <w:lang w:val="en-US" w:eastAsia="zh-CN" w:bidi="ar-SA"/>
        </w:rPr>
        <w:t>17名涉</w:t>
      </w:r>
      <w:r>
        <w:rPr>
          <w:rFonts w:hint="default" w:ascii="Times New Roman" w:hAnsi="Times New Roman" w:eastAsia="方正仿宋_GBK" w:cs="Times New Roman"/>
          <w:color w:val="auto"/>
          <w:kern w:val="2"/>
          <w:sz w:val="32"/>
          <w:szCs w:val="32"/>
          <w:highlight w:val="none"/>
          <w:lang w:val="en-US" w:eastAsia="zh-CN" w:bidi="ar-SA"/>
        </w:rPr>
        <w:t>罪未成年人附条件不起诉；</w:t>
      </w:r>
      <w:r>
        <w:rPr>
          <w:rFonts w:hint="eastAsia" w:ascii="Times New Roman" w:hAnsi="Times New Roman" w:eastAsia="方正仿宋_GBK" w:cs="Times New Roman"/>
          <w:color w:val="auto"/>
          <w:kern w:val="2"/>
          <w:sz w:val="32"/>
          <w:szCs w:val="32"/>
          <w:highlight w:val="none"/>
          <w:lang w:val="en-US" w:eastAsia="zh-CN" w:bidi="ar-SA"/>
        </w:rPr>
        <w:t>针对校园安全、控辍保学等问题，</w:t>
      </w:r>
      <w:r>
        <w:rPr>
          <w:rFonts w:hint="default" w:ascii="Times New Roman" w:hAnsi="Times New Roman" w:eastAsia="方正仿宋_GBK" w:cs="Times New Roman"/>
          <w:color w:val="auto"/>
          <w:kern w:val="2"/>
          <w:sz w:val="32"/>
          <w:szCs w:val="32"/>
          <w:highlight w:val="none"/>
          <w:lang w:val="en-US" w:eastAsia="zh-CN" w:bidi="ar-SA"/>
        </w:rPr>
        <w:t>发出检察建议</w:t>
      </w:r>
      <w:r>
        <w:rPr>
          <w:rFonts w:hint="eastAsia" w:ascii="Times New Roman" w:hAnsi="Times New Roman" w:eastAsia="方正仿宋_GBK" w:cs="Times New Roman"/>
          <w:color w:val="auto"/>
          <w:kern w:val="2"/>
          <w:sz w:val="32"/>
          <w:szCs w:val="32"/>
          <w:highlight w:val="none"/>
          <w:lang w:val="en-US" w:eastAsia="zh-CN" w:bidi="ar-SA"/>
        </w:rPr>
        <w:t>13</w:t>
      </w:r>
      <w:r>
        <w:rPr>
          <w:rFonts w:hint="default" w:ascii="Times New Roman" w:hAnsi="Times New Roman" w:eastAsia="方正仿宋_GBK" w:cs="Times New Roman"/>
          <w:color w:val="auto"/>
          <w:kern w:val="2"/>
          <w:sz w:val="32"/>
          <w:szCs w:val="32"/>
          <w:highlight w:val="none"/>
          <w:lang w:val="en-US" w:eastAsia="zh-CN" w:bidi="ar-SA"/>
        </w:rPr>
        <w:t>份</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开展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法治进校园</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94场次</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聚焦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妇有所助</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，联合10部门开展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巾帼暖人心</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专项行动，办理妇女权益保护支持起诉</w:t>
      </w:r>
      <w:r>
        <w:rPr>
          <w:rFonts w:hint="eastAsia" w:ascii="Times New Roman" w:hAnsi="Times New Roman" w:eastAsia="方正仿宋_GBK" w:cs="Times New Roman"/>
          <w:color w:val="auto"/>
          <w:kern w:val="2"/>
          <w:sz w:val="32"/>
          <w:szCs w:val="32"/>
          <w:highlight w:val="none"/>
          <w:lang w:val="en-US" w:eastAsia="zh-CN" w:bidi="ar-SA"/>
        </w:rPr>
        <w:t>案件</w:t>
      </w:r>
      <w:r>
        <w:rPr>
          <w:rFonts w:hint="default" w:ascii="Times New Roman" w:hAnsi="Times New Roman" w:eastAsia="方正仿宋_GBK" w:cs="Times New Roman"/>
          <w:color w:val="auto"/>
          <w:kern w:val="2"/>
          <w:sz w:val="32"/>
          <w:szCs w:val="32"/>
          <w:highlight w:val="none"/>
          <w:lang w:val="en-US" w:eastAsia="zh-CN" w:bidi="ar-SA"/>
        </w:rPr>
        <w:t>18件。聚焦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残有所扶</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，会同市残联等部门出台《加强残疾人司法保护二十条措施》，办理涉残疾人权益保护案件6件。聚焦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劳有所得</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，惩治恶意欠薪犯罪8件9人，</w:t>
      </w:r>
      <w:r>
        <w:rPr>
          <w:rFonts w:hint="eastAsia" w:ascii="Times New Roman" w:hAnsi="Times New Roman" w:eastAsia="方正仿宋_GBK" w:cs="Times New Roman"/>
          <w:color w:val="auto"/>
          <w:kern w:val="2"/>
          <w:sz w:val="32"/>
          <w:szCs w:val="32"/>
          <w:highlight w:val="none"/>
          <w:lang w:val="en-US" w:eastAsia="zh-CN" w:bidi="ar-SA"/>
        </w:rPr>
        <w:t>支持劳动者起诉</w:t>
      </w:r>
      <w:r>
        <w:rPr>
          <w:rFonts w:hint="default" w:ascii="Times New Roman" w:hAnsi="Times New Roman" w:eastAsia="方正仿宋_GBK" w:cs="Times New Roman"/>
          <w:color w:val="auto"/>
          <w:kern w:val="2"/>
          <w:sz w:val="32"/>
          <w:szCs w:val="32"/>
          <w:highlight w:val="none"/>
          <w:lang w:val="en-US" w:eastAsia="zh-CN" w:bidi="ar-SA"/>
        </w:rPr>
        <w:t>讨薪</w:t>
      </w:r>
      <w:r>
        <w:rPr>
          <w:rFonts w:hint="eastAsia" w:ascii="Times New Roman" w:hAnsi="Times New Roman" w:eastAsia="方正仿宋_GBK" w:cs="Times New Roman"/>
          <w:color w:val="auto"/>
          <w:kern w:val="2"/>
          <w:sz w:val="32"/>
          <w:szCs w:val="32"/>
          <w:highlight w:val="none"/>
          <w:lang w:val="en-US" w:eastAsia="zh-CN" w:bidi="ar-SA"/>
        </w:rPr>
        <w:t>105</w:t>
      </w:r>
      <w:r>
        <w:rPr>
          <w:rFonts w:hint="default" w:ascii="Times New Roman" w:hAnsi="Times New Roman" w:eastAsia="方正仿宋_GBK" w:cs="Times New Roman"/>
          <w:color w:val="auto"/>
          <w:kern w:val="2"/>
          <w:sz w:val="32"/>
          <w:szCs w:val="32"/>
          <w:highlight w:val="none"/>
          <w:lang w:val="en-US" w:eastAsia="zh-CN" w:bidi="ar-SA"/>
        </w:rPr>
        <w:t>件，帮助追回薪资20</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余万元。</w:t>
      </w:r>
    </w:p>
    <w:p w14:paraId="458039A9">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防范化解矛盾纠纷。</w:t>
      </w:r>
      <w:r>
        <w:rPr>
          <w:rFonts w:hint="eastAsia" w:ascii="Times New Roman" w:hAnsi="Times New Roman" w:eastAsia="方正仿宋_GBK" w:cs="Times New Roman"/>
          <w:color w:val="auto"/>
          <w:kern w:val="2"/>
          <w:sz w:val="32"/>
          <w:szCs w:val="32"/>
          <w:highlight w:val="none"/>
          <w:lang w:val="en-US" w:eastAsia="zh-CN" w:bidi="ar-SA"/>
        </w:rPr>
        <w:t>积极推进</w:t>
      </w:r>
      <w:r>
        <w:rPr>
          <w:rFonts w:hint="default" w:ascii="Times New Roman" w:hAnsi="Times New Roman" w:eastAsia="方正仿宋_GBK" w:cs="Times New Roman"/>
          <w:color w:val="auto"/>
          <w:kern w:val="2"/>
          <w:sz w:val="32"/>
          <w:szCs w:val="32"/>
          <w:highlight w:val="none"/>
          <w:lang w:val="en-US" w:eastAsia="zh-CN" w:bidi="ar-SA"/>
        </w:rPr>
        <w:t>检察环节信访工作法治化</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促进</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息诉罢访</w:t>
      </w:r>
      <w:r>
        <w:rPr>
          <w:rFonts w:hint="eastAsia" w:ascii="Times New Roman" w:hAnsi="Times New Roman" w:eastAsia="方正仿宋_GBK" w:cs="Times New Roman"/>
          <w:color w:val="auto"/>
          <w:kern w:val="2"/>
          <w:sz w:val="32"/>
          <w:szCs w:val="32"/>
          <w:highlight w:val="none"/>
          <w:lang w:val="en-US" w:eastAsia="zh-CN" w:bidi="ar-SA"/>
        </w:rPr>
        <w:t>”。以“如我在诉”</w:t>
      </w:r>
      <w:r>
        <w:rPr>
          <w:rFonts w:hint="default" w:ascii="Times New Roman" w:hAnsi="Times New Roman" w:eastAsia="方正仿宋_GBK" w:cs="Times New Roman"/>
          <w:color w:val="auto"/>
          <w:kern w:val="2"/>
          <w:sz w:val="32"/>
          <w:szCs w:val="32"/>
          <w:highlight w:val="none"/>
          <w:lang w:val="en-US" w:eastAsia="zh-CN" w:bidi="ar-SA"/>
        </w:rPr>
        <w:t>落实</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群众信访件件有回复</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要求，妥善</w:t>
      </w:r>
      <w:r>
        <w:rPr>
          <w:rFonts w:hint="eastAsia" w:ascii="Times New Roman" w:hAnsi="Times New Roman" w:eastAsia="方正仿宋_GBK" w:cs="Times New Roman"/>
          <w:color w:val="auto"/>
          <w:kern w:val="2"/>
          <w:sz w:val="32"/>
          <w:szCs w:val="32"/>
          <w:highlight w:val="none"/>
          <w:lang w:val="en-US" w:eastAsia="zh-CN" w:bidi="ar-SA"/>
        </w:rPr>
        <w:t>处理</w:t>
      </w:r>
      <w:r>
        <w:rPr>
          <w:rFonts w:hint="default" w:ascii="Times New Roman" w:hAnsi="Times New Roman" w:eastAsia="方正仿宋_GBK" w:cs="Times New Roman"/>
          <w:color w:val="auto"/>
          <w:kern w:val="2"/>
          <w:sz w:val="32"/>
          <w:szCs w:val="32"/>
          <w:highlight w:val="none"/>
          <w:lang w:val="en-US" w:eastAsia="zh-CN" w:bidi="ar-SA"/>
        </w:rPr>
        <w:t>信访案件513件</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扎实开展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社情民意联系日</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活动，收集</w:t>
      </w:r>
      <w:r>
        <w:rPr>
          <w:rFonts w:hint="eastAsia" w:ascii="Times New Roman" w:hAnsi="Times New Roman" w:eastAsia="方正仿宋_GBK" w:cs="Times New Roman"/>
          <w:color w:val="auto"/>
          <w:kern w:val="2"/>
          <w:sz w:val="32"/>
          <w:szCs w:val="32"/>
          <w:highlight w:val="none"/>
          <w:lang w:val="en-US" w:eastAsia="zh-CN" w:bidi="ar-SA"/>
        </w:rPr>
        <w:t>、督促</w:t>
      </w:r>
      <w:r>
        <w:rPr>
          <w:rFonts w:hint="default" w:ascii="Times New Roman" w:hAnsi="Times New Roman" w:eastAsia="方正仿宋_GBK" w:cs="Times New Roman"/>
          <w:color w:val="auto"/>
          <w:kern w:val="2"/>
          <w:sz w:val="32"/>
          <w:szCs w:val="32"/>
          <w:highlight w:val="none"/>
          <w:lang w:val="en-US" w:eastAsia="zh-CN" w:bidi="ar-SA"/>
        </w:rPr>
        <w:t>办理群众诉求</w:t>
      </w:r>
      <w:r>
        <w:rPr>
          <w:rFonts w:hint="eastAsia" w:ascii="Times New Roman" w:hAnsi="Times New Roman" w:eastAsia="方正仿宋_GBK" w:cs="Times New Roman"/>
          <w:color w:val="auto"/>
          <w:kern w:val="2"/>
          <w:sz w:val="32"/>
          <w:szCs w:val="32"/>
          <w:highlight w:val="none"/>
          <w:lang w:val="en-US" w:eastAsia="zh-CN" w:bidi="ar-SA"/>
        </w:rPr>
        <w:t>21</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。立足“</w:t>
      </w:r>
      <w:r>
        <w:rPr>
          <w:rFonts w:hint="default" w:ascii="Times New Roman" w:hAnsi="Times New Roman" w:eastAsia="方正仿宋_GBK" w:cs="Times New Roman"/>
          <w:color w:val="auto"/>
          <w:kern w:val="2"/>
          <w:sz w:val="32"/>
          <w:szCs w:val="32"/>
          <w:highlight w:val="none"/>
          <w:lang w:val="en-US" w:eastAsia="zh-CN" w:bidi="ar-SA"/>
        </w:rPr>
        <w:t>定分止争</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组织开展定时定点公开听证</w:t>
      </w:r>
      <w:r>
        <w:rPr>
          <w:rFonts w:hint="eastAsia" w:ascii="Times New Roman" w:hAnsi="Times New Roman" w:eastAsia="方正仿宋_GBK" w:cs="Times New Roman"/>
          <w:color w:val="auto"/>
          <w:kern w:val="2"/>
          <w:sz w:val="32"/>
          <w:szCs w:val="32"/>
          <w:highlight w:val="none"/>
          <w:lang w:val="en-US" w:eastAsia="zh-CN" w:bidi="ar-SA"/>
        </w:rPr>
        <w:t>28场次</w:t>
      </w:r>
      <w:r>
        <w:rPr>
          <w:rFonts w:hint="default" w:ascii="Times New Roman" w:hAnsi="Times New Roman" w:eastAsia="方正仿宋_GBK" w:cs="Times New Roman"/>
          <w:color w:val="auto"/>
          <w:kern w:val="2"/>
          <w:sz w:val="32"/>
          <w:szCs w:val="32"/>
          <w:highlight w:val="none"/>
          <w:lang w:val="en-US" w:eastAsia="zh-CN" w:bidi="ar-SA"/>
        </w:rPr>
        <w:t>，办理刑事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民事和解</w:t>
      </w:r>
      <w:r>
        <w:rPr>
          <w:rFonts w:hint="eastAsia" w:ascii="Times New Roman" w:hAnsi="Times New Roman" w:eastAsia="方正仿宋_GBK" w:cs="Times New Roman"/>
          <w:color w:val="auto"/>
          <w:kern w:val="2"/>
          <w:sz w:val="32"/>
          <w:szCs w:val="32"/>
          <w:highlight w:val="none"/>
          <w:lang w:val="en-US" w:eastAsia="zh-CN" w:bidi="ar-SA"/>
        </w:rPr>
        <w:t>案件113</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解“法结”化“心结”。</w:t>
      </w:r>
      <w:r>
        <w:rPr>
          <w:rFonts w:hint="default" w:ascii="Times New Roman" w:hAnsi="Times New Roman" w:eastAsia="方正仿宋_GBK" w:cs="Times New Roman"/>
          <w:color w:val="auto"/>
          <w:kern w:val="2"/>
          <w:sz w:val="32"/>
          <w:szCs w:val="32"/>
          <w:highlight w:val="none"/>
          <w:lang w:val="en-US" w:eastAsia="zh-CN" w:bidi="ar-SA"/>
        </w:rPr>
        <w:t>市</w:t>
      </w:r>
      <w:r>
        <w:rPr>
          <w:rFonts w:hint="eastAsia" w:ascii="Times New Roman" w:hAnsi="Times New Roman" w:eastAsia="方正仿宋_GBK" w:cs="Times New Roman"/>
          <w:color w:val="auto"/>
          <w:kern w:val="2"/>
          <w:sz w:val="32"/>
          <w:szCs w:val="32"/>
          <w:highlight w:val="none"/>
          <w:lang w:val="en-US" w:eastAsia="zh-CN" w:bidi="ar-SA"/>
        </w:rPr>
        <w:t>检察</w:t>
      </w:r>
      <w:r>
        <w:rPr>
          <w:rFonts w:hint="default" w:ascii="Times New Roman" w:hAnsi="Times New Roman" w:eastAsia="方正仿宋_GBK" w:cs="Times New Roman"/>
          <w:color w:val="auto"/>
          <w:kern w:val="2"/>
          <w:sz w:val="32"/>
          <w:szCs w:val="32"/>
          <w:highlight w:val="none"/>
          <w:lang w:val="en-US" w:eastAsia="zh-CN" w:bidi="ar-SA"/>
        </w:rPr>
        <w:t>院获评全省民事检察</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和解五法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工作室建设单位。坚持应救尽救，会同民政、</w:t>
      </w:r>
      <w:r>
        <w:rPr>
          <w:rFonts w:hint="eastAsia" w:ascii="Times New Roman" w:hAnsi="Times New Roman" w:eastAsia="方正仿宋_GBK" w:cs="Times New Roman"/>
          <w:color w:val="auto"/>
          <w:kern w:val="2"/>
          <w:sz w:val="32"/>
          <w:szCs w:val="32"/>
          <w:highlight w:val="none"/>
          <w:lang w:val="en-US" w:eastAsia="zh-CN" w:bidi="ar-SA"/>
        </w:rPr>
        <w:t>妇联</w:t>
      </w:r>
      <w:r>
        <w:rPr>
          <w:rFonts w:hint="default" w:ascii="Times New Roman" w:hAnsi="Times New Roman" w:eastAsia="方正仿宋_GBK" w:cs="Times New Roman"/>
          <w:color w:val="auto"/>
          <w:kern w:val="2"/>
          <w:sz w:val="32"/>
          <w:szCs w:val="32"/>
          <w:highlight w:val="none"/>
          <w:lang w:val="en-US" w:eastAsia="zh-CN" w:bidi="ar-SA"/>
        </w:rPr>
        <w:t>等多部门建立</w:t>
      </w:r>
      <w:r>
        <w:rPr>
          <w:rFonts w:hint="eastAsia" w:ascii="Times New Roman" w:hAnsi="Times New Roman" w:eastAsia="方正仿宋_GBK" w:cs="Times New Roman"/>
          <w:color w:val="auto"/>
          <w:kern w:val="2"/>
          <w:sz w:val="32"/>
          <w:szCs w:val="32"/>
          <w:highlight w:val="none"/>
          <w:lang w:val="en-US" w:eastAsia="zh-CN" w:bidi="ar-SA"/>
        </w:rPr>
        <w:t>多元</w:t>
      </w:r>
      <w:r>
        <w:rPr>
          <w:rFonts w:hint="default" w:ascii="Times New Roman" w:hAnsi="Times New Roman" w:eastAsia="方正仿宋_GBK" w:cs="Times New Roman"/>
          <w:color w:val="auto"/>
          <w:kern w:val="2"/>
          <w:sz w:val="32"/>
          <w:szCs w:val="32"/>
          <w:highlight w:val="none"/>
          <w:lang w:val="en-US" w:eastAsia="zh-CN" w:bidi="ar-SA"/>
        </w:rPr>
        <w:t>救助机制，</w:t>
      </w:r>
      <w:r>
        <w:rPr>
          <w:rFonts w:hint="eastAsia" w:ascii="Times New Roman" w:hAnsi="Times New Roman" w:eastAsia="方正仿宋_GBK" w:cs="Times New Roman"/>
          <w:color w:val="auto"/>
          <w:kern w:val="2"/>
          <w:sz w:val="32"/>
          <w:szCs w:val="32"/>
          <w:highlight w:val="none"/>
          <w:lang w:val="en-US" w:eastAsia="zh-CN" w:bidi="ar-SA"/>
        </w:rPr>
        <w:t>向127名因案困难群众发放救助金94.8万元，彰显司法温情</w:t>
      </w:r>
      <w:r>
        <w:rPr>
          <w:rFonts w:hint="default" w:ascii="Times New Roman" w:hAnsi="Times New Roman" w:eastAsia="方正仿宋_GBK" w:cs="Times New Roman"/>
          <w:color w:val="auto"/>
          <w:kern w:val="2"/>
          <w:sz w:val="32"/>
          <w:szCs w:val="32"/>
          <w:highlight w:val="none"/>
          <w:lang w:val="en-US" w:eastAsia="zh-CN" w:bidi="ar-SA"/>
        </w:rPr>
        <w:t>。</w:t>
      </w:r>
    </w:p>
    <w:p w14:paraId="07C63C2D">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b/>
          <w:bCs/>
          <w:color w:val="auto"/>
          <w:kern w:val="2"/>
          <w:sz w:val="32"/>
          <w:szCs w:val="32"/>
          <w:highlight w:val="none"/>
          <w:lang w:val="en-US" w:eastAsia="zh-CN" w:bidi="ar-SA"/>
        </w:rPr>
      </w:pPr>
      <w:r>
        <w:rPr>
          <w:rFonts w:hint="eastAsia" w:eastAsia="方正仿宋_GBK" w:cs="Times New Roman"/>
          <w:b/>
          <w:bCs/>
          <w:color w:val="auto"/>
          <w:kern w:val="2"/>
          <w:sz w:val="32"/>
          <w:szCs w:val="32"/>
          <w:highlight w:val="none"/>
          <w:lang w:val="en-US" w:eastAsia="zh-CN" w:bidi="ar-SA"/>
        </w:rPr>
        <w:t>（3）</w:t>
      </w:r>
      <w:r>
        <w:rPr>
          <w:rFonts w:hint="eastAsia" w:ascii="Times New Roman" w:hAnsi="Times New Roman" w:eastAsia="方正仿宋_GBK" w:cs="Times New Roman"/>
          <w:b/>
          <w:bCs/>
          <w:color w:val="auto"/>
          <w:kern w:val="2"/>
          <w:sz w:val="32"/>
          <w:szCs w:val="32"/>
          <w:highlight w:val="none"/>
          <w:lang w:val="en-US" w:eastAsia="zh-CN" w:bidi="ar-SA"/>
        </w:rPr>
        <w:t>聚焦公平正义，以检察之为强化高质效法律监督</w:t>
      </w:r>
    </w:p>
    <w:p w14:paraId="2DA9EE31">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坚持“努力让人民群众在每一个司法案件中感受到公平正义”，以严格公正司法</w:t>
      </w:r>
      <w:r>
        <w:rPr>
          <w:rFonts w:hint="default" w:ascii="Times New Roman" w:hAnsi="Times New Roman" w:eastAsia="方正仿宋_GBK" w:cs="Times New Roman"/>
          <w:color w:val="auto"/>
          <w:kern w:val="2"/>
          <w:sz w:val="32"/>
          <w:szCs w:val="32"/>
          <w:highlight w:val="none"/>
          <w:lang w:val="en-US" w:eastAsia="zh-CN" w:bidi="ar-SA"/>
        </w:rPr>
        <w:t>推动</w:t>
      </w:r>
      <w:r>
        <w:rPr>
          <w:rFonts w:hint="eastAsia" w:ascii="Times New Roman" w:hAnsi="Times New Roman" w:eastAsia="方正仿宋_GBK" w:cs="Times New Roman"/>
          <w:color w:val="auto"/>
          <w:kern w:val="2"/>
          <w:sz w:val="32"/>
          <w:szCs w:val="32"/>
          <w:highlight w:val="none"/>
          <w:lang w:val="en-US" w:eastAsia="zh-CN" w:bidi="ar-SA"/>
        </w:rPr>
        <w:t>法律监督工作提质增效</w:t>
      </w:r>
      <w:r>
        <w:rPr>
          <w:rFonts w:hint="default" w:ascii="Times New Roman" w:hAnsi="Times New Roman" w:eastAsia="方正仿宋_GBK" w:cs="Times New Roman"/>
          <w:color w:val="auto"/>
          <w:kern w:val="2"/>
          <w:sz w:val="32"/>
          <w:szCs w:val="32"/>
          <w:highlight w:val="none"/>
          <w:lang w:val="en-US" w:eastAsia="zh-CN" w:bidi="ar-SA"/>
        </w:rPr>
        <w:t>。</w:t>
      </w:r>
    </w:p>
    <w:p w14:paraId="19143226">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刑事检察持续</w:t>
      </w:r>
      <w:r>
        <w:rPr>
          <w:rFonts w:hint="eastAsia" w:ascii="Times New Roman" w:hAnsi="Times New Roman" w:eastAsia="方正仿宋_GBK" w:cs="Times New Roman"/>
          <w:b/>
          <w:bCs/>
          <w:color w:val="auto"/>
          <w:kern w:val="2"/>
          <w:sz w:val="32"/>
          <w:szCs w:val="32"/>
          <w:highlight w:val="none"/>
          <w:lang w:val="en-US" w:eastAsia="zh-CN" w:bidi="ar-SA"/>
        </w:rPr>
        <w:t>加</w:t>
      </w:r>
      <w:r>
        <w:rPr>
          <w:rFonts w:hint="default" w:ascii="Times New Roman" w:hAnsi="Times New Roman" w:eastAsia="方正仿宋_GBK" w:cs="Times New Roman"/>
          <w:b/>
          <w:bCs/>
          <w:color w:val="auto"/>
          <w:kern w:val="2"/>
          <w:sz w:val="32"/>
          <w:szCs w:val="32"/>
          <w:highlight w:val="none"/>
          <w:lang w:val="en-US" w:eastAsia="zh-CN" w:bidi="ar-SA"/>
        </w:rPr>
        <w:t>强。</w:t>
      </w:r>
      <w:r>
        <w:rPr>
          <w:rFonts w:hint="default" w:ascii="Times New Roman" w:hAnsi="Times New Roman" w:eastAsia="方正仿宋_GBK" w:cs="Times New Roman"/>
          <w:color w:val="auto"/>
          <w:kern w:val="2"/>
          <w:sz w:val="32"/>
          <w:szCs w:val="32"/>
          <w:highlight w:val="none"/>
          <w:lang w:val="en-US" w:eastAsia="zh-CN" w:bidi="ar-SA"/>
        </w:rPr>
        <w:t>充分发挥诉前主导作用，推动构建以证据为中心的刑事指控体系。健全</w:t>
      </w:r>
      <w:r>
        <w:rPr>
          <w:rFonts w:hint="eastAsia" w:ascii="Times New Roman" w:hAnsi="Times New Roman" w:eastAsia="方正仿宋_GBK" w:cs="Times New Roman"/>
          <w:color w:val="auto"/>
          <w:kern w:val="2"/>
          <w:sz w:val="32"/>
          <w:szCs w:val="32"/>
          <w:highlight w:val="none"/>
          <w:lang w:val="en-US" w:eastAsia="zh-CN" w:bidi="ar-SA"/>
        </w:rPr>
        <w:t>重点</w:t>
      </w:r>
      <w:r>
        <w:rPr>
          <w:rFonts w:hint="default" w:ascii="Times New Roman" w:hAnsi="Times New Roman" w:eastAsia="方正仿宋_GBK" w:cs="Times New Roman"/>
          <w:color w:val="auto"/>
          <w:kern w:val="2"/>
          <w:sz w:val="32"/>
          <w:szCs w:val="32"/>
          <w:highlight w:val="none"/>
          <w:lang w:val="en-US" w:eastAsia="zh-CN" w:bidi="ar-SA"/>
        </w:rPr>
        <w:t>案件复盘、业务测试、庭审观摩评议、正反典型案例学习警示等机制，印发二审刑事案件办理工作指引，不断提升办案质效。</w:t>
      </w:r>
      <w:r>
        <w:rPr>
          <w:rFonts w:hint="eastAsia" w:ascii="Times New Roman" w:hAnsi="Times New Roman" w:eastAsia="方正仿宋_GBK" w:cs="Times New Roman"/>
          <w:color w:val="auto"/>
          <w:kern w:val="2"/>
          <w:sz w:val="32"/>
          <w:szCs w:val="32"/>
          <w:highlight w:val="none"/>
          <w:lang w:val="en-US" w:eastAsia="zh-CN" w:bidi="ar-SA"/>
        </w:rPr>
        <w:t>加强立案监督，</w:t>
      </w:r>
      <w:r>
        <w:rPr>
          <w:rFonts w:hint="default" w:ascii="Times New Roman" w:hAnsi="Times New Roman" w:eastAsia="方正仿宋_GBK" w:cs="Times New Roman"/>
          <w:color w:val="auto"/>
          <w:kern w:val="2"/>
          <w:sz w:val="32"/>
          <w:szCs w:val="32"/>
          <w:highlight w:val="none"/>
          <w:lang w:val="en-US" w:eastAsia="zh-CN" w:bidi="ar-SA"/>
        </w:rPr>
        <w:t>监督立案</w:t>
      </w:r>
      <w:r>
        <w:rPr>
          <w:rFonts w:hint="eastAsia" w:ascii="Times New Roman" w:hAnsi="Times New Roman" w:eastAsia="方正仿宋_GBK" w:cs="Times New Roman"/>
          <w:color w:val="auto"/>
          <w:kern w:val="2"/>
          <w:sz w:val="32"/>
          <w:szCs w:val="32"/>
          <w:highlight w:val="none"/>
          <w:lang w:val="en-US" w:eastAsia="zh-CN" w:bidi="ar-SA"/>
        </w:rPr>
        <w:t>10件</w:t>
      </w:r>
      <w:r>
        <w:rPr>
          <w:rFonts w:hint="default" w:ascii="Times New Roman" w:hAnsi="Times New Roman" w:eastAsia="方正仿宋_GBK" w:cs="Times New Roman"/>
          <w:color w:val="auto"/>
          <w:kern w:val="2"/>
          <w:sz w:val="32"/>
          <w:szCs w:val="32"/>
          <w:highlight w:val="none"/>
          <w:lang w:val="en-US" w:eastAsia="zh-CN" w:bidi="ar-SA"/>
        </w:rPr>
        <w:t>、撤案</w:t>
      </w:r>
      <w:r>
        <w:rPr>
          <w:rFonts w:hint="eastAsia" w:ascii="Times New Roman" w:hAnsi="Times New Roman" w:eastAsia="方正仿宋_GBK" w:cs="Times New Roman"/>
          <w:color w:val="auto"/>
          <w:kern w:val="2"/>
          <w:sz w:val="32"/>
          <w:szCs w:val="32"/>
          <w:highlight w:val="none"/>
          <w:lang w:val="en-US" w:eastAsia="zh-CN" w:bidi="ar-SA"/>
        </w:rPr>
        <w:t>58</w:t>
      </w:r>
      <w:r>
        <w:rPr>
          <w:rFonts w:hint="default" w:ascii="Times New Roman" w:hAnsi="Times New Roman" w:eastAsia="方正仿宋_GBK" w:cs="Times New Roman"/>
          <w:color w:val="auto"/>
          <w:kern w:val="2"/>
          <w:sz w:val="32"/>
          <w:szCs w:val="32"/>
          <w:highlight w:val="none"/>
          <w:lang w:val="en-US" w:eastAsia="zh-CN" w:bidi="ar-SA"/>
        </w:rPr>
        <w:t>件，追捕</w:t>
      </w:r>
      <w:r>
        <w:rPr>
          <w:rFonts w:hint="eastAsia" w:ascii="Times New Roman" w:hAnsi="Times New Roman" w:eastAsia="方正仿宋_GBK" w:cs="Times New Roman"/>
          <w:color w:val="auto"/>
          <w:kern w:val="2"/>
          <w:sz w:val="32"/>
          <w:szCs w:val="32"/>
          <w:highlight w:val="none"/>
          <w:lang w:val="en-US" w:eastAsia="zh-CN" w:bidi="ar-SA"/>
        </w:rPr>
        <w:t>14人</w:t>
      </w:r>
      <w:r>
        <w:rPr>
          <w:rFonts w:hint="default" w:ascii="Times New Roman" w:hAnsi="Times New Roman" w:eastAsia="方正仿宋_GBK" w:cs="Times New Roman"/>
          <w:color w:val="auto"/>
          <w:kern w:val="2"/>
          <w:sz w:val="32"/>
          <w:szCs w:val="32"/>
          <w:highlight w:val="none"/>
          <w:lang w:val="en-US" w:eastAsia="zh-CN" w:bidi="ar-SA"/>
        </w:rPr>
        <w:t>、追诉</w:t>
      </w:r>
      <w:r>
        <w:rPr>
          <w:rFonts w:hint="eastAsia" w:ascii="Times New Roman" w:hAnsi="Times New Roman" w:eastAsia="方正仿宋_GBK" w:cs="Times New Roman"/>
          <w:color w:val="auto"/>
          <w:kern w:val="2"/>
          <w:sz w:val="32"/>
          <w:szCs w:val="32"/>
          <w:highlight w:val="none"/>
          <w:lang w:val="en-US" w:eastAsia="zh-CN" w:bidi="ar-SA"/>
        </w:rPr>
        <w:t>48</w:t>
      </w:r>
      <w:r>
        <w:rPr>
          <w:rFonts w:hint="default" w:ascii="Times New Roman" w:hAnsi="Times New Roman" w:eastAsia="方正仿宋_GBK" w:cs="Times New Roman"/>
          <w:color w:val="auto"/>
          <w:kern w:val="2"/>
          <w:sz w:val="32"/>
          <w:szCs w:val="32"/>
          <w:highlight w:val="none"/>
          <w:lang w:val="en-US" w:eastAsia="zh-CN" w:bidi="ar-SA"/>
        </w:rPr>
        <w:t>人</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追诉</w:t>
      </w:r>
      <w:r>
        <w:rPr>
          <w:rFonts w:hint="eastAsia" w:ascii="Times New Roman" w:hAnsi="Times New Roman" w:eastAsia="方正仿宋_GBK" w:cs="Times New Roman"/>
          <w:color w:val="auto"/>
          <w:kern w:val="2"/>
          <w:sz w:val="32"/>
          <w:szCs w:val="32"/>
          <w:highlight w:val="none"/>
          <w:lang w:val="en-US" w:eastAsia="zh-CN" w:bidi="ar-SA"/>
        </w:rPr>
        <w:t>的史</w:t>
      </w:r>
      <w:r>
        <w:rPr>
          <w:rFonts w:hint="default" w:ascii="Times New Roman" w:hAnsi="Times New Roman" w:eastAsia="方正仿宋_GBK" w:cs="Times New Roman"/>
          <w:color w:val="auto"/>
          <w:kern w:val="2"/>
          <w:sz w:val="32"/>
          <w:szCs w:val="32"/>
          <w:highlight w:val="none"/>
          <w:lang w:val="en-US" w:eastAsia="zh-CN" w:bidi="ar-SA"/>
        </w:rPr>
        <w:t>某某</w:t>
      </w:r>
      <w:r>
        <w:rPr>
          <w:rFonts w:hint="eastAsia" w:ascii="Times New Roman" w:hAnsi="Times New Roman" w:eastAsia="方正仿宋_GBK" w:cs="Times New Roman"/>
          <w:color w:val="auto"/>
          <w:kern w:val="2"/>
          <w:sz w:val="32"/>
          <w:szCs w:val="32"/>
          <w:highlight w:val="none"/>
          <w:lang w:val="en-US" w:eastAsia="zh-CN" w:bidi="ar-SA"/>
        </w:rPr>
        <w:t>犯介绍卖淫罪被判处有期徒刑五年五个月</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加强侦查活动监督，</w:t>
      </w:r>
      <w:r>
        <w:rPr>
          <w:rFonts w:hint="default" w:ascii="Times New Roman" w:hAnsi="Times New Roman" w:eastAsia="方正仿宋_GBK" w:cs="Times New Roman"/>
          <w:color w:val="auto"/>
          <w:kern w:val="2"/>
          <w:sz w:val="32"/>
          <w:szCs w:val="32"/>
          <w:highlight w:val="none"/>
          <w:lang w:val="en-US" w:eastAsia="zh-CN" w:bidi="ar-SA"/>
        </w:rPr>
        <w:t>纠正违法</w:t>
      </w:r>
      <w:r>
        <w:rPr>
          <w:rFonts w:hint="eastAsia" w:ascii="Times New Roman" w:hAnsi="Times New Roman" w:eastAsia="方正仿宋_GBK" w:cs="Times New Roman"/>
          <w:color w:val="auto"/>
          <w:kern w:val="2"/>
          <w:sz w:val="32"/>
          <w:szCs w:val="32"/>
          <w:highlight w:val="none"/>
          <w:lang w:val="en-US" w:eastAsia="zh-CN" w:bidi="ar-SA"/>
        </w:rPr>
        <w:t>183</w:t>
      </w:r>
      <w:r>
        <w:rPr>
          <w:rFonts w:hint="default" w:ascii="Times New Roman" w:hAnsi="Times New Roman" w:eastAsia="方正仿宋_GBK" w:cs="Times New Roman"/>
          <w:color w:val="auto"/>
          <w:kern w:val="2"/>
          <w:sz w:val="32"/>
          <w:szCs w:val="32"/>
          <w:highlight w:val="none"/>
          <w:lang w:val="en-US" w:eastAsia="zh-CN" w:bidi="ar-SA"/>
        </w:rPr>
        <w:t>件，建议行政机关</w:t>
      </w:r>
      <w:r>
        <w:rPr>
          <w:rFonts w:hint="eastAsia" w:ascii="Times New Roman" w:hAnsi="Times New Roman" w:eastAsia="方正仿宋_GBK" w:cs="Times New Roman"/>
          <w:color w:val="auto"/>
          <w:kern w:val="2"/>
          <w:sz w:val="32"/>
          <w:szCs w:val="32"/>
          <w:highlight w:val="none"/>
          <w:lang w:val="en-US" w:eastAsia="zh-CN" w:bidi="ar-SA"/>
        </w:rPr>
        <w:t>移送</w:t>
      </w:r>
      <w:r>
        <w:rPr>
          <w:rFonts w:hint="default" w:ascii="Times New Roman" w:hAnsi="Times New Roman" w:eastAsia="方正仿宋_GBK" w:cs="Times New Roman"/>
          <w:color w:val="auto"/>
          <w:kern w:val="2"/>
          <w:sz w:val="32"/>
          <w:szCs w:val="32"/>
          <w:highlight w:val="none"/>
          <w:lang w:val="en-US" w:eastAsia="zh-CN" w:bidi="ar-SA"/>
        </w:rPr>
        <w:t>涉嫌犯罪案件</w:t>
      </w:r>
      <w:r>
        <w:rPr>
          <w:rFonts w:hint="eastAsia" w:ascii="Times New Roman" w:hAnsi="Times New Roman" w:eastAsia="方正仿宋_GBK" w:cs="Times New Roman"/>
          <w:color w:val="auto"/>
          <w:kern w:val="2"/>
          <w:sz w:val="32"/>
          <w:szCs w:val="32"/>
          <w:highlight w:val="none"/>
          <w:lang w:val="en-US" w:eastAsia="zh-CN" w:bidi="ar-SA"/>
        </w:rPr>
        <w:t>12</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加强审判活动监督，</w:t>
      </w:r>
      <w:r>
        <w:rPr>
          <w:rFonts w:hint="default" w:ascii="Times New Roman" w:hAnsi="Times New Roman" w:eastAsia="方正仿宋_GBK" w:cs="Times New Roman"/>
          <w:color w:val="auto"/>
          <w:kern w:val="2"/>
          <w:sz w:val="32"/>
          <w:szCs w:val="32"/>
          <w:highlight w:val="none"/>
          <w:lang w:val="en-US" w:eastAsia="zh-CN" w:bidi="ar-SA"/>
        </w:rPr>
        <w:t>纠正违法</w:t>
      </w:r>
      <w:r>
        <w:rPr>
          <w:rFonts w:hint="eastAsia"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件，提出抗诉</w:t>
      </w:r>
      <w:r>
        <w:rPr>
          <w:rFonts w:hint="eastAsia"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加强刑事</w:t>
      </w:r>
      <w:r>
        <w:rPr>
          <w:rFonts w:hint="default" w:ascii="Times New Roman" w:hAnsi="Times New Roman" w:eastAsia="方正仿宋_GBK" w:cs="Times New Roman"/>
          <w:color w:val="auto"/>
          <w:kern w:val="2"/>
          <w:sz w:val="32"/>
          <w:szCs w:val="32"/>
          <w:highlight w:val="none"/>
          <w:lang w:val="en-US" w:eastAsia="zh-CN" w:bidi="ar-SA"/>
        </w:rPr>
        <w:t>执行</w:t>
      </w:r>
      <w:r>
        <w:rPr>
          <w:rFonts w:hint="eastAsia" w:ascii="Times New Roman" w:hAnsi="Times New Roman" w:eastAsia="方正仿宋_GBK" w:cs="Times New Roman"/>
          <w:color w:val="auto"/>
          <w:kern w:val="2"/>
          <w:sz w:val="32"/>
          <w:szCs w:val="32"/>
          <w:highlight w:val="none"/>
          <w:lang w:val="en-US" w:eastAsia="zh-CN" w:bidi="ar-SA"/>
        </w:rPr>
        <w:t>监督</w:t>
      </w:r>
      <w:r>
        <w:rPr>
          <w:rFonts w:hint="default" w:ascii="Times New Roman" w:hAnsi="Times New Roman" w:eastAsia="方正仿宋_GBK" w:cs="Times New Roman"/>
          <w:color w:val="auto"/>
          <w:kern w:val="2"/>
          <w:sz w:val="32"/>
          <w:szCs w:val="32"/>
          <w:highlight w:val="none"/>
          <w:lang w:val="en-US" w:eastAsia="zh-CN" w:bidi="ar-SA"/>
        </w:rPr>
        <w:t>，深化</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派驻</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巡回</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检察监督，办理</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假减暂</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案件366件，</w:t>
      </w:r>
      <w:r>
        <w:rPr>
          <w:rFonts w:hint="eastAsia" w:ascii="Times New Roman" w:hAnsi="Times New Roman" w:eastAsia="方正仿宋_GBK" w:cs="Times New Roman"/>
          <w:color w:val="auto"/>
          <w:kern w:val="2"/>
          <w:sz w:val="32"/>
          <w:szCs w:val="32"/>
          <w:highlight w:val="none"/>
          <w:lang w:val="en-US" w:eastAsia="zh-CN" w:bidi="ar-SA"/>
        </w:rPr>
        <w:t>办理监管活动、社区矫正、财产刑执行等监督案件197件，发出检察建议16份。</w:t>
      </w:r>
      <w:r>
        <w:rPr>
          <w:rFonts w:hint="default" w:ascii="Times New Roman" w:hAnsi="Times New Roman" w:eastAsia="方正仿宋_GBK" w:cs="Times New Roman"/>
          <w:color w:val="auto"/>
          <w:kern w:val="2"/>
          <w:sz w:val="32"/>
          <w:szCs w:val="32"/>
          <w:highlight w:val="none"/>
          <w:lang w:val="en-US" w:eastAsia="zh-CN" w:bidi="ar-SA"/>
        </w:rPr>
        <w:t>。</w:t>
      </w:r>
    </w:p>
    <w:p w14:paraId="640E86BA">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民事检察持续</w:t>
      </w:r>
      <w:r>
        <w:rPr>
          <w:rFonts w:hint="eastAsia" w:ascii="Times New Roman" w:hAnsi="Times New Roman" w:eastAsia="方正仿宋_GBK" w:cs="Times New Roman"/>
          <w:b/>
          <w:bCs/>
          <w:color w:val="auto"/>
          <w:kern w:val="2"/>
          <w:sz w:val="32"/>
          <w:szCs w:val="32"/>
          <w:highlight w:val="none"/>
          <w:lang w:val="en-US" w:eastAsia="zh-CN" w:bidi="ar-SA"/>
        </w:rPr>
        <w:t>优化</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注重全流程有效监督</w:t>
      </w:r>
      <w:r>
        <w:rPr>
          <w:rFonts w:hint="eastAsia" w:ascii="Times New Roman" w:hAnsi="Times New Roman" w:eastAsia="方正仿宋_GBK" w:cs="Times New Roman"/>
          <w:color w:val="auto"/>
          <w:kern w:val="2"/>
          <w:sz w:val="32"/>
          <w:szCs w:val="32"/>
          <w:highlight w:val="none"/>
          <w:lang w:val="en-US" w:eastAsia="zh-CN" w:bidi="ar-SA"/>
        </w:rPr>
        <w:t>和</w:t>
      </w:r>
      <w:r>
        <w:rPr>
          <w:rFonts w:hint="default" w:ascii="Times New Roman" w:hAnsi="Times New Roman" w:eastAsia="方正仿宋_GBK" w:cs="Times New Roman"/>
          <w:color w:val="auto"/>
          <w:kern w:val="2"/>
          <w:sz w:val="32"/>
          <w:szCs w:val="32"/>
          <w:highlight w:val="none"/>
          <w:lang w:val="en-US" w:eastAsia="zh-CN" w:bidi="ar-SA"/>
        </w:rPr>
        <w:t>高质效精准办案，办理民事监督案件244件，提出抗诉、发出再审检察建议11</w:t>
      </w:r>
      <w:r>
        <w:rPr>
          <w:rFonts w:hint="eastAsia" w:ascii="Times New Roman" w:hAnsi="Times New Roman" w:eastAsia="方正仿宋_GBK" w:cs="Times New Roman"/>
          <w:color w:val="auto"/>
          <w:kern w:val="2"/>
          <w:sz w:val="32"/>
          <w:szCs w:val="32"/>
          <w:highlight w:val="none"/>
          <w:lang w:val="en-US" w:eastAsia="zh-CN" w:bidi="ar-SA"/>
        </w:rPr>
        <w:t>份</w:t>
      </w:r>
      <w:r>
        <w:rPr>
          <w:rFonts w:hint="default" w:ascii="Times New Roman" w:hAnsi="Times New Roman" w:eastAsia="方正仿宋_GBK" w:cs="Times New Roman"/>
          <w:color w:val="auto"/>
          <w:kern w:val="2"/>
          <w:sz w:val="32"/>
          <w:szCs w:val="32"/>
          <w:highlight w:val="none"/>
          <w:lang w:val="en-US" w:eastAsia="zh-CN" w:bidi="ar-SA"/>
        </w:rPr>
        <w:t>。监督纠正虚假诉讼案件8件，让</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假官司</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无</w:t>
      </w:r>
      <w:r>
        <w:rPr>
          <w:rFonts w:hint="eastAsia" w:ascii="Times New Roman" w:hAnsi="Times New Roman" w:eastAsia="方正仿宋_GBK" w:cs="Times New Roman"/>
          <w:color w:val="auto"/>
          <w:kern w:val="2"/>
          <w:sz w:val="32"/>
          <w:szCs w:val="32"/>
          <w:highlight w:val="none"/>
          <w:lang w:val="en-US" w:eastAsia="zh-CN" w:bidi="ar-SA"/>
        </w:rPr>
        <w:t>所</w:t>
      </w:r>
      <w:r>
        <w:rPr>
          <w:rFonts w:hint="default" w:ascii="Times New Roman" w:hAnsi="Times New Roman" w:eastAsia="方正仿宋_GBK" w:cs="Times New Roman"/>
          <w:color w:val="auto"/>
          <w:kern w:val="2"/>
          <w:sz w:val="32"/>
          <w:szCs w:val="32"/>
          <w:highlight w:val="none"/>
          <w:lang w:val="en-US" w:eastAsia="zh-CN" w:bidi="ar-SA"/>
        </w:rPr>
        <w:t>遁形</w:t>
      </w:r>
      <w:r>
        <w:rPr>
          <w:rFonts w:hint="eastAsia" w:ascii="Times New Roman" w:hAnsi="Times New Roman" w:eastAsia="方正仿宋_GBK" w:cs="Times New Roman"/>
          <w:color w:val="auto"/>
          <w:kern w:val="2"/>
          <w:sz w:val="32"/>
          <w:szCs w:val="32"/>
          <w:highlight w:val="none"/>
          <w:lang w:val="en-US" w:eastAsia="zh-CN" w:bidi="ar-SA"/>
        </w:rPr>
        <w:t>。监督纠正了</w:t>
      </w:r>
      <w:r>
        <w:rPr>
          <w:rFonts w:hint="default" w:ascii="Times New Roman" w:hAnsi="Times New Roman" w:eastAsia="方正仿宋_GBK" w:cs="Times New Roman"/>
          <w:color w:val="auto"/>
          <w:kern w:val="2"/>
          <w:sz w:val="32"/>
          <w:szCs w:val="32"/>
          <w:highlight w:val="none"/>
          <w:lang w:val="en-US" w:eastAsia="zh-CN" w:bidi="ar-SA"/>
        </w:rPr>
        <w:t>某粮油管理站与某拍卖公司拍卖合同纠纷虚假诉讼案。</w:t>
      </w:r>
      <w:r>
        <w:rPr>
          <w:rFonts w:hint="eastAsia" w:ascii="Times New Roman" w:hAnsi="Times New Roman" w:eastAsia="方正仿宋_GBK" w:cs="Times New Roman"/>
          <w:color w:val="auto"/>
          <w:kern w:val="2"/>
          <w:sz w:val="32"/>
          <w:szCs w:val="32"/>
          <w:highlight w:val="none"/>
          <w:lang w:val="en-US" w:eastAsia="zh-CN" w:bidi="ar-SA"/>
        </w:rPr>
        <w:t>针对民事执行监督中存在的重点难点问题，</w:t>
      </w:r>
      <w:r>
        <w:rPr>
          <w:rFonts w:hint="default" w:ascii="Times New Roman" w:hAnsi="Times New Roman" w:eastAsia="方正仿宋_GBK" w:cs="Times New Roman"/>
          <w:color w:val="auto"/>
          <w:kern w:val="2"/>
          <w:sz w:val="32"/>
          <w:szCs w:val="32"/>
          <w:highlight w:val="none"/>
          <w:lang w:val="en-US" w:eastAsia="zh-CN" w:bidi="ar-SA"/>
        </w:rPr>
        <w:t>制定《民事执行监督案件审查要点指引》，细化22个环节118种常见违法情形，监督纠正执行活动违法50件。办理的谢某</w:t>
      </w:r>
      <w:r>
        <w:rPr>
          <w:rFonts w:hint="eastAsia" w:ascii="Times New Roman" w:hAnsi="Times New Roman" w:eastAsia="方正仿宋_GBK" w:cs="Times New Roman"/>
          <w:color w:val="auto"/>
          <w:kern w:val="2"/>
          <w:sz w:val="32"/>
          <w:szCs w:val="32"/>
          <w:highlight w:val="none"/>
          <w:lang w:val="en-US" w:eastAsia="zh-CN" w:bidi="ar-SA"/>
        </w:rPr>
        <w:t>某</w:t>
      </w:r>
      <w:r>
        <w:rPr>
          <w:rFonts w:hint="default" w:ascii="Times New Roman" w:hAnsi="Times New Roman" w:eastAsia="方正仿宋_GBK" w:cs="Times New Roman"/>
          <w:color w:val="auto"/>
          <w:kern w:val="2"/>
          <w:sz w:val="32"/>
          <w:szCs w:val="32"/>
          <w:highlight w:val="none"/>
          <w:lang w:val="en-US" w:eastAsia="zh-CN" w:bidi="ar-SA"/>
        </w:rPr>
        <w:t>与某建筑工程有限公司买卖合同纠纷执行监督案，获评全省民事执行监督优秀案件。</w:t>
      </w:r>
    </w:p>
    <w:p w14:paraId="690ADD25">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行政检察持续做实。</w:t>
      </w:r>
      <w:r>
        <w:rPr>
          <w:rFonts w:hint="default" w:ascii="Times New Roman" w:hAnsi="Times New Roman" w:eastAsia="方正仿宋_GBK" w:cs="Times New Roman"/>
          <w:color w:val="auto"/>
          <w:kern w:val="2"/>
          <w:sz w:val="32"/>
          <w:szCs w:val="32"/>
          <w:highlight w:val="none"/>
          <w:lang w:val="en-US" w:eastAsia="zh-CN" w:bidi="ar-SA"/>
        </w:rPr>
        <w:t>稳步推进行政诉讼</w:t>
      </w:r>
      <w:r>
        <w:rPr>
          <w:rFonts w:hint="eastAsia" w:ascii="Times New Roman" w:hAnsi="Times New Roman" w:eastAsia="方正仿宋_GBK" w:cs="Times New Roman"/>
          <w:color w:val="auto"/>
          <w:kern w:val="2"/>
          <w:sz w:val="32"/>
          <w:szCs w:val="32"/>
          <w:highlight w:val="none"/>
          <w:lang w:val="en-US" w:eastAsia="zh-CN" w:bidi="ar-SA"/>
        </w:rPr>
        <w:t>和非诉行政</w:t>
      </w:r>
      <w:r>
        <w:rPr>
          <w:rFonts w:hint="default" w:ascii="Times New Roman" w:hAnsi="Times New Roman" w:eastAsia="方正仿宋_GBK" w:cs="Times New Roman"/>
          <w:color w:val="auto"/>
          <w:kern w:val="2"/>
          <w:sz w:val="32"/>
          <w:szCs w:val="32"/>
          <w:highlight w:val="none"/>
          <w:lang w:val="en-US" w:eastAsia="zh-CN" w:bidi="ar-SA"/>
        </w:rPr>
        <w:t>执行监督，办理案件128件，发出检察建议43</w:t>
      </w:r>
      <w:r>
        <w:rPr>
          <w:rFonts w:hint="eastAsia" w:ascii="Times New Roman" w:hAnsi="Times New Roman" w:eastAsia="方正仿宋_GBK" w:cs="Times New Roman"/>
          <w:color w:val="auto"/>
          <w:kern w:val="2"/>
          <w:sz w:val="32"/>
          <w:szCs w:val="32"/>
          <w:highlight w:val="none"/>
          <w:lang w:val="en-US" w:eastAsia="zh-CN" w:bidi="ar-SA"/>
        </w:rPr>
        <w:t>份</w:t>
      </w:r>
      <w:r>
        <w:rPr>
          <w:rFonts w:hint="default" w:ascii="Times New Roman" w:hAnsi="Times New Roman" w:eastAsia="方正仿宋_GBK" w:cs="Times New Roman"/>
          <w:color w:val="auto"/>
          <w:kern w:val="2"/>
          <w:sz w:val="32"/>
          <w:szCs w:val="32"/>
          <w:highlight w:val="none"/>
          <w:lang w:val="en-US" w:eastAsia="zh-CN" w:bidi="ar-SA"/>
        </w:rPr>
        <w:t>。积极开展行政争议实质化解，办理案件</w:t>
      </w:r>
      <w:r>
        <w:rPr>
          <w:rFonts w:hint="eastAsia" w:ascii="Times New Roman" w:hAnsi="Times New Roman" w:eastAsia="方正仿宋_GBK" w:cs="Times New Roman"/>
          <w:color w:val="auto"/>
          <w:kern w:val="2"/>
          <w:sz w:val="32"/>
          <w:szCs w:val="32"/>
          <w:highlight w:val="none"/>
          <w:lang w:val="en-US" w:eastAsia="zh-CN" w:bidi="ar-SA"/>
        </w:rPr>
        <w:t>43</w:t>
      </w:r>
      <w:r>
        <w:rPr>
          <w:rFonts w:hint="default" w:ascii="Times New Roman" w:hAnsi="Times New Roman" w:eastAsia="方正仿宋_GBK" w:cs="Times New Roman"/>
          <w:color w:val="auto"/>
          <w:kern w:val="2"/>
          <w:sz w:val="32"/>
          <w:szCs w:val="32"/>
          <w:highlight w:val="none"/>
          <w:lang w:val="en-US" w:eastAsia="zh-CN" w:bidi="ar-SA"/>
        </w:rPr>
        <w:t>件。办理的何某某被冒名婚姻登记</w:t>
      </w:r>
      <w:r>
        <w:rPr>
          <w:rFonts w:hint="eastAsia" w:ascii="Times New Roman" w:hAnsi="Times New Roman" w:eastAsia="方正仿宋_GBK" w:cs="Times New Roman"/>
          <w:color w:val="auto"/>
          <w:kern w:val="2"/>
          <w:sz w:val="32"/>
          <w:szCs w:val="32"/>
          <w:highlight w:val="none"/>
          <w:lang w:val="en-US" w:eastAsia="zh-CN" w:bidi="ar-SA"/>
        </w:rPr>
        <w:t>检察</w:t>
      </w:r>
      <w:r>
        <w:rPr>
          <w:rFonts w:hint="default" w:ascii="Times New Roman" w:hAnsi="Times New Roman" w:eastAsia="方正仿宋_GBK" w:cs="Times New Roman"/>
          <w:color w:val="auto"/>
          <w:kern w:val="2"/>
          <w:sz w:val="32"/>
          <w:szCs w:val="32"/>
          <w:highlight w:val="none"/>
          <w:lang w:val="en-US" w:eastAsia="zh-CN" w:bidi="ar-SA"/>
        </w:rPr>
        <w:t>监督案，促成长达二十年的行政争议妥善解决。加强与其他执法司法机关的协作配合，推动行政执法和刑事司法双向衔接，办理反向衔接不起诉案件</w:t>
      </w:r>
      <w:r>
        <w:rPr>
          <w:rFonts w:hint="eastAsia" w:ascii="Times New Roman" w:hAnsi="Times New Roman" w:eastAsia="方正仿宋_GBK" w:cs="Times New Roman"/>
          <w:color w:val="auto"/>
          <w:kern w:val="2"/>
          <w:sz w:val="32"/>
          <w:szCs w:val="32"/>
          <w:highlight w:val="none"/>
          <w:lang w:val="en-US" w:eastAsia="zh-CN" w:bidi="ar-SA"/>
        </w:rPr>
        <w:t>411</w:t>
      </w:r>
      <w:r>
        <w:rPr>
          <w:rFonts w:hint="default" w:ascii="Times New Roman" w:hAnsi="Times New Roman" w:eastAsia="方正仿宋_GBK" w:cs="Times New Roman"/>
          <w:color w:val="auto"/>
          <w:kern w:val="2"/>
          <w:sz w:val="32"/>
          <w:szCs w:val="32"/>
          <w:highlight w:val="none"/>
          <w:lang w:val="en-US" w:eastAsia="zh-CN" w:bidi="ar-SA"/>
        </w:rPr>
        <w:t>件，提出检察意见</w:t>
      </w:r>
      <w:r>
        <w:rPr>
          <w:rFonts w:hint="eastAsia" w:ascii="Times New Roman" w:hAnsi="Times New Roman" w:eastAsia="方正仿宋_GBK" w:cs="Times New Roman"/>
          <w:color w:val="auto"/>
          <w:kern w:val="2"/>
          <w:sz w:val="32"/>
          <w:szCs w:val="32"/>
          <w:highlight w:val="none"/>
          <w:lang w:val="en-US" w:eastAsia="zh-CN" w:bidi="ar-SA"/>
        </w:rPr>
        <w:t>248</w:t>
      </w:r>
      <w:r>
        <w:rPr>
          <w:rFonts w:hint="default" w:ascii="Times New Roman" w:hAnsi="Times New Roman" w:eastAsia="方正仿宋_GBK" w:cs="Times New Roman"/>
          <w:color w:val="auto"/>
          <w:kern w:val="2"/>
          <w:sz w:val="32"/>
          <w:szCs w:val="32"/>
          <w:highlight w:val="none"/>
          <w:lang w:val="en-US" w:eastAsia="zh-CN" w:bidi="ar-SA"/>
        </w:rPr>
        <w:t>件，解决</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不刑不罚、当罚未罚</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。开展行政违法行为监督，向行政执法单位发出检察建议27</w:t>
      </w:r>
      <w:r>
        <w:rPr>
          <w:rFonts w:hint="eastAsia" w:ascii="Times New Roman" w:hAnsi="Times New Roman" w:eastAsia="方正仿宋_GBK" w:cs="Times New Roman"/>
          <w:color w:val="auto"/>
          <w:kern w:val="2"/>
          <w:sz w:val="32"/>
          <w:szCs w:val="32"/>
          <w:highlight w:val="none"/>
          <w:lang w:val="en-US" w:eastAsia="zh-CN" w:bidi="ar-SA"/>
        </w:rPr>
        <w:t>份</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促进</w:t>
      </w:r>
      <w:r>
        <w:rPr>
          <w:rFonts w:hint="default" w:ascii="Times New Roman" w:hAnsi="Times New Roman" w:eastAsia="方正仿宋_GBK" w:cs="Times New Roman"/>
          <w:color w:val="auto"/>
          <w:kern w:val="2"/>
          <w:sz w:val="32"/>
          <w:szCs w:val="32"/>
          <w:highlight w:val="none"/>
          <w:lang w:val="en-US" w:eastAsia="zh-CN" w:bidi="ar-SA"/>
        </w:rPr>
        <w:t>依法行政。</w:t>
      </w:r>
    </w:p>
    <w:p w14:paraId="62412C7A">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公益诉讼检察持续</w:t>
      </w:r>
      <w:r>
        <w:rPr>
          <w:rFonts w:hint="eastAsia" w:ascii="Times New Roman" w:hAnsi="Times New Roman" w:eastAsia="方正仿宋_GBK" w:cs="Times New Roman"/>
          <w:b/>
          <w:bCs/>
          <w:color w:val="auto"/>
          <w:kern w:val="2"/>
          <w:sz w:val="32"/>
          <w:szCs w:val="32"/>
          <w:highlight w:val="none"/>
          <w:lang w:val="en-US" w:eastAsia="zh-CN" w:bidi="ar-SA"/>
        </w:rPr>
        <w:t>向</w:t>
      </w:r>
      <w:r>
        <w:rPr>
          <w:rFonts w:hint="default" w:ascii="Times New Roman" w:hAnsi="Times New Roman" w:eastAsia="方正仿宋_GBK" w:cs="Times New Roman"/>
          <w:b/>
          <w:bCs/>
          <w:color w:val="auto"/>
          <w:kern w:val="2"/>
          <w:sz w:val="32"/>
          <w:szCs w:val="32"/>
          <w:highlight w:val="none"/>
          <w:lang w:val="en-US" w:eastAsia="zh-CN" w:bidi="ar-SA"/>
        </w:rPr>
        <w:t>好。</w:t>
      </w:r>
      <w:r>
        <w:rPr>
          <w:rFonts w:hint="default" w:ascii="Times New Roman" w:hAnsi="Times New Roman" w:eastAsia="方正仿宋_GBK" w:cs="Times New Roman"/>
          <w:color w:val="auto"/>
          <w:kern w:val="2"/>
          <w:sz w:val="32"/>
          <w:szCs w:val="32"/>
          <w:highlight w:val="none"/>
          <w:lang w:val="en-US" w:eastAsia="zh-CN" w:bidi="ar-SA"/>
        </w:rPr>
        <w:t>强化系统思维，坚持审前程序和提起诉讼双管齐下，办理行政公益诉讼案件</w:t>
      </w:r>
      <w:r>
        <w:rPr>
          <w:rFonts w:hint="eastAsia" w:ascii="Times New Roman" w:hAnsi="Times New Roman" w:eastAsia="方正仿宋_GBK" w:cs="Times New Roman"/>
          <w:color w:val="auto"/>
          <w:kern w:val="2"/>
          <w:sz w:val="32"/>
          <w:szCs w:val="32"/>
          <w:highlight w:val="none"/>
          <w:lang w:val="en-US" w:eastAsia="zh-CN" w:bidi="ar-SA"/>
        </w:rPr>
        <w:t>156</w:t>
      </w:r>
      <w:r>
        <w:rPr>
          <w:rFonts w:hint="default" w:ascii="Times New Roman" w:hAnsi="Times New Roman" w:eastAsia="方正仿宋_GBK" w:cs="Times New Roman"/>
          <w:color w:val="auto"/>
          <w:kern w:val="2"/>
          <w:sz w:val="32"/>
          <w:szCs w:val="32"/>
          <w:highlight w:val="none"/>
          <w:lang w:val="en-US" w:eastAsia="zh-CN" w:bidi="ar-SA"/>
        </w:rPr>
        <w:t>件、民事公益诉讼</w:t>
      </w:r>
      <w:r>
        <w:rPr>
          <w:rFonts w:hint="eastAsia" w:ascii="Times New Roman" w:hAnsi="Times New Roman" w:eastAsia="方正仿宋_GBK" w:cs="Times New Roman"/>
          <w:color w:val="auto"/>
          <w:kern w:val="2"/>
          <w:sz w:val="32"/>
          <w:szCs w:val="32"/>
          <w:highlight w:val="none"/>
          <w:lang w:val="en-US" w:eastAsia="zh-CN" w:bidi="ar-SA"/>
        </w:rPr>
        <w:t>60</w:t>
      </w:r>
      <w:r>
        <w:rPr>
          <w:rFonts w:hint="default" w:ascii="Times New Roman" w:hAnsi="Times New Roman" w:eastAsia="方正仿宋_GBK" w:cs="Times New Roman"/>
          <w:color w:val="auto"/>
          <w:kern w:val="2"/>
          <w:sz w:val="32"/>
          <w:szCs w:val="32"/>
          <w:highlight w:val="none"/>
          <w:lang w:val="en-US" w:eastAsia="zh-CN" w:bidi="ar-SA"/>
        </w:rPr>
        <w:t>件，发出检察建议</w:t>
      </w:r>
      <w:r>
        <w:rPr>
          <w:rFonts w:hint="eastAsia" w:ascii="Times New Roman" w:hAnsi="Times New Roman" w:eastAsia="方正仿宋_GBK" w:cs="Times New Roman"/>
          <w:color w:val="auto"/>
          <w:kern w:val="2"/>
          <w:sz w:val="32"/>
          <w:szCs w:val="32"/>
          <w:highlight w:val="none"/>
          <w:lang w:val="en-US" w:eastAsia="zh-CN" w:bidi="ar-SA"/>
        </w:rPr>
        <w:t>142份</w:t>
      </w:r>
      <w:r>
        <w:rPr>
          <w:rFonts w:hint="default" w:ascii="Times New Roman" w:hAnsi="Times New Roman" w:eastAsia="方正仿宋_GBK" w:cs="Times New Roman"/>
          <w:color w:val="auto"/>
          <w:kern w:val="2"/>
          <w:sz w:val="32"/>
          <w:szCs w:val="32"/>
          <w:highlight w:val="none"/>
          <w:lang w:val="en-US" w:eastAsia="zh-CN" w:bidi="ar-SA"/>
        </w:rPr>
        <w:t>，起诉</w:t>
      </w:r>
      <w:r>
        <w:rPr>
          <w:rFonts w:hint="eastAsia" w:ascii="Times New Roman" w:hAnsi="Times New Roman" w:eastAsia="方正仿宋_GBK" w:cs="Times New Roman"/>
          <w:color w:val="auto"/>
          <w:kern w:val="2"/>
          <w:sz w:val="32"/>
          <w:szCs w:val="32"/>
          <w:highlight w:val="none"/>
          <w:lang w:val="en-US" w:eastAsia="zh-CN" w:bidi="ar-SA"/>
        </w:rPr>
        <w:t>30</w:t>
      </w:r>
      <w:r>
        <w:rPr>
          <w:rFonts w:hint="default" w:ascii="Times New Roman" w:hAnsi="Times New Roman" w:eastAsia="方正仿宋_GBK" w:cs="Times New Roman"/>
          <w:color w:val="auto"/>
          <w:kern w:val="2"/>
          <w:sz w:val="32"/>
          <w:szCs w:val="32"/>
          <w:highlight w:val="none"/>
          <w:lang w:val="en-US" w:eastAsia="zh-CN" w:bidi="ar-SA"/>
        </w:rPr>
        <w:t>件。开展违规使用医保基金专项监督，发出检察建议</w:t>
      </w:r>
      <w:r>
        <w:rPr>
          <w:rFonts w:hint="eastAsia" w:ascii="Times New Roman" w:hAnsi="Times New Roman" w:eastAsia="方正仿宋_GBK" w:cs="Times New Roman"/>
          <w:color w:val="auto"/>
          <w:kern w:val="2"/>
          <w:sz w:val="32"/>
          <w:szCs w:val="32"/>
          <w:highlight w:val="none"/>
          <w:lang w:val="en-US" w:eastAsia="zh-CN" w:bidi="ar-SA"/>
        </w:rPr>
        <w:t>5份</w:t>
      </w:r>
      <w:r>
        <w:rPr>
          <w:rFonts w:hint="default" w:ascii="Times New Roman" w:hAnsi="Times New Roman" w:eastAsia="方正仿宋_GBK" w:cs="Times New Roman"/>
          <w:color w:val="auto"/>
          <w:kern w:val="2"/>
          <w:sz w:val="32"/>
          <w:szCs w:val="32"/>
          <w:highlight w:val="none"/>
          <w:lang w:val="en-US" w:eastAsia="zh-CN" w:bidi="ar-SA"/>
        </w:rPr>
        <w:t>，追回医保资金</w:t>
      </w:r>
      <w:r>
        <w:rPr>
          <w:rFonts w:hint="eastAsia" w:ascii="Times New Roman" w:hAnsi="Times New Roman" w:eastAsia="方正仿宋_GBK" w:cs="Times New Roman"/>
          <w:color w:val="auto"/>
          <w:kern w:val="2"/>
          <w:sz w:val="32"/>
          <w:szCs w:val="32"/>
          <w:highlight w:val="none"/>
          <w:lang w:val="en-US" w:eastAsia="zh-CN" w:bidi="ar-SA"/>
        </w:rPr>
        <w:t>65</w:t>
      </w:r>
      <w:r>
        <w:rPr>
          <w:rFonts w:hint="default" w:ascii="Times New Roman" w:hAnsi="Times New Roman" w:eastAsia="方正仿宋_GBK" w:cs="Times New Roman"/>
          <w:color w:val="auto"/>
          <w:kern w:val="2"/>
          <w:sz w:val="32"/>
          <w:szCs w:val="32"/>
          <w:highlight w:val="none"/>
          <w:lang w:val="en-US" w:eastAsia="zh-CN" w:bidi="ar-SA"/>
        </w:rPr>
        <w:t>万余元</w:t>
      </w:r>
      <w:r>
        <w:rPr>
          <w:rFonts w:hint="eastAsia" w:ascii="Times New Roman" w:hAnsi="Times New Roman" w:eastAsia="方正仿宋_GBK" w:cs="Times New Roman"/>
          <w:color w:val="auto"/>
          <w:kern w:val="2"/>
          <w:sz w:val="32"/>
          <w:szCs w:val="32"/>
          <w:highlight w:val="none"/>
          <w:lang w:val="en-US" w:eastAsia="zh-CN" w:bidi="ar-SA"/>
        </w:rPr>
        <w:t>，守好百姓“救命钱”</w:t>
      </w:r>
      <w:r>
        <w:rPr>
          <w:rFonts w:hint="default" w:ascii="Times New Roman" w:hAnsi="Times New Roman" w:eastAsia="方正仿宋_GBK" w:cs="Times New Roman"/>
          <w:color w:val="auto"/>
          <w:kern w:val="2"/>
          <w:sz w:val="32"/>
          <w:szCs w:val="32"/>
          <w:highlight w:val="none"/>
          <w:lang w:val="en-US" w:eastAsia="zh-CN" w:bidi="ar-SA"/>
        </w:rPr>
        <w:t>。开展机动车驾培机构偷逃税款专项监督，督促追缴各类税款120万余元。</w:t>
      </w:r>
      <w:r>
        <w:rPr>
          <w:rFonts w:hint="eastAsia" w:ascii="Times New Roman" w:hAnsi="Times New Roman" w:eastAsia="方正仿宋_GBK" w:cs="Times New Roman"/>
          <w:color w:val="auto"/>
          <w:kern w:val="2"/>
          <w:sz w:val="32"/>
          <w:szCs w:val="32"/>
          <w:highlight w:val="none"/>
          <w:lang w:val="en-US" w:eastAsia="zh-CN" w:bidi="ar-SA"/>
        </w:rPr>
        <w:t>与</w:t>
      </w:r>
      <w:r>
        <w:rPr>
          <w:rFonts w:hint="default" w:ascii="Times New Roman" w:hAnsi="Times New Roman" w:eastAsia="方正仿宋_GBK" w:cs="Times New Roman"/>
          <w:color w:val="auto"/>
          <w:kern w:val="2"/>
          <w:sz w:val="32"/>
          <w:szCs w:val="32"/>
          <w:highlight w:val="none"/>
          <w:lang w:val="en-US" w:eastAsia="zh-CN" w:bidi="ar-SA"/>
        </w:rPr>
        <w:t>文广体旅、生态环境等部门及乡镇</w:t>
      </w:r>
      <w:r>
        <w:rPr>
          <w:rFonts w:hint="eastAsia" w:ascii="Times New Roman" w:hAnsi="Times New Roman" w:eastAsia="方正仿宋_GBK" w:cs="Times New Roman"/>
          <w:color w:val="auto"/>
          <w:kern w:val="2"/>
          <w:sz w:val="32"/>
          <w:szCs w:val="32"/>
          <w:highlight w:val="none"/>
          <w:lang w:val="en-US" w:eastAsia="zh-CN" w:bidi="ar-SA"/>
        </w:rPr>
        <w:t>政府</w:t>
      </w:r>
      <w:r>
        <w:rPr>
          <w:rFonts w:hint="default" w:ascii="Times New Roman" w:hAnsi="Times New Roman" w:eastAsia="方正仿宋_GBK" w:cs="Times New Roman"/>
          <w:color w:val="auto"/>
          <w:kern w:val="2"/>
          <w:sz w:val="32"/>
          <w:szCs w:val="32"/>
          <w:highlight w:val="none"/>
          <w:lang w:val="en-US" w:eastAsia="zh-CN" w:bidi="ar-SA"/>
        </w:rPr>
        <w:t>、企业开展磋商，推动消除</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网红</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景点、露营地环境污染、违规用火等风险隐患，助推乡村文旅产业健康发展。</w:t>
      </w:r>
    </w:p>
    <w:p w14:paraId="601B7957">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监督机制持续创新。</w:t>
      </w:r>
      <w:r>
        <w:rPr>
          <w:rFonts w:hint="default" w:ascii="Times New Roman" w:hAnsi="Times New Roman" w:eastAsia="方正仿宋_GBK" w:cs="Times New Roman"/>
          <w:color w:val="auto"/>
          <w:kern w:val="2"/>
          <w:sz w:val="32"/>
          <w:szCs w:val="32"/>
          <w:highlight w:val="none"/>
          <w:lang w:val="en-US" w:eastAsia="zh-CN" w:bidi="ar-SA"/>
        </w:rPr>
        <w:t>紧扣全面深化改革要求，在全省率先探索</w:t>
      </w:r>
      <w:r>
        <w:rPr>
          <w:rFonts w:hint="eastAsia" w:ascii="Times New Roman" w:hAnsi="Times New Roman" w:eastAsia="方正仿宋_GBK" w:cs="Times New Roman"/>
          <w:color w:val="auto"/>
          <w:kern w:val="2"/>
          <w:sz w:val="32"/>
          <w:szCs w:val="32"/>
          <w:highlight w:val="none"/>
          <w:lang w:val="en-US" w:eastAsia="zh-CN" w:bidi="ar-SA"/>
        </w:rPr>
        <w:t>建立“一府一委两院”</w:t>
      </w:r>
      <w:r>
        <w:rPr>
          <w:rFonts w:hint="default" w:ascii="Times New Roman" w:hAnsi="Times New Roman" w:eastAsia="方正仿宋_GBK" w:cs="Times New Roman"/>
          <w:color w:val="auto"/>
          <w:kern w:val="2"/>
          <w:sz w:val="32"/>
          <w:szCs w:val="32"/>
          <w:highlight w:val="none"/>
          <w:lang w:val="en-US" w:eastAsia="zh-CN" w:bidi="ar-SA"/>
        </w:rPr>
        <w:t>行政执法协同监督机制，实现行政执法+监察+审判+检察监督</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四轮驱动</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，助力更高水平的法治政府建设。持续深化党委政法委执法监督和检察机关法律监督有机衔接，开展</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进驻式</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专项检查，先后抽查案件</w:t>
      </w:r>
      <w:r>
        <w:rPr>
          <w:rFonts w:hint="eastAsia" w:ascii="Times New Roman" w:hAnsi="Times New Roman" w:eastAsia="方正仿宋_GBK" w:cs="Times New Roman"/>
          <w:color w:val="auto"/>
          <w:kern w:val="2"/>
          <w:sz w:val="32"/>
          <w:szCs w:val="32"/>
          <w:highlight w:val="none"/>
          <w:lang w:val="en-US" w:eastAsia="zh-CN" w:bidi="ar-SA"/>
        </w:rPr>
        <w:t>10373</w:t>
      </w:r>
      <w:r>
        <w:rPr>
          <w:rFonts w:hint="default" w:ascii="Times New Roman" w:hAnsi="Times New Roman" w:eastAsia="方正仿宋_GBK" w:cs="Times New Roman"/>
          <w:color w:val="auto"/>
          <w:kern w:val="2"/>
          <w:sz w:val="32"/>
          <w:szCs w:val="32"/>
          <w:highlight w:val="none"/>
          <w:lang w:val="en-US" w:eastAsia="zh-CN" w:bidi="ar-SA"/>
        </w:rPr>
        <w:t>件，</w:t>
      </w:r>
      <w:r>
        <w:rPr>
          <w:rFonts w:hint="eastAsia" w:ascii="Times New Roman" w:hAnsi="Times New Roman" w:eastAsia="方正仿宋_GBK" w:cs="Times New Roman"/>
          <w:color w:val="auto"/>
          <w:kern w:val="2"/>
          <w:sz w:val="32"/>
          <w:szCs w:val="32"/>
          <w:highlight w:val="none"/>
          <w:lang w:val="en-US" w:eastAsia="zh-CN" w:bidi="ar-SA"/>
        </w:rPr>
        <w:t>同比上升33</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发现问题线索</w:t>
      </w:r>
      <w:r>
        <w:rPr>
          <w:rFonts w:hint="eastAsia" w:ascii="Times New Roman" w:hAnsi="Times New Roman" w:eastAsia="方正仿宋_GBK" w:cs="Times New Roman"/>
          <w:color w:val="auto"/>
          <w:kern w:val="2"/>
          <w:sz w:val="32"/>
          <w:szCs w:val="32"/>
          <w:highlight w:val="none"/>
          <w:lang w:val="en-US" w:eastAsia="zh-CN" w:bidi="ar-SA"/>
        </w:rPr>
        <w:t>306</w:t>
      </w:r>
      <w:r>
        <w:rPr>
          <w:rFonts w:hint="default" w:ascii="Times New Roman" w:hAnsi="Times New Roman" w:eastAsia="方正仿宋_GBK" w:cs="Times New Roman"/>
          <w:color w:val="auto"/>
          <w:kern w:val="2"/>
          <w:sz w:val="32"/>
          <w:szCs w:val="32"/>
          <w:highlight w:val="none"/>
          <w:lang w:val="en-US" w:eastAsia="zh-CN" w:bidi="ar-SA"/>
        </w:rPr>
        <w:t>条，提起诉讼、纠正违法、发出检察建议等</w:t>
      </w:r>
      <w:r>
        <w:rPr>
          <w:rFonts w:hint="eastAsia" w:ascii="Times New Roman" w:hAnsi="Times New Roman" w:eastAsia="方正仿宋_GBK" w:cs="Times New Roman"/>
          <w:color w:val="auto"/>
          <w:kern w:val="2"/>
          <w:sz w:val="32"/>
          <w:szCs w:val="32"/>
          <w:highlight w:val="none"/>
          <w:lang w:val="en-US" w:eastAsia="zh-CN" w:bidi="ar-SA"/>
        </w:rPr>
        <w:t>193份</w:t>
      </w:r>
      <w:r>
        <w:rPr>
          <w:rFonts w:hint="default" w:ascii="Times New Roman" w:hAnsi="Times New Roman" w:eastAsia="方正仿宋_GBK" w:cs="Times New Roman"/>
          <w:color w:val="auto"/>
          <w:kern w:val="2"/>
          <w:sz w:val="32"/>
          <w:szCs w:val="32"/>
          <w:highlight w:val="none"/>
          <w:lang w:val="en-US" w:eastAsia="zh-CN" w:bidi="ar-SA"/>
        </w:rPr>
        <w:t>，督促整改问题案件</w:t>
      </w:r>
      <w:r>
        <w:rPr>
          <w:rFonts w:hint="eastAsia" w:ascii="Times New Roman" w:hAnsi="Times New Roman" w:eastAsia="方正仿宋_GBK" w:cs="Times New Roman"/>
          <w:color w:val="auto"/>
          <w:kern w:val="2"/>
          <w:sz w:val="32"/>
          <w:szCs w:val="32"/>
          <w:highlight w:val="none"/>
          <w:lang w:val="en-US" w:eastAsia="zh-CN" w:bidi="ar-SA"/>
        </w:rPr>
        <w:t>208</w:t>
      </w:r>
      <w:r>
        <w:rPr>
          <w:rFonts w:hint="default" w:ascii="Times New Roman" w:hAnsi="Times New Roman" w:eastAsia="方正仿宋_GBK" w:cs="Times New Roman"/>
          <w:color w:val="auto"/>
          <w:kern w:val="2"/>
          <w:sz w:val="32"/>
          <w:szCs w:val="32"/>
          <w:highlight w:val="none"/>
          <w:lang w:val="en-US" w:eastAsia="zh-CN" w:bidi="ar-SA"/>
        </w:rPr>
        <w:t>件，追责问责</w:t>
      </w:r>
      <w:r>
        <w:rPr>
          <w:rFonts w:hint="eastAsia" w:ascii="Times New Roman" w:hAnsi="Times New Roman" w:eastAsia="方正仿宋_GBK" w:cs="Times New Roman"/>
          <w:color w:val="auto"/>
          <w:kern w:val="2"/>
          <w:sz w:val="32"/>
          <w:szCs w:val="32"/>
          <w:highlight w:val="none"/>
          <w:lang w:val="en-US" w:eastAsia="zh-CN" w:bidi="ar-SA"/>
        </w:rPr>
        <w:t>70</w:t>
      </w:r>
      <w:r>
        <w:rPr>
          <w:rFonts w:hint="default" w:ascii="Times New Roman" w:hAnsi="Times New Roman" w:eastAsia="方正仿宋_GBK" w:cs="Times New Roman"/>
          <w:color w:val="auto"/>
          <w:kern w:val="2"/>
          <w:sz w:val="32"/>
          <w:szCs w:val="32"/>
          <w:highlight w:val="none"/>
          <w:lang w:val="en-US" w:eastAsia="zh-CN" w:bidi="ar-SA"/>
        </w:rPr>
        <w:t>人次，做实全链条、闭环式、立体化监督。该项工作机制获评全省检察改革创新项目，入选</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四川法治蓝皮书</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，在中央政法委执法司法监督专题培训班上</w:t>
      </w:r>
      <w:r>
        <w:rPr>
          <w:rFonts w:hint="eastAsia" w:ascii="Times New Roman" w:hAnsi="Times New Roman" w:eastAsia="方正仿宋_GBK" w:cs="Times New Roman"/>
          <w:color w:val="auto"/>
          <w:kern w:val="2"/>
          <w:sz w:val="32"/>
          <w:szCs w:val="32"/>
          <w:highlight w:val="none"/>
          <w:lang w:val="en-US" w:eastAsia="zh-CN" w:bidi="ar-SA"/>
        </w:rPr>
        <w:t>作</w:t>
      </w:r>
      <w:r>
        <w:rPr>
          <w:rFonts w:hint="default" w:ascii="Times New Roman" w:hAnsi="Times New Roman" w:eastAsia="方正仿宋_GBK" w:cs="Times New Roman"/>
          <w:color w:val="auto"/>
          <w:kern w:val="2"/>
          <w:sz w:val="32"/>
          <w:szCs w:val="32"/>
          <w:highlight w:val="none"/>
          <w:lang w:val="en-US" w:eastAsia="zh-CN" w:bidi="ar-SA"/>
        </w:rPr>
        <w:t>经验交流。</w:t>
      </w:r>
    </w:p>
    <w:p w14:paraId="6FE96F1C">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b/>
          <w:bCs/>
          <w:color w:val="auto"/>
          <w:kern w:val="2"/>
          <w:sz w:val="32"/>
          <w:szCs w:val="32"/>
          <w:highlight w:val="none"/>
          <w:lang w:val="en-US" w:eastAsia="zh-CN" w:bidi="ar-SA"/>
        </w:rPr>
      </w:pPr>
      <w:r>
        <w:rPr>
          <w:rFonts w:hint="eastAsia" w:eastAsia="方正仿宋_GBK" w:cs="Times New Roman"/>
          <w:b/>
          <w:bCs/>
          <w:color w:val="auto"/>
          <w:kern w:val="2"/>
          <w:sz w:val="32"/>
          <w:szCs w:val="32"/>
          <w:highlight w:val="none"/>
          <w:lang w:val="en-US" w:eastAsia="zh-CN" w:bidi="ar-SA"/>
        </w:rPr>
        <w:t>（4）</w:t>
      </w:r>
      <w:r>
        <w:rPr>
          <w:rFonts w:hint="eastAsia" w:ascii="Times New Roman" w:hAnsi="Times New Roman" w:eastAsia="方正仿宋_GBK" w:cs="Times New Roman"/>
          <w:b/>
          <w:bCs/>
          <w:color w:val="auto"/>
          <w:kern w:val="2"/>
          <w:sz w:val="32"/>
          <w:szCs w:val="32"/>
          <w:highlight w:val="none"/>
          <w:lang w:val="en-US" w:eastAsia="zh-CN" w:bidi="ar-SA"/>
        </w:rPr>
        <w:t>聚焦</w:t>
      </w:r>
      <w:r>
        <w:rPr>
          <w:rFonts w:hint="default" w:ascii="Times New Roman" w:hAnsi="Times New Roman" w:eastAsia="方正仿宋_GBK" w:cs="Times New Roman"/>
          <w:b/>
          <w:bCs/>
          <w:color w:val="auto"/>
          <w:kern w:val="2"/>
          <w:sz w:val="32"/>
          <w:szCs w:val="32"/>
          <w:highlight w:val="none"/>
          <w:lang w:val="en-US" w:eastAsia="zh-CN" w:bidi="ar-SA"/>
        </w:rPr>
        <w:t>夯基固本，以检察之</w:t>
      </w:r>
      <w:r>
        <w:rPr>
          <w:rFonts w:hint="eastAsia" w:ascii="Times New Roman" w:hAnsi="Times New Roman" w:eastAsia="方正仿宋_GBK" w:cs="Times New Roman"/>
          <w:b/>
          <w:bCs/>
          <w:color w:val="auto"/>
          <w:kern w:val="2"/>
          <w:sz w:val="32"/>
          <w:szCs w:val="32"/>
          <w:highlight w:val="none"/>
          <w:lang w:val="en-US" w:eastAsia="zh-CN" w:bidi="ar-SA"/>
        </w:rPr>
        <w:t>策</w:t>
      </w:r>
      <w:r>
        <w:rPr>
          <w:rFonts w:hint="default" w:ascii="Times New Roman" w:hAnsi="Times New Roman" w:eastAsia="方正仿宋_GBK" w:cs="Times New Roman"/>
          <w:b/>
          <w:bCs/>
          <w:color w:val="auto"/>
          <w:kern w:val="2"/>
          <w:sz w:val="32"/>
          <w:szCs w:val="32"/>
          <w:highlight w:val="none"/>
          <w:lang w:val="en-US" w:eastAsia="zh-CN" w:bidi="ar-SA"/>
        </w:rPr>
        <w:t>锻造高</w:t>
      </w:r>
      <w:r>
        <w:rPr>
          <w:rFonts w:hint="eastAsia" w:ascii="Times New Roman" w:hAnsi="Times New Roman" w:eastAsia="方正仿宋_GBK" w:cs="Times New Roman"/>
          <w:b/>
          <w:bCs/>
          <w:color w:val="auto"/>
          <w:kern w:val="2"/>
          <w:sz w:val="32"/>
          <w:szCs w:val="32"/>
          <w:highlight w:val="none"/>
          <w:lang w:val="en-US" w:eastAsia="zh-CN" w:bidi="ar-SA"/>
        </w:rPr>
        <w:t>素质干警</w:t>
      </w:r>
      <w:r>
        <w:rPr>
          <w:rFonts w:hint="default" w:ascii="Times New Roman" w:hAnsi="Times New Roman" w:eastAsia="方正仿宋_GBK" w:cs="Times New Roman"/>
          <w:b/>
          <w:bCs/>
          <w:color w:val="auto"/>
          <w:kern w:val="2"/>
          <w:sz w:val="32"/>
          <w:szCs w:val="32"/>
          <w:highlight w:val="none"/>
          <w:lang w:val="en-US" w:eastAsia="zh-CN" w:bidi="ar-SA"/>
        </w:rPr>
        <w:t>队伍</w:t>
      </w:r>
    </w:p>
    <w:p w14:paraId="7EF7CD23">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坚持“基层是一切工作的落脚点”，以</w:t>
      </w:r>
      <w:bookmarkStart w:id="108" w:name="_GoBack"/>
      <w:bookmarkEnd w:id="108"/>
      <w:r>
        <w:rPr>
          <w:rFonts w:hint="eastAsia" w:eastAsia="方正仿宋_GBK" w:cs="Times New Roman"/>
          <w:color w:val="auto"/>
          <w:kern w:val="2"/>
          <w:sz w:val="32"/>
          <w:szCs w:val="32"/>
          <w:highlight w:val="none"/>
          <w:lang w:val="en-US" w:eastAsia="zh-CN" w:bidi="ar-SA"/>
        </w:rPr>
        <w:t>打铁还需自身硬</w:t>
      </w:r>
      <w:r>
        <w:rPr>
          <w:rFonts w:hint="eastAsia" w:ascii="Times New Roman" w:hAnsi="Times New Roman" w:eastAsia="方正仿宋_GBK" w:cs="Times New Roman"/>
          <w:color w:val="auto"/>
          <w:kern w:val="2"/>
          <w:sz w:val="32"/>
          <w:szCs w:val="32"/>
          <w:highlight w:val="none"/>
          <w:lang w:val="en-US" w:eastAsia="zh-CN" w:bidi="ar-SA"/>
        </w:rPr>
        <w:t>的坚强定力构建一支忠诚干净担当的新时代检察铁军。</w:t>
      </w:r>
    </w:p>
    <w:p w14:paraId="60E8F86B">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管党治检重引领。</w:t>
      </w:r>
      <w:r>
        <w:rPr>
          <w:rFonts w:hint="eastAsia" w:ascii="Times New Roman" w:hAnsi="Times New Roman" w:eastAsia="方正仿宋_GBK" w:cs="Times New Roman"/>
          <w:color w:val="auto"/>
          <w:kern w:val="2"/>
          <w:sz w:val="32"/>
          <w:szCs w:val="32"/>
          <w:highlight w:val="none"/>
          <w:lang w:val="en-US" w:eastAsia="zh-CN" w:bidi="ar-SA"/>
        </w:rPr>
        <w:t>铸忠诚之魂，</w:t>
      </w:r>
      <w:r>
        <w:rPr>
          <w:rFonts w:hint="default" w:ascii="Times New Roman" w:hAnsi="Times New Roman" w:eastAsia="方正仿宋_GBK" w:cs="Times New Roman"/>
          <w:color w:val="auto"/>
          <w:kern w:val="2"/>
          <w:sz w:val="32"/>
          <w:szCs w:val="32"/>
          <w:highlight w:val="none"/>
          <w:lang w:val="en-US" w:eastAsia="zh-CN" w:bidi="ar-SA"/>
        </w:rPr>
        <w:t>深入学习贯彻党的二十届三中全会精神，坚定拥护</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两个确立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、坚决做到</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两个维护</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推进党建带业务，实现同频共振，“检察+邻里”工作机制获评全省检察机关党建与业务融合典型事例。强正义之音，</w:t>
      </w:r>
      <w:r>
        <w:rPr>
          <w:rFonts w:hint="default" w:ascii="Times New Roman" w:hAnsi="Times New Roman" w:eastAsia="方正仿宋_GBK" w:cs="Times New Roman"/>
          <w:color w:val="auto"/>
          <w:kern w:val="2"/>
          <w:sz w:val="32"/>
          <w:szCs w:val="32"/>
          <w:highlight w:val="none"/>
          <w:lang w:val="en-US" w:eastAsia="zh-CN" w:bidi="ar-SA"/>
        </w:rPr>
        <w:t>抓实意识形态</w:t>
      </w:r>
      <w:r>
        <w:rPr>
          <w:rFonts w:hint="eastAsia" w:ascii="Times New Roman" w:hAnsi="Times New Roman" w:eastAsia="方正仿宋_GBK" w:cs="Times New Roman"/>
          <w:color w:val="auto"/>
          <w:kern w:val="2"/>
          <w:sz w:val="32"/>
          <w:szCs w:val="32"/>
          <w:highlight w:val="none"/>
          <w:lang w:val="en-US" w:eastAsia="zh-CN" w:bidi="ar-SA"/>
        </w:rPr>
        <w:t>工作</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打造检察新媒体矩阵，122篇信息获国省采编，唱响</w:t>
      </w:r>
      <w:r>
        <w:rPr>
          <w:rFonts w:hint="default" w:ascii="Times New Roman" w:hAnsi="Times New Roman" w:eastAsia="方正仿宋_GBK" w:cs="Times New Roman"/>
          <w:color w:val="auto"/>
          <w:kern w:val="2"/>
          <w:sz w:val="32"/>
          <w:szCs w:val="32"/>
          <w:highlight w:val="none"/>
          <w:lang w:val="en-US" w:eastAsia="zh-CN" w:bidi="ar-SA"/>
        </w:rPr>
        <w:t>检察主旋律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新媒体作品《网络谣言的罪与罚》获评第六届</w:t>
      </w:r>
      <w:r>
        <w:rPr>
          <w:rFonts w:hint="eastAsia" w:ascii="Times New Roman" w:hAnsi="Times New Roman" w:eastAsia="方正仿宋_GBK" w:cs="Times New Roman"/>
          <w:color w:val="auto"/>
          <w:kern w:val="2"/>
          <w:sz w:val="32"/>
          <w:szCs w:val="32"/>
          <w:highlight w:val="none"/>
          <w:lang w:val="en-US" w:eastAsia="zh-CN" w:bidi="ar-SA"/>
        </w:rPr>
        <w:t>中国</w:t>
      </w:r>
      <w:r>
        <w:rPr>
          <w:rFonts w:hint="default" w:ascii="Times New Roman" w:hAnsi="Times New Roman" w:eastAsia="方正仿宋_GBK" w:cs="Times New Roman"/>
          <w:color w:val="auto"/>
          <w:kern w:val="2"/>
          <w:sz w:val="32"/>
          <w:szCs w:val="32"/>
          <w:highlight w:val="none"/>
          <w:lang w:val="en-US" w:eastAsia="zh-CN" w:bidi="ar-SA"/>
        </w:rPr>
        <w:t>互联网辟谣优秀作品。</w:t>
      </w:r>
    </w:p>
    <w:p w14:paraId="570DC318">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人才培育优素能。</w:t>
      </w:r>
      <w:r>
        <w:rPr>
          <w:rFonts w:hint="default" w:ascii="Times New Roman" w:hAnsi="Times New Roman" w:eastAsia="方正仿宋_GBK" w:cs="Times New Roman"/>
          <w:color w:val="auto"/>
          <w:kern w:val="2"/>
          <w:sz w:val="32"/>
          <w:szCs w:val="32"/>
          <w:highlight w:val="none"/>
          <w:lang w:val="en-US" w:eastAsia="zh-CN" w:bidi="ar-SA"/>
        </w:rPr>
        <w:t>用好</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政法大讲堂</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巴山检论</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等教育培训平台，组织开展专题讲座、业务培训、技能竞赛等</w:t>
      </w:r>
      <w:r>
        <w:rPr>
          <w:rFonts w:hint="eastAsia" w:ascii="Times New Roman" w:hAnsi="Times New Roman" w:eastAsia="方正仿宋_GBK" w:cs="Times New Roman"/>
          <w:color w:val="auto"/>
          <w:kern w:val="2"/>
          <w:sz w:val="32"/>
          <w:szCs w:val="32"/>
          <w:highlight w:val="none"/>
          <w:lang w:val="en-US" w:eastAsia="zh-CN" w:bidi="ar-SA"/>
        </w:rPr>
        <w:t>21</w:t>
      </w:r>
      <w:r>
        <w:rPr>
          <w:rFonts w:hint="default" w:ascii="Times New Roman" w:hAnsi="Times New Roman" w:eastAsia="方正仿宋_GBK" w:cs="Times New Roman"/>
          <w:color w:val="auto"/>
          <w:kern w:val="2"/>
          <w:sz w:val="32"/>
          <w:szCs w:val="32"/>
          <w:highlight w:val="none"/>
          <w:lang w:val="en-US" w:eastAsia="zh-CN" w:bidi="ar-SA"/>
        </w:rPr>
        <w:t>场次，实现教育培训全覆盖，</w:t>
      </w:r>
      <w:r>
        <w:rPr>
          <w:rFonts w:hint="eastAsia"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en-US" w:eastAsia="zh-CN" w:bidi="ar-SA"/>
        </w:rPr>
        <w:t>名干警在全省业务竞赛中获奖，</w:t>
      </w:r>
      <w:r>
        <w:rPr>
          <w:rFonts w:hint="eastAsia" w:ascii="Times New Roman" w:hAnsi="Times New Roman" w:eastAsia="方正仿宋_GBK" w:cs="Times New Roman"/>
          <w:color w:val="auto"/>
          <w:kern w:val="2"/>
          <w:sz w:val="32"/>
          <w:szCs w:val="32"/>
          <w:highlight w:val="none"/>
          <w:lang w:val="en-US" w:eastAsia="zh-CN" w:bidi="ar-SA"/>
        </w:rPr>
        <w:t>16</w:t>
      </w:r>
      <w:r>
        <w:rPr>
          <w:rFonts w:hint="default" w:ascii="Times New Roman" w:hAnsi="Times New Roman" w:eastAsia="方正仿宋_GBK" w:cs="Times New Roman"/>
          <w:color w:val="auto"/>
          <w:kern w:val="2"/>
          <w:sz w:val="32"/>
          <w:szCs w:val="32"/>
          <w:highlight w:val="none"/>
          <w:lang w:val="en-US" w:eastAsia="zh-CN" w:bidi="ar-SA"/>
        </w:rPr>
        <w:t>名干警入选全省检察机关人才库</w:t>
      </w:r>
      <w:r>
        <w:rPr>
          <w:rFonts w:hint="eastAsia" w:ascii="Times New Roman" w:hAnsi="Times New Roman" w:eastAsia="方正仿宋_GBK" w:cs="Times New Roman"/>
          <w:color w:val="auto"/>
          <w:kern w:val="2"/>
          <w:sz w:val="32"/>
          <w:szCs w:val="32"/>
          <w:highlight w:val="none"/>
          <w:lang w:val="en-US" w:eastAsia="zh-CN" w:bidi="ar-SA"/>
        </w:rPr>
        <w:t>，2名干警在全国检察征文中获奖。加强人才交流，通过公开招录、</w:t>
      </w:r>
      <w:r>
        <w:rPr>
          <w:rFonts w:hint="default" w:ascii="Times New Roman" w:hAnsi="Times New Roman" w:eastAsia="方正仿宋_GBK" w:cs="Times New Roman"/>
          <w:color w:val="auto"/>
          <w:kern w:val="2"/>
          <w:sz w:val="32"/>
          <w:szCs w:val="32"/>
          <w:highlight w:val="none"/>
          <w:lang w:val="en-US" w:eastAsia="zh-CN" w:bidi="ar-SA"/>
        </w:rPr>
        <w:t>遴选</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双向互派等方式</w:t>
      </w:r>
      <w:r>
        <w:rPr>
          <w:rFonts w:hint="eastAsia" w:ascii="Times New Roman" w:hAnsi="Times New Roman" w:eastAsia="方正仿宋_GBK" w:cs="Times New Roman"/>
          <w:color w:val="auto"/>
          <w:kern w:val="2"/>
          <w:sz w:val="32"/>
          <w:szCs w:val="32"/>
          <w:highlight w:val="none"/>
          <w:lang w:val="en-US" w:eastAsia="zh-CN" w:bidi="ar-SA"/>
        </w:rPr>
        <w:t>，激发队伍活力</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新录用干警15名，2</w:t>
      </w:r>
      <w:r>
        <w:rPr>
          <w:rFonts w:hint="default" w:ascii="Times New Roman" w:hAnsi="Times New Roman" w:eastAsia="方正仿宋_GBK" w:cs="Times New Roman"/>
          <w:color w:val="auto"/>
          <w:kern w:val="2"/>
          <w:sz w:val="32"/>
          <w:szCs w:val="32"/>
          <w:highlight w:val="none"/>
          <w:lang w:val="en-US" w:eastAsia="zh-CN" w:bidi="ar-SA"/>
        </w:rPr>
        <w:t>名干警上下交流任职。鲜明用人导向，对</w:t>
      </w:r>
      <w:r>
        <w:rPr>
          <w:rFonts w:hint="eastAsia" w:ascii="Times New Roman" w:hAnsi="Times New Roman" w:eastAsia="方正仿宋_GBK" w:cs="Times New Roman"/>
          <w:color w:val="auto"/>
          <w:kern w:val="2"/>
          <w:sz w:val="32"/>
          <w:szCs w:val="32"/>
          <w:highlight w:val="none"/>
          <w:lang w:val="en-US" w:eastAsia="zh-CN" w:bidi="ar-SA"/>
        </w:rPr>
        <w:t>51</w:t>
      </w:r>
      <w:r>
        <w:rPr>
          <w:rFonts w:hint="default" w:ascii="Times New Roman" w:hAnsi="Times New Roman" w:eastAsia="方正仿宋_GBK" w:cs="Times New Roman"/>
          <w:color w:val="auto"/>
          <w:kern w:val="2"/>
          <w:sz w:val="32"/>
          <w:szCs w:val="32"/>
          <w:highlight w:val="none"/>
          <w:lang w:val="en-US" w:eastAsia="zh-CN" w:bidi="ar-SA"/>
        </w:rPr>
        <w:t>名政治过硬、业绩突出的干警提拔使用、晋升职级，激励担当作为。</w:t>
      </w:r>
    </w:p>
    <w:p w14:paraId="40FEB411">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数字赋能提质效。</w:t>
      </w:r>
      <w:r>
        <w:rPr>
          <w:rFonts w:hint="default" w:ascii="Times New Roman" w:hAnsi="Times New Roman" w:eastAsia="方正仿宋_GBK" w:cs="Times New Roman"/>
          <w:color w:val="auto"/>
          <w:kern w:val="2"/>
          <w:sz w:val="32"/>
          <w:szCs w:val="32"/>
          <w:highlight w:val="none"/>
          <w:lang w:val="en-US" w:eastAsia="zh-CN" w:bidi="ar-SA"/>
        </w:rPr>
        <w:t>深入实施</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数字检察</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战略</w:t>
      </w:r>
      <w:r>
        <w:rPr>
          <w:rFonts w:hint="eastAsia" w:ascii="Times New Roman" w:hAnsi="Times New Roman" w:eastAsia="方正仿宋_GBK" w:cs="Times New Roman"/>
          <w:color w:val="auto"/>
          <w:kern w:val="2"/>
          <w:sz w:val="32"/>
          <w:szCs w:val="32"/>
          <w:highlight w:val="none"/>
          <w:lang w:val="en-US" w:eastAsia="zh-CN" w:bidi="ar-SA"/>
        </w:rPr>
        <w:t>，推行“</w:t>
      </w:r>
      <w:r>
        <w:rPr>
          <w:rFonts w:hint="default" w:ascii="Times New Roman" w:hAnsi="Times New Roman" w:eastAsia="方正仿宋_GBK" w:cs="Times New Roman"/>
          <w:color w:val="auto"/>
          <w:kern w:val="2"/>
          <w:sz w:val="32"/>
          <w:szCs w:val="32"/>
          <w:highlight w:val="none"/>
          <w:lang w:val="en-US" w:eastAsia="zh-CN" w:bidi="ar-SA"/>
        </w:rPr>
        <w:t>业务主导、数据整合、技术支撑、重在应用</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的</w:t>
      </w:r>
      <w:r>
        <w:rPr>
          <w:rFonts w:hint="eastAsia" w:ascii="Times New Roman" w:hAnsi="Times New Roman" w:eastAsia="方正仿宋_GBK" w:cs="Times New Roman"/>
          <w:color w:val="auto"/>
          <w:kern w:val="2"/>
          <w:sz w:val="32"/>
          <w:szCs w:val="32"/>
          <w:highlight w:val="none"/>
          <w:lang w:val="en-US" w:eastAsia="zh-CN" w:bidi="ar-SA"/>
        </w:rPr>
        <w:t>工作模式</w:t>
      </w:r>
      <w:r>
        <w:rPr>
          <w:rFonts w:hint="default" w:ascii="Times New Roman" w:hAnsi="Times New Roman" w:eastAsia="方正仿宋_GBK" w:cs="Times New Roman"/>
          <w:color w:val="auto"/>
          <w:kern w:val="2"/>
          <w:sz w:val="32"/>
          <w:szCs w:val="32"/>
          <w:highlight w:val="none"/>
          <w:lang w:val="en-US" w:eastAsia="zh-CN" w:bidi="ar-SA"/>
        </w:rPr>
        <w:t>。加强大数据法律监督模型应用，</w:t>
      </w:r>
      <w:r>
        <w:rPr>
          <w:rFonts w:hint="eastAsia" w:ascii="Times New Roman" w:hAnsi="Times New Roman" w:eastAsia="方正仿宋_GBK" w:cs="Times New Roman"/>
          <w:color w:val="auto"/>
          <w:kern w:val="2"/>
          <w:sz w:val="32"/>
          <w:szCs w:val="32"/>
          <w:highlight w:val="none"/>
          <w:lang w:val="en-US" w:eastAsia="zh-CN" w:bidi="ar-SA"/>
        </w:rPr>
        <w:t>从全国模型库中</w:t>
      </w:r>
      <w:r>
        <w:rPr>
          <w:rFonts w:hint="default" w:ascii="Times New Roman" w:hAnsi="Times New Roman" w:eastAsia="方正仿宋_GBK" w:cs="Times New Roman"/>
          <w:color w:val="auto"/>
          <w:kern w:val="2"/>
          <w:sz w:val="32"/>
          <w:szCs w:val="32"/>
          <w:highlight w:val="none"/>
          <w:lang w:val="en-US" w:eastAsia="zh-CN" w:bidi="ar-SA"/>
        </w:rPr>
        <w:t>优选81个</w:t>
      </w:r>
      <w:r>
        <w:rPr>
          <w:rFonts w:hint="eastAsia" w:ascii="Times New Roman" w:hAnsi="Times New Roman" w:eastAsia="方正仿宋_GBK" w:cs="Times New Roman"/>
          <w:color w:val="auto"/>
          <w:kern w:val="2"/>
          <w:sz w:val="32"/>
          <w:szCs w:val="32"/>
          <w:highlight w:val="none"/>
          <w:lang w:val="en-US" w:eastAsia="zh-CN" w:bidi="ar-SA"/>
        </w:rPr>
        <w:t>模型用于辅助</w:t>
      </w:r>
      <w:r>
        <w:rPr>
          <w:rFonts w:hint="default" w:ascii="Times New Roman" w:hAnsi="Times New Roman" w:eastAsia="方正仿宋_GBK" w:cs="Times New Roman"/>
          <w:color w:val="auto"/>
          <w:kern w:val="2"/>
          <w:sz w:val="32"/>
          <w:szCs w:val="32"/>
          <w:highlight w:val="none"/>
          <w:lang w:val="en-US" w:eastAsia="zh-CN" w:bidi="ar-SA"/>
        </w:rPr>
        <w:t>办案，发现线索3608条，监督办案39件。加大法律监督模型研发力度，</w:t>
      </w:r>
      <w:r>
        <w:rPr>
          <w:rFonts w:hint="eastAsia" w:ascii="Times New Roman" w:hAnsi="Times New Roman" w:eastAsia="方正仿宋_GBK" w:cs="Times New Roman"/>
          <w:color w:val="auto"/>
          <w:kern w:val="2"/>
          <w:sz w:val="32"/>
          <w:szCs w:val="32"/>
          <w:highlight w:val="none"/>
          <w:lang w:val="en-US" w:eastAsia="zh-CN" w:bidi="ar-SA"/>
        </w:rPr>
        <w:t>自行</w:t>
      </w:r>
      <w:r>
        <w:rPr>
          <w:rFonts w:hint="default" w:ascii="Times New Roman" w:hAnsi="Times New Roman" w:eastAsia="方正仿宋_GBK" w:cs="Times New Roman"/>
          <w:color w:val="auto"/>
          <w:kern w:val="2"/>
          <w:sz w:val="32"/>
          <w:szCs w:val="32"/>
          <w:highlight w:val="none"/>
          <w:lang w:val="en-US" w:eastAsia="zh-CN" w:bidi="ar-SA"/>
        </w:rPr>
        <w:t>研发大数据模型</w:t>
      </w:r>
      <w:r>
        <w:rPr>
          <w:rFonts w:hint="eastAsia"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6个</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虚构劳动报酬类案监督模型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获全省</w:t>
      </w:r>
      <w:r>
        <w:rPr>
          <w:rFonts w:hint="eastAsia" w:ascii="Times New Roman" w:hAnsi="Times New Roman" w:eastAsia="方正仿宋_GBK" w:cs="Times New Roman"/>
          <w:color w:val="auto"/>
          <w:kern w:val="2"/>
          <w:sz w:val="32"/>
          <w:szCs w:val="32"/>
          <w:highlight w:val="none"/>
          <w:lang w:val="en-US" w:eastAsia="zh-CN" w:bidi="ar-SA"/>
        </w:rPr>
        <w:t>检察机关模型</w:t>
      </w:r>
      <w:r>
        <w:rPr>
          <w:rFonts w:hint="default" w:ascii="Times New Roman" w:hAnsi="Times New Roman" w:eastAsia="方正仿宋_GBK" w:cs="Times New Roman"/>
          <w:color w:val="auto"/>
          <w:kern w:val="2"/>
          <w:sz w:val="32"/>
          <w:szCs w:val="32"/>
          <w:highlight w:val="none"/>
          <w:lang w:val="en-US" w:eastAsia="zh-CN" w:bidi="ar-SA"/>
        </w:rPr>
        <w:t>竞赛二等奖</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刑事裁判涉财产部分执行违法类案监督模型</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获首届全省</w:t>
      </w:r>
      <w:r>
        <w:rPr>
          <w:rFonts w:hint="eastAsia" w:ascii="Times New Roman" w:hAnsi="Times New Roman" w:eastAsia="方正仿宋_GBK" w:cs="Times New Roman"/>
          <w:color w:val="auto"/>
          <w:kern w:val="2"/>
          <w:sz w:val="32"/>
          <w:szCs w:val="32"/>
          <w:highlight w:val="none"/>
          <w:lang w:val="en-US" w:eastAsia="zh-CN" w:bidi="ar-SA"/>
        </w:rPr>
        <w:t>检察机关“</w:t>
      </w:r>
      <w:r>
        <w:rPr>
          <w:rFonts w:hint="default" w:ascii="Times New Roman" w:hAnsi="Times New Roman" w:eastAsia="方正仿宋_GBK" w:cs="Times New Roman"/>
          <w:color w:val="auto"/>
          <w:kern w:val="2"/>
          <w:sz w:val="32"/>
          <w:szCs w:val="32"/>
          <w:highlight w:val="none"/>
          <w:lang w:val="en-US" w:eastAsia="zh-CN" w:bidi="ar-SA"/>
        </w:rPr>
        <w:t>金点子</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创意大赛三等奖。</w:t>
      </w:r>
    </w:p>
    <w:p w14:paraId="763A147D">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一年来，全市检察</w:t>
      </w:r>
      <w:r>
        <w:rPr>
          <w:rFonts w:hint="eastAsia" w:ascii="Times New Roman" w:hAnsi="Times New Roman" w:eastAsia="方正仿宋_GBK" w:cs="Times New Roman"/>
          <w:color w:val="auto"/>
          <w:kern w:val="2"/>
          <w:sz w:val="32"/>
          <w:szCs w:val="32"/>
          <w:highlight w:val="none"/>
          <w:lang w:val="en-US" w:eastAsia="zh-CN" w:bidi="ar-SA"/>
        </w:rPr>
        <w:t>机关有11</w:t>
      </w:r>
      <w:r>
        <w:rPr>
          <w:rFonts w:hint="default" w:ascii="Times New Roman" w:hAnsi="Times New Roman" w:eastAsia="方正仿宋_GBK" w:cs="Times New Roman"/>
          <w:color w:val="auto"/>
          <w:kern w:val="2"/>
          <w:sz w:val="32"/>
          <w:szCs w:val="32"/>
          <w:highlight w:val="none"/>
          <w:lang w:val="en-US" w:eastAsia="zh-CN" w:bidi="ar-SA"/>
        </w:rPr>
        <w:t>个案件获评省级及以上典型、优秀案例，</w:t>
      </w:r>
      <w:r>
        <w:rPr>
          <w:rFonts w:hint="eastAsia" w:ascii="Times New Roman" w:hAnsi="Times New Roman" w:eastAsia="方正仿宋_GBK" w:cs="Times New Roman"/>
          <w:color w:val="auto"/>
          <w:kern w:val="2"/>
          <w:sz w:val="32"/>
          <w:szCs w:val="32"/>
          <w:highlight w:val="none"/>
          <w:lang w:val="en-US" w:eastAsia="zh-CN" w:bidi="ar-SA"/>
        </w:rPr>
        <w:t>14</w:t>
      </w:r>
      <w:r>
        <w:rPr>
          <w:rFonts w:hint="default" w:ascii="Times New Roman" w:hAnsi="Times New Roman" w:eastAsia="方正仿宋_GBK" w:cs="Times New Roman"/>
          <w:color w:val="auto"/>
          <w:kern w:val="2"/>
          <w:sz w:val="32"/>
          <w:szCs w:val="32"/>
          <w:highlight w:val="none"/>
          <w:lang w:val="en-US" w:eastAsia="zh-CN" w:bidi="ar-SA"/>
        </w:rPr>
        <w:t>项调研成果获得</w:t>
      </w:r>
      <w:r>
        <w:rPr>
          <w:rFonts w:hint="eastAsia" w:ascii="Times New Roman" w:hAnsi="Times New Roman" w:eastAsia="方正仿宋_GBK" w:cs="Times New Roman"/>
          <w:color w:val="auto"/>
          <w:kern w:val="2"/>
          <w:sz w:val="32"/>
          <w:szCs w:val="32"/>
          <w:highlight w:val="none"/>
          <w:lang w:val="en-US" w:eastAsia="zh-CN" w:bidi="ar-SA"/>
        </w:rPr>
        <w:t>省</w:t>
      </w:r>
      <w:r>
        <w:rPr>
          <w:rFonts w:hint="default" w:ascii="Times New Roman" w:hAnsi="Times New Roman" w:eastAsia="方正仿宋_GBK" w:cs="Times New Roman"/>
          <w:color w:val="auto"/>
          <w:kern w:val="2"/>
          <w:sz w:val="32"/>
          <w:szCs w:val="32"/>
          <w:highlight w:val="none"/>
          <w:lang w:val="en-US" w:eastAsia="zh-CN" w:bidi="ar-SA"/>
        </w:rPr>
        <w:t>级以上</w:t>
      </w:r>
      <w:r>
        <w:rPr>
          <w:rFonts w:hint="eastAsia" w:ascii="Times New Roman" w:hAnsi="Times New Roman" w:eastAsia="方正仿宋_GBK" w:cs="Times New Roman"/>
          <w:color w:val="auto"/>
          <w:kern w:val="2"/>
          <w:sz w:val="32"/>
          <w:szCs w:val="32"/>
          <w:highlight w:val="none"/>
          <w:lang w:val="en-US" w:eastAsia="zh-CN" w:bidi="ar-SA"/>
        </w:rPr>
        <w:t>奖励，31</w:t>
      </w:r>
      <w:r>
        <w:rPr>
          <w:rFonts w:hint="default" w:ascii="Times New Roman" w:hAnsi="Times New Roman" w:eastAsia="方正仿宋_GBK" w:cs="Times New Roman"/>
          <w:color w:val="auto"/>
          <w:kern w:val="2"/>
          <w:sz w:val="32"/>
          <w:szCs w:val="32"/>
          <w:highlight w:val="none"/>
          <w:lang w:val="en-US" w:eastAsia="zh-CN" w:bidi="ar-SA"/>
        </w:rPr>
        <w:t>个集体、</w:t>
      </w:r>
      <w:r>
        <w:rPr>
          <w:rFonts w:hint="eastAsia" w:ascii="Times New Roman" w:hAnsi="Times New Roman" w:eastAsia="方正仿宋_GBK" w:cs="Times New Roman"/>
          <w:color w:val="auto"/>
          <w:kern w:val="2"/>
          <w:sz w:val="32"/>
          <w:szCs w:val="32"/>
          <w:highlight w:val="none"/>
          <w:lang w:val="en-US" w:eastAsia="zh-CN" w:bidi="ar-SA"/>
        </w:rPr>
        <w:t>35</w:t>
      </w:r>
      <w:r>
        <w:rPr>
          <w:rFonts w:hint="default" w:ascii="Times New Roman" w:hAnsi="Times New Roman" w:eastAsia="方正仿宋_GBK" w:cs="Times New Roman"/>
          <w:color w:val="auto"/>
          <w:kern w:val="2"/>
          <w:sz w:val="32"/>
          <w:szCs w:val="32"/>
          <w:highlight w:val="none"/>
          <w:lang w:val="en-US" w:eastAsia="zh-CN" w:bidi="ar-SA"/>
        </w:rPr>
        <w:t>名干警获得市级以上荣誉。</w:t>
      </w:r>
    </w:p>
    <w:p w14:paraId="56A87EA4">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Times New Roman" w:hAnsi="Times New Roman" w:eastAsia="方正仿宋_GBK" w:cs="Times New Roman"/>
          <w:b/>
          <w:bCs/>
          <w:color w:val="auto"/>
          <w:kern w:val="2"/>
          <w:sz w:val="32"/>
          <w:szCs w:val="32"/>
          <w:highlight w:val="none"/>
          <w:lang w:val="zh-CN"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2.</w:t>
      </w:r>
      <w:r>
        <w:rPr>
          <w:rFonts w:hint="default" w:ascii="Times New Roman" w:hAnsi="Times New Roman" w:eastAsia="方正仿宋_GBK" w:cs="Times New Roman"/>
          <w:b/>
          <w:bCs/>
          <w:color w:val="auto"/>
          <w:kern w:val="2"/>
          <w:sz w:val="32"/>
          <w:szCs w:val="32"/>
          <w:highlight w:val="none"/>
          <w:lang w:val="zh-CN" w:eastAsia="zh-CN" w:bidi="ar-SA"/>
        </w:rPr>
        <w:t>预算管理</w:t>
      </w:r>
      <w:r>
        <w:rPr>
          <w:rFonts w:hint="eastAsia" w:ascii="Times New Roman" w:hAnsi="Times New Roman" w:eastAsia="方正仿宋_GBK" w:cs="Times New Roman"/>
          <w:b/>
          <w:bCs/>
          <w:color w:val="auto"/>
          <w:kern w:val="2"/>
          <w:sz w:val="32"/>
          <w:szCs w:val="32"/>
          <w:highlight w:val="none"/>
          <w:lang w:val="zh-CN" w:eastAsia="zh-CN" w:bidi="ar-SA"/>
        </w:rPr>
        <w:t>。</w:t>
      </w:r>
    </w:p>
    <w:p w14:paraId="5BC32A87">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zh-CN" w:eastAsia="zh-CN" w:bidi="ar-SA"/>
        </w:rPr>
        <w:t>市检察院坚持预算编制与检察职能紧密衔接，编报科学、合理，符合法律法规、国民经济发展规划和市委、市政府决策，符合客观工作实际，切实可行。</w:t>
      </w:r>
    </w:p>
    <w:p w14:paraId="10DC0F23">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Times New Roman" w:hAnsi="Times New Roman" w:eastAsia="方正仿宋_GBK" w:cs="Times New Roman"/>
          <w:b/>
          <w:bCs/>
          <w:color w:val="auto"/>
          <w:kern w:val="2"/>
          <w:sz w:val="32"/>
          <w:szCs w:val="32"/>
          <w:highlight w:val="none"/>
          <w:lang w:val="zh-CN"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3.</w:t>
      </w:r>
      <w:r>
        <w:rPr>
          <w:rFonts w:hint="default" w:ascii="Times New Roman" w:hAnsi="Times New Roman" w:eastAsia="方正仿宋_GBK" w:cs="Times New Roman"/>
          <w:b/>
          <w:bCs/>
          <w:color w:val="auto"/>
          <w:kern w:val="2"/>
          <w:sz w:val="32"/>
          <w:szCs w:val="32"/>
          <w:highlight w:val="none"/>
          <w:lang w:val="zh-CN" w:eastAsia="zh-CN" w:bidi="ar-SA"/>
        </w:rPr>
        <w:t>财务管理</w:t>
      </w:r>
      <w:r>
        <w:rPr>
          <w:rFonts w:hint="eastAsia" w:ascii="Times New Roman" w:hAnsi="Times New Roman" w:eastAsia="方正仿宋_GBK" w:cs="Times New Roman"/>
          <w:b/>
          <w:bCs/>
          <w:color w:val="auto"/>
          <w:kern w:val="2"/>
          <w:sz w:val="32"/>
          <w:szCs w:val="32"/>
          <w:highlight w:val="none"/>
          <w:lang w:val="zh-CN" w:eastAsia="zh-CN" w:bidi="ar-SA"/>
        </w:rPr>
        <w:t>。</w:t>
      </w:r>
    </w:p>
    <w:p w14:paraId="4FDA0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zh-CN" w:eastAsia="zh-CN" w:bidi="ar-SA"/>
        </w:rPr>
        <w:t>02</w:t>
      </w:r>
      <w:r>
        <w:rPr>
          <w:rFonts w:hint="eastAsia" w:ascii="Times New Roman" w:hAnsi="Times New Roman" w:eastAsia="方正仿宋_GBK" w:cs="Times New Roman"/>
          <w:color w:val="auto"/>
          <w:kern w:val="2"/>
          <w:sz w:val="32"/>
          <w:szCs w:val="32"/>
          <w:highlight w:val="none"/>
          <w:lang w:val="en-US" w:eastAsia="zh-CN" w:bidi="ar-SA"/>
        </w:rPr>
        <w:t>4</w:t>
      </w:r>
      <w:r>
        <w:rPr>
          <w:rFonts w:hint="eastAsia" w:ascii="Times New Roman" w:hAnsi="Times New Roman" w:eastAsia="方正仿宋_GBK" w:cs="Times New Roman"/>
          <w:color w:val="auto"/>
          <w:kern w:val="2"/>
          <w:sz w:val="32"/>
          <w:szCs w:val="32"/>
          <w:highlight w:val="none"/>
          <w:lang w:val="zh-CN" w:eastAsia="zh-CN" w:bidi="ar-SA"/>
        </w:rPr>
        <w:t>年，市检察院不断修订完善工作制度、纪律制度、财务制度、内控制度等各种规章制度，牢固树立“过紧日子”思想，严控一般性支出，不断提高资金使用质效。市检察院在日常工作中严格执行各类规章制度，促进经济业务活动流程化、标准化，有效防控单位事务及管理中存在的各类风险。</w:t>
      </w:r>
    </w:p>
    <w:p w14:paraId="763C4716">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Times New Roman" w:hAnsi="Times New Roman" w:eastAsia="方正仿宋_GBK" w:cs="Times New Roman"/>
          <w:b/>
          <w:bCs/>
          <w:color w:val="auto"/>
          <w:kern w:val="2"/>
          <w:sz w:val="32"/>
          <w:szCs w:val="32"/>
          <w:highlight w:val="none"/>
          <w:lang w:val="zh-CN"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4.</w:t>
      </w:r>
      <w:r>
        <w:rPr>
          <w:rFonts w:hint="default" w:ascii="Times New Roman" w:hAnsi="Times New Roman" w:eastAsia="方正仿宋_GBK" w:cs="Times New Roman"/>
          <w:b/>
          <w:bCs/>
          <w:color w:val="auto"/>
          <w:kern w:val="2"/>
          <w:sz w:val="32"/>
          <w:szCs w:val="32"/>
          <w:highlight w:val="none"/>
          <w:lang w:val="zh-CN" w:eastAsia="zh-CN" w:bidi="ar-SA"/>
        </w:rPr>
        <w:t>资产管理</w:t>
      </w:r>
      <w:r>
        <w:rPr>
          <w:rFonts w:hint="eastAsia" w:ascii="Times New Roman" w:hAnsi="Times New Roman" w:eastAsia="方正仿宋_GBK" w:cs="Times New Roman"/>
          <w:b/>
          <w:bCs/>
          <w:color w:val="auto"/>
          <w:kern w:val="2"/>
          <w:sz w:val="32"/>
          <w:szCs w:val="32"/>
          <w:highlight w:val="none"/>
          <w:lang w:val="zh-CN" w:eastAsia="zh-CN" w:bidi="ar-SA"/>
        </w:rPr>
        <w:t>。</w:t>
      </w:r>
    </w:p>
    <w:p w14:paraId="7B2857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zh-CN" w:eastAsia="zh-CN" w:bidi="ar-SA"/>
        </w:rPr>
        <w:t>市检察院将资产管理责任到人，新购资产及时建卡入账。并对所有资产实行一物一卡、分类核算，确保账账、账证、账实相符，定期登记、定期检查，有章可循、有据可查。做到了资产管理规范、科学，各类装备统计全面、准确，上报无差错。</w:t>
      </w:r>
    </w:p>
    <w:p w14:paraId="1EE436A0">
      <w:pPr>
        <w:keepNext w:val="0"/>
        <w:keepLines w:val="0"/>
        <w:pageBreakBefore w:val="0"/>
        <w:widowControl/>
        <w:suppressAutoHyphens/>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Times New Roman" w:hAnsi="Times New Roman" w:eastAsia="方正仿宋_GBK" w:cs="Times New Roman"/>
          <w:b/>
          <w:bCs/>
          <w:color w:val="auto"/>
          <w:kern w:val="2"/>
          <w:sz w:val="32"/>
          <w:szCs w:val="32"/>
          <w:highlight w:val="none"/>
          <w:lang w:val="zh-CN"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5.</w:t>
      </w:r>
      <w:r>
        <w:rPr>
          <w:rFonts w:hint="default" w:ascii="Times New Roman" w:hAnsi="Times New Roman" w:eastAsia="方正仿宋_GBK" w:cs="Times New Roman"/>
          <w:b/>
          <w:bCs/>
          <w:color w:val="auto"/>
          <w:kern w:val="2"/>
          <w:sz w:val="32"/>
          <w:szCs w:val="32"/>
          <w:highlight w:val="none"/>
          <w:lang w:val="zh-CN" w:eastAsia="zh-CN" w:bidi="ar-SA"/>
        </w:rPr>
        <w:t>采购管理</w:t>
      </w:r>
      <w:r>
        <w:rPr>
          <w:rFonts w:hint="eastAsia" w:ascii="Times New Roman" w:hAnsi="Times New Roman" w:eastAsia="方正仿宋_GBK" w:cs="Times New Roman"/>
          <w:b/>
          <w:bCs/>
          <w:color w:val="auto"/>
          <w:kern w:val="2"/>
          <w:sz w:val="32"/>
          <w:szCs w:val="32"/>
          <w:highlight w:val="none"/>
          <w:lang w:val="zh-CN" w:eastAsia="zh-CN" w:bidi="ar-SA"/>
        </w:rPr>
        <w:t>。</w:t>
      </w:r>
    </w:p>
    <w:p w14:paraId="1681C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zh-CN" w:eastAsia="zh-CN" w:bidi="ar-SA"/>
        </w:rPr>
        <w:t>项目采购严格按规定实行政府采购、招标投标、项目监理和合同管理等管理制度，能公开采购的均由公共交易中心组织采购，涉密采购也严格按照程序执行，无违规采购现象。</w:t>
      </w:r>
    </w:p>
    <w:p w14:paraId="718C4A4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方正仿宋_GBK" w:cs="Times New Roman"/>
          <w:color w:val="auto"/>
          <w:kern w:val="2"/>
          <w:sz w:val="32"/>
          <w:szCs w:val="32"/>
          <w:highlight w:val="none"/>
          <w:lang w:val="zh-CN" w:eastAsia="zh-CN" w:bidi="ar-SA"/>
        </w:rPr>
        <w:t>填报以下数据，并</w:t>
      </w:r>
      <w:r>
        <w:rPr>
          <w:rFonts w:hint="default" w:ascii="Times New Roman" w:hAnsi="Times New Roman" w:eastAsia="方正仿宋_GBK" w:cs="Times New Roman"/>
          <w:color w:val="auto"/>
          <w:kern w:val="2"/>
          <w:sz w:val="32"/>
          <w:szCs w:val="32"/>
          <w:highlight w:val="none"/>
          <w:lang w:val="zh-CN" w:eastAsia="zh-CN" w:bidi="ar-SA"/>
        </w:rPr>
        <w:t>根据部门预算绩效评价指标体系</w:t>
      </w:r>
      <w:r>
        <w:rPr>
          <w:rFonts w:hint="eastAsia"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zh-CN" w:eastAsia="zh-CN" w:bidi="ar-SA"/>
        </w:rPr>
        <w:t>项目绩效</w:t>
      </w:r>
      <w:r>
        <w:rPr>
          <w:rFonts w:hint="eastAsia"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zh-CN" w:eastAsia="zh-CN" w:bidi="ar-SA"/>
        </w:rPr>
        <w:t>涉及</w:t>
      </w:r>
      <w:r>
        <w:rPr>
          <w:rFonts w:hint="eastAsia" w:ascii="Times New Roman" w:hAnsi="Times New Roman" w:eastAsia="方正仿宋_GBK" w:cs="Times New Roman"/>
          <w:color w:val="auto"/>
          <w:kern w:val="2"/>
          <w:sz w:val="32"/>
          <w:szCs w:val="32"/>
          <w:highlight w:val="none"/>
          <w:lang w:val="zh-CN" w:eastAsia="zh-CN" w:bidi="ar-SA"/>
        </w:rPr>
        <w:t>二、三级</w:t>
      </w:r>
      <w:r>
        <w:rPr>
          <w:rFonts w:hint="default" w:ascii="Times New Roman" w:hAnsi="Times New Roman" w:eastAsia="方正仿宋_GBK" w:cs="Times New Roman"/>
          <w:color w:val="auto"/>
          <w:kern w:val="2"/>
          <w:sz w:val="32"/>
          <w:szCs w:val="32"/>
          <w:highlight w:val="none"/>
          <w:lang w:val="zh-CN" w:eastAsia="zh-CN" w:bidi="ar-SA"/>
        </w:rPr>
        <w:t>指标进行</w:t>
      </w:r>
      <w:r>
        <w:rPr>
          <w:rFonts w:hint="eastAsia" w:ascii="Times New Roman" w:hAnsi="Times New Roman" w:eastAsia="方正仿宋_GBK" w:cs="Times New Roman"/>
          <w:color w:val="auto"/>
          <w:kern w:val="2"/>
          <w:sz w:val="32"/>
          <w:szCs w:val="32"/>
          <w:highlight w:val="none"/>
          <w:lang w:val="zh-CN" w:eastAsia="zh-CN" w:bidi="ar-SA"/>
        </w:rPr>
        <w:t>逐项</w:t>
      </w:r>
      <w:r>
        <w:rPr>
          <w:rFonts w:hint="default" w:ascii="Times New Roman" w:hAnsi="Times New Roman" w:eastAsia="方正仿宋_GBK" w:cs="Times New Roman"/>
          <w:color w:val="auto"/>
          <w:kern w:val="2"/>
          <w:sz w:val="32"/>
          <w:szCs w:val="32"/>
          <w:highlight w:val="none"/>
          <w:lang w:val="zh-CN" w:eastAsia="zh-CN" w:bidi="ar-SA"/>
        </w:rPr>
        <w:t>绩效分析</w:t>
      </w:r>
      <w:r>
        <w:rPr>
          <w:rFonts w:hint="eastAsia" w:ascii="Times New Roman" w:hAnsi="Times New Roman" w:eastAsia="方正仿宋_GBK" w:cs="Times New Roman"/>
          <w:color w:val="auto"/>
          <w:kern w:val="2"/>
          <w:sz w:val="32"/>
          <w:szCs w:val="32"/>
          <w:highlight w:val="none"/>
          <w:lang w:val="zh-CN" w:eastAsia="zh-CN" w:bidi="ar-SA"/>
        </w:rPr>
        <w:t>并评分</w:t>
      </w:r>
      <w:r>
        <w:rPr>
          <w:rFonts w:hint="default" w:ascii="Times New Roman" w:hAnsi="Times New Roman" w:eastAsia="方正仿宋_GBK" w:cs="Times New Roman"/>
          <w:color w:val="auto"/>
          <w:kern w:val="2"/>
          <w:sz w:val="32"/>
          <w:szCs w:val="32"/>
          <w:highlight w:val="none"/>
          <w:lang w:val="zh-CN" w:eastAsia="zh-CN" w:bidi="ar-SA"/>
        </w:rPr>
        <w:t>，依次包括项目</w:t>
      </w:r>
      <w:r>
        <w:rPr>
          <w:rFonts w:hint="default" w:ascii="Times New Roman" w:hAnsi="Times New Roman" w:eastAsia="方正仿宋_GBK" w:cs="Times New Roman"/>
          <w:color w:val="auto"/>
          <w:kern w:val="2"/>
          <w:sz w:val="32"/>
          <w:szCs w:val="32"/>
          <w:highlight w:val="none"/>
          <w:lang w:val="en-US" w:eastAsia="zh-CN" w:bidi="ar-SA"/>
        </w:rPr>
        <w:t>决策、项目执行、目标实现等情况</w:t>
      </w:r>
      <w:r>
        <w:rPr>
          <w:rFonts w:hint="eastAsia" w:ascii="Times New Roman" w:hAnsi="Times New Roman" w:eastAsia="方正仿宋_GBK" w:cs="Times New Roman"/>
          <w:color w:val="auto"/>
          <w:kern w:val="2"/>
          <w:sz w:val="32"/>
          <w:szCs w:val="32"/>
          <w:highlight w:val="none"/>
          <w:lang w:val="en-US" w:eastAsia="zh-CN" w:bidi="ar-SA"/>
        </w:rPr>
        <w:t>。</w:t>
      </w:r>
    </w:p>
    <w:p w14:paraId="78A2103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常年项目绩效分析。</w:t>
      </w:r>
      <w:r>
        <w:rPr>
          <w:rFonts w:hint="default" w:ascii="Times New Roman" w:hAnsi="Times New Roman" w:eastAsia="方正仿宋_GBK" w:cs="Times New Roman"/>
          <w:color w:val="auto"/>
          <w:kern w:val="2"/>
          <w:sz w:val="32"/>
          <w:szCs w:val="32"/>
          <w:highlight w:val="none"/>
          <w:lang w:val="zh-CN" w:eastAsia="zh-CN" w:bidi="ar-SA"/>
        </w:rPr>
        <w:t>该类项目总数</w:t>
      </w:r>
      <w:r>
        <w:rPr>
          <w:rFonts w:hint="eastAsia" w:ascii="Times New Roman" w:hAnsi="Times New Roman" w:eastAsia="方正仿宋_GBK" w:cs="Times New Roman"/>
          <w:color w:val="auto"/>
          <w:kern w:val="2"/>
          <w:sz w:val="32"/>
          <w:szCs w:val="32"/>
          <w:highlight w:val="none"/>
          <w:lang w:val="en-US" w:eastAsia="zh-CN" w:bidi="ar-SA"/>
        </w:rPr>
        <w:t>14</w:t>
      </w:r>
      <w:r>
        <w:rPr>
          <w:rFonts w:hint="default" w:ascii="Times New Roman" w:hAnsi="Times New Roman" w:eastAsia="方正仿宋_GBK" w:cs="Times New Roman"/>
          <w:color w:val="auto"/>
          <w:kern w:val="2"/>
          <w:sz w:val="32"/>
          <w:szCs w:val="32"/>
          <w:highlight w:val="none"/>
          <w:lang w:val="zh-CN" w:eastAsia="zh-CN" w:bidi="ar-SA"/>
        </w:rPr>
        <w:t>个，涉及预算总金额</w:t>
      </w:r>
      <w:r>
        <w:rPr>
          <w:rFonts w:hint="eastAsia" w:ascii="Times New Roman" w:hAnsi="Times New Roman" w:eastAsia="方正仿宋_GBK" w:cs="Times New Roman"/>
          <w:color w:val="auto"/>
          <w:kern w:val="2"/>
          <w:sz w:val="32"/>
          <w:szCs w:val="32"/>
          <w:highlight w:val="none"/>
          <w:lang w:val="en-US" w:eastAsia="zh-CN" w:bidi="ar-SA"/>
        </w:rPr>
        <w:t>423.81</w:t>
      </w:r>
      <w:r>
        <w:rPr>
          <w:rFonts w:hint="default" w:ascii="Times New Roman" w:hAnsi="Times New Roman" w:eastAsia="方正仿宋_GBK" w:cs="Times New Roman"/>
          <w:color w:val="auto"/>
          <w:kern w:val="2"/>
          <w:sz w:val="32"/>
          <w:szCs w:val="32"/>
          <w:highlight w:val="none"/>
          <w:lang w:val="zh-CN" w:eastAsia="zh-CN" w:bidi="ar-SA"/>
        </w:rPr>
        <w:t>万元，1</w:t>
      </w:r>
      <w:r>
        <w:rPr>
          <w:rFonts w:hint="eastAsia"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月预算执行总体进度为</w:t>
      </w:r>
      <w:r>
        <w:rPr>
          <w:rFonts w:hint="eastAsia" w:ascii="Times New Roman" w:hAnsi="Times New Roman" w:eastAsia="方正仿宋_GBK" w:cs="Times New Roman"/>
          <w:color w:val="auto"/>
          <w:kern w:val="2"/>
          <w:sz w:val="32"/>
          <w:szCs w:val="32"/>
          <w:highlight w:val="none"/>
          <w:lang w:val="en-US" w:eastAsia="zh-CN" w:bidi="ar-SA"/>
        </w:rPr>
        <w:t>100</w:t>
      </w:r>
      <w:r>
        <w:rPr>
          <w:rFonts w:hint="default" w:ascii="Times New Roman" w:hAnsi="Times New Roman" w:eastAsia="方正仿宋_GBK" w:cs="Times New Roman"/>
          <w:color w:val="auto"/>
          <w:kern w:val="2"/>
          <w:sz w:val="32"/>
          <w:szCs w:val="32"/>
          <w:highlight w:val="none"/>
          <w:lang w:val="zh-CN" w:eastAsia="zh-CN" w:bidi="ar-SA"/>
        </w:rPr>
        <w:t>%，其中：预算结余率大于</w:t>
      </w:r>
      <w:r>
        <w:rPr>
          <w:rFonts w:hint="default" w:ascii="Times New Roman" w:hAnsi="Times New Roman" w:eastAsia="方正仿宋_GBK" w:cs="Times New Roman"/>
          <w:color w:val="auto"/>
          <w:kern w:val="2"/>
          <w:sz w:val="32"/>
          <w:szCs w:val="32"/>
          <w:highlight w:val="none"/>
          <w:lang w:val="en-US" w:eastAsia="zh-CN" w:bidi="ar-SA"/>
        </w:rPr>
        <w:t>10%</w:t>
      </w:r>
      <w:r>
        <w:rPr>
          <w:rFonts w:hint="default" w:ascii="Times New Roman" w:hAnsi="Times New Roman" w:eastAsia="方正仿宋_GBK" w:cs="Times New Roman"/>
          <w:color w:val="auto"/>
          <w:kern w:val="2"/>
          <w:sz w:val="32"/>
          <w:szCs w:val="32"/>
          <w:highlight w:val="none"/>
          <w:lang w:val="zh-CN" w:eastAsia="zh-CN" w:bidi="ar-SA"/>
        </w:rPr>
        <w:t>的项目共计</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zh-CN" w:eastAsia="zh-CN" w:bidi="ar-SA"/>
        </w:rPr>
        <w:t>个。</w:t>
      </w:r>
    </w:p>
    <w:p w14:paraId="17C2465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198.12</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1341F2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en-US" w:eastAsia="zh-CN" w:bidi="ar-SA"/>
        </w:rPr>
        <w:t>1.</w:t>
      </w:r>
      <w:r>
        <w:rPr>
          <w:rFonts w:hint="eastAsia" w:ascii="Times New Roman" w:hAnsi="Times New Roman" w:eastAsia="方正仿宋_GBK" w:cs="Times New Roman"/>
          <w:color w:val="auto"/>
          <w:kern w:val="2"/>
          <w:sz w:val="32"/>
          <w:szCs w:val="32"/>
          <w:highlight w:val="none"/>
          <w:lang w:val="zh-CN" w:eastAsia="zh-CN" w:bidi="ar-SA"/>
        </w:rPr>
        <w:t>项目决策。</w:t>
      </w:r>
      <w:r>
        <w:rPr>
          <w:rFonts w:hint="default" w:ascii="Times New Roman" w:hAnsi="Times New Roman" w:eastAsia="方正仿宋_GBK" w:cs="Times New Roman"/>
          <w:color w:val="auto"/>
          <w:kern w:val="2"/>
          <w:sz w:val="32"/>
          <w:szCs w:val="32"/>
          <w:highlight w:val="none"/>
          <w:lang w:val="zh-CN" w:eastAsia="zh-CN" w:bidi="ar-SA"/>
        </w:rPr>
        <w:t>新设立项目需开展事前绩效评估，重点论证立项必要性、投入经济性、绩效目标合理性、实施方案可行性四大维度，并提交《事前绩效评估报告》作为申报附件。</w:t>
      </w:r>
    </w:p>
    <w:p w14:paraId="70208A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en-US" w:eastAsia="zh-CN" w:bidi="ar-SA"/>
        </w:rPr>
        <w:t>2.项目执行</w:t>
      </w:r>
      <w:r>
        <w:rPr>
          <w:rFonts w:hint="eastAsia"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zh-CN" w:eastAsia="zh-CN" w:bidi="ar-SA"/>
        </w:rPr>
        <w:t>围绕资金执行同向、项目调整、执行结果进行绩效分析。按照预定的绩效目标、经费规定用途，对资金使用实施管理，全力促进各项检察工作有序推进，资金主要用于办案及业务装备购置等。</w:t>
      </w:r>
    </w:p>
    <w:p w14:paraId="1B5F1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zh-CN" w:eastAsia="zh-CN" w:bidi="ar-SA"/>
        </w:rPr>
        <w:t>目标实现。</w:t>
      </w:r>
      <w:r>
        <w:rPr>
          <w:rFonts w:hint="default" w:ascii="Times New Roman" w:hAnsi="Times New Roman" w:eastAsia="方正仿宋_GBK" w:cs="Times New Roman"/>
          <w:color w:val="auto"/>
          <w:kern w:val="2"/>
          <w:sz w:val="32"/>
          <w:szCs w:val="32"/>
          <w:highlight w:val="none"/>
          <w:lang w:val="zh-CN" w:eastAsia="zh-CN" w:bidi="ar-SA"/>
        </w:rPr>
        <w:t>引导和支持基层检察机关开展业务工作，加大对基层检察机关办案和装备资金的投入力度。提高办案和装备经费保障水平。引导基层检察机关加强经费保障，开展服务大局、强化法律监督、助推社会治理等方面工作。推动“四大检察”、“十大业务”全面协调充分发展。</w:t>
      </w:r>
    </w:p>
    <w:p w14:paraId="2A16A8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3546E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eastAsia" w:ascii="Times New Roman" w:hAnsi="Times New Roman" w:eastAsia="方正仿宋_GBK" w:cs="Times New Roman"/>
          <w:b/>
          <w:bCs/>
          <w:color w:val="auto"/>
          <w:kern w:val="2"/>
          <w:sz w:val="32"/>
          <w:szCs w:val="32"/>
          <w:highlight w:val="none"/>
          <w:lang w:val="zh-CN" w:eastAsia="zh-CN" w:bidi="ar-SA"/>
        </w:rPr>
        <w:t>一是</w:t>
      </w:r>
      <w:r>
        <w:rPr>
          <w:rFonts w:hint="eastAsia" w:ascii="Times New Roman" w:hAnsi="Times New Roman" w:eastAsia="方正仿宋_GBK" w:cs="Times New Roman"/>
          <w:color w:val="auto"/>
          <w:kern w:val="2"/>
          <w:sz w:val="32"/>
          <w:szCs w:val="32"/>
          <w:highlight w:val="none"/>
          <w:lang w:val="zh-CN" w:eastAsia="zh-CN" w:bidi="ar-SA"/>
        </w:rPr>
        <w:t>对部门整体支出、转移支付开展绩效自评，并将绩效评价作为次年政策优化、改进管理、预算调整、项目调整等的重要支撑。</w:t>
      </w:r>
      <w:r>
        <w:rPr>
          <w:rFonts w:hint="eastAsia" w:ascii="Times New Roman" w:hAnsi="Times New Roman" w:eastAsia="方正仿宋_GBK" w:cs="Times New Roman"/>
          <w:b/>
          <w:bCs/>
          <w:color w:val="auto"/>
          <w:kern w:val="2"/>
          <w:sz w:val="32"/>
          <w:szCs w:val="32"/>
          <w:highlight w:val="none"/>
          <w:lang w:val="zh-CN" w:eastAsia="zh-CN" w:bidi="ar-SA"/>
        </w:rPr>
        <w:t>二是</w:t>
      </w:r>
      <w:r>
        <w:rPr>
          <w:rFonts w:hint="eastAsia" w:ascii="Times New Roman" w:hAnsi="Times New Roman" w:eastAsia="方正仿宋_GBK" w:cs="Times New Roman"/>
          <w:color w:val="auto"/>
          <w:kern w:val="2"/>
          <w:sz w:val="32"/>
          <w:szCs w:val="32"/>
          <w:highlight w:val="none"/>
          <w:lang w:val="zh-CN" w:eastAsia="zh-CN" w:bidi="ar-SA"/>
        </w:rPr>
        <w:t>根据市财政局相关工作要求，并按照“收支真实、数额准确、内容完整、报送及时”的要求，在门户网站上公开部门预决算等信息，主动接受社会监督，提高信息透明度。</w:t>
      </w:r>
      <w:r>
        <w:rPr>
          <w:rFonts w:hint="eastAsia" w:ascii="Times New Roman" w:hAnsi="Times New Roman" w:eastAsia="方正仿宋_GBK" w:cs="Times New Roman"/>
          <w:b/>
          <w:bCs/>
          <w:color w:val="auto"/>
          <w:kern w:val="2"/>
          <w:sz w:val="32"/>
          <w:szCs w:val="32"/>
          <w:highlight w:val="none"/>
          <w:lang w:val="zh-CN" w:eastAsia="zh-CN" w:bidi="ar-SA"/>
        </w:rPr>
        <w:t>三是</w:t>
      </w:r>
      <w:r>
        <w:rPr>
          <w:rFonts w:hint="eastAsia" w:ascii="Times New Roman" w:hAnsi="Times New Roman" w:eastAsia="方正仿宋_GBK" w:cs="Times New Roman"/>
          <w:color w:val="auto"/>
          <w:kern w:val="2"/>
          <w:sz w:val="32"/>
          <w:szCs w:val="32"/>
          <w:highlight w:val="none"/>
          <w:lang w:val="zh-CN" w:eastAsia="zh-CN" w:bidi="ar-SA"/>
        </w:rPr>
        <w:t>强化监督制约。市检察院在监督制约上始终坚持“内”“外”联动，主动加强内部监督工作的同时，积极配合外部审计工作，对存在的问题及时纠正，全面整改到位。</w:t>
      </w:r>
    </w:p>
    <w:p w14:paraId="5C4271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00C883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7AF93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市检察院认真贯彻执行党中央、省、市有关方针政策和法律规定，不断建立健全内控制度，加强财务管理和项目管理，较好地完成了部门整体目标任务。市检察院2024年整体支出绩效自评得分93分，具体为：履职效能19分，预算管理18分，财务管理10分，资产管理8分，采购管理6分，项目支出评价33分，加分项0分，减分项1分。</w:t>
      </w:r>
    </w:p>
    <w:p w14:paraId="25405889">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27E94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zh-CN" w:eastAsia="zh-CN" w:bidi="ar-SA"/>
        </w:rPr>
        <w:t>无。</w:t>
      </w:r>
    </w:p>
    <w:p w14:paraId="0C0CEA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92" w:name="_Hlk110546638"/>
    </w:p>
    <w:bookmarkEnd w:id="92"/>
    <w:p w14:paraId="25B28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zh-CN" w:eastAsia="zh-CN" w:bidi="ar-SA"/>
        </w:rPr>
        <w:t>无。</w:t>
      </w:r>
    </w:p>
    <w:p w14:paraId="05D81BD3">
      <w:pPr>
        <w:pStyle w:val="2"/>
        <w:rPr>
          <w:rFonts w:hint="eastAsia" w:ascii="Times New Roman" w:hAnsi="Times New Roman" w:eastAsia="方正仿宋_GBK" w:cs="Times New Roman"/>
          <w:color w:val="auto"/>
          <w:kern w:val="2"/>
          <w:sz w:val="32"/>
          <w:szCs w:val="32"/>
          <w:highlight w:val="none"/>
          <w:lang w:val="zh-CN" w:eastAsia="zh-CN" w:bidi="ar-SA"/>
        </w:rPr>
      </w:pPr>
    </w:p>
    <w:p w14:paraId="21DEEB9E">
      <w:pPr>
        <w:pStyle w:val="2"/>
        <w:rPr>
          <w:rFonts w:hint="eastAsia" w:ascii="Times New Roman" w:hAnsi="Times New Roman" w:eastAsia="方正仿宋_GBK" w:cs="Times New Roman"/>
          <w:color w:val="auto"/>
          <w:kern w:val="2"/>
          <w:sz w:val="32"/>
          <w:szCs w:val="32"/>
          <w:highlight w:val="none"/>
          <w:lang w:val="zh-CN" w:eastAsia="zh-CN" w:bidi="ar-SA"/>
        </w:rPr>
      </w:pPr>
    </w:p>
    <w:p w14:paraId="3C96A978">
      <w:pPr>
        <w:pStyle w:val="2"/>
        <w:rPr>
          <w:rFonts w:hint="eastAsia" w:ascii="Times New Roman" w:hAnsi="Times New Roman" w:eastAsia="方正仿宋_GBK" w:cs="Times New Roman"/>
          <w:color w:val="auto"/>
          <w:kern w:val="2"/>
          <w:sz w:val="32"/>
          <w:szCs w:val="32"/>
          <w:highlight w:val="none"/>
          <w:lang w:val="zh-CN" w:eastAsia="zh-CN" w:bidi="ar-SA"/>
        </w:rPr>
      </w:pPr>
    </w:p>
    <w:p w14:paraId="61B06CA7">
      <w:pPr>
        <w:pStyle w:val="2"/>
        <w:rPr>
          <w:rFonts w:hint="eastAsia" w:ascii="Times New Roman" w:hAnsi="Times New Roman" w:eastAsia="方正仿宋_GBK" w:cs="Times New Roman"/>
          <w:color w:val="auto"/>
          <w:kern w:val="2"/>
          <w:sz w:val="32"/>
          <w:szCs w:val="32"/>
          <w:highlight w:val="none"/>
          <w:lang w:val="zh-CN" w:eastAsia="zh-CN" w:bidi="ar-SA"/>
        </w:rPr>
      </w:pPr>
    </w:p>
    <w:p w14:paraId="36710049">
      <w:pPr>
        <w:pStyle w:val="2"/>
        <w:rPr>
          <w:rFonts w:hint="eastAsia" w:ascii="Times New Roman" w:hAnsi="Times New Roman" w:eastAsia="方正仿宋_GBK" w:cs="Times New Roman"/>
          <w:color w:val="auto"/>
          <w:kern w:val="2"/>
          <w:sz w:val="32"/>
          <w:szCs w:val="32"/>
          <w:highlight w:val="none"/>
          <w:lang w:val="zh-CN" w:eastAsia="zh-CN" w:bidi="ar-SA"/>
        </w:rPr>
      </w:pPr>
    </w:p>
    <w:p w14:paraId="193CC7DD">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hAnsi="Times New Roman" w:eastAsia="仿宋_GB2312" w:cs="Times New Roman"/>
          <w:kern w:val="2"/>
          <w:sz w:val="32"/>
          <w:szCs w:val="32"/>
          <w:highlight w:val="none"/>
          <w:u w:val="none"/>
          <w:lang w:val="en-US" w:eastAsia="zh-CN" w:bidi="ar"/>
        </w:rPr>
        <w:t>部门预算项目支出绩效自评表（2024年度）</w:t>
      </w:r>
    </w:p>
    <w:p w14:paraId="380F05FD">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（注：按照绩效自评工作安排，各部门已在预算管理一体化系统绩效自评模块上传“部门预算项目支出绩效自评表（2024年度）”，该表格应作为附表予以公开）</w:t>
      </w:r>
    </w:p>
    <w:tbl>
      <w:tblPr>
        <w:tblStyle w:val="16"/>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38"/>
        <w:gridCol w:w="888"/>
        <w:gridCol w:w="1310"/>
        <w:gridCol w:w="396"/>
        <w:gridCol w:w="772"/>
        <w:gridCol w:w="756"/>
        <w:gridCol w:w="846"/>
        <w:gridCol w:w="396"/>
        <w:gridCol w:w="396"/>
        <w:gridCol w:w="1126"/>
      </w:tblGrid>
      <w:tr w14:paraId="71A5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02E7EC">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173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DE7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6FA6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51190024T000010736368-2024年年初部门预算特定目标类项目120001市检察院特情费（涉密）</w:t>
            </w:r>
          </w:p>
        </w:tc>
      </w:tr>
      <w:tr w14:paraId="3263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C05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571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12E9133B">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8A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1E2D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732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645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70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6A851CCE">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7887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10F9">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7C37">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1799A7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开展司法工作人员相关职务犯罪线索收集、初核、调查核实、立案侦查。</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712D5C83">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严格按照法律规定履职，开展司法工作人员相关职务犯罪线索收集、核查及立案侦查工作，查办司法人员职务犯罪案件1件，核查线索20条，有力打击了犯罪，取得了良好的社会效益。</w:t>
            </w:r>
          </w:p>
        </w:tc>
      </w:tr>
      <w:tr w14:paraId="6FA7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A8C7">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62214D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6A8C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2024年立案查办司法工作人员职务犯罪案件1件，核查线索20条，其中调查核实纪委监委移交线索失10条。</w:t>
            </w:r>
          </w:p>
        </w:tc>
      </w:tr>
      <w:tr w14:paraId="2437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66A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9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4C1E6C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7AB9F9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5371B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76DB8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16DAA3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6D3BA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08FC5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DC2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746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D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80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5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70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C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F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2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E2904">
            <w:pPr>
              <w:rPr>
                <w:rFonts w:hint="default" w:ascii="黑体" w:hAnsi="黑体" w:eastAsia="黑体" w:cs="黑体"/>
                <w:i w:val="0"/>
                <w:color w:val="000000"/>
                <w:sz w:val="18"/>
                <w:szCs w:val="18"/>
                <w:u w:val="none"/>
              </w:rPr>
            </w:pPr>
          </w:p>
        </w:tc>
      </w:tr>
      <w:tr w14:paraId="58D0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63F2">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1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A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2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2EF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2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8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CA7A">
            <w:pPr>
              <w:rPr>
                <w:rFonts w:hint="default" w:ascii="黑体" w:hAnsi="黑体" w:eastAsia="黑体" w:cs="黑体"/>
                <w:i w:val="0"/>
                <w:color w:val="000000"/>
                <w:sz w:val="18"/>
                <w:szCs w:val="18"/>
                <w:u w:val="none"/>
              </w:rPr>
            </w:pPr>
          </w:p>
        </w:tc>
      </w:tr>
      <w:tr w14:paraId="23AE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7587">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E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D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AB8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C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81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B07A">
            <w:pPr>
              <w:rPr>
                <w:rFonts w:hint="default" w:ascii="黑体" w:hAnsi="黑体" w:eastAsia="黑体" w:cs="黑体"/>
                <w:i w:val="0"/>
                <w:color w:val="000000"/>
                <w:sz w:val="18"/>
                <w:szCs w:val="18"/>
                <w:u w:val="none"/>
              </w:rPr>
            </w:pPr>
          </w:p>
        </w:tc>
      </w:tr>
      <w:tr w14:paraId="77C7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2D45">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D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69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F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D4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7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3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09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FF28">
            <w:pPr>
              <w:rPr>
                <w:rFonts w:hint="default" w:ascii="黑体" w:hAnsi="黑体" w:eastAsia="黑体" w:cs="黑体"/>
                <w:i w:val="0"/>
                <w:color w:val="000000"/>
                <w:sz w:val="18"/>
                <w:szCs w:val="18"/>
                <w:u w:val="none"/>
              </w:rPr>
            </w:pPr>
          </w:p>
        </w:tc>
      </w:tr>
      <w:tr w14:paraId="426C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A1B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C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D15D">
            <w:pPr>
              <w:jc w:val="center"/>
              <w:rPr>
                <w:rFonts w:hint="eastAsia"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4708">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C5327">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F13D">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8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8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B507">
            <w:pPr>
              <w:rPr>
                <w:rFonts w:hint="default" w:ascii="黑体" w:hAnsi="黑体" w:eastAsia="黑体" w:cs="黑体"/>
                <w:i w:val="0"/>
                <w:color w:val="000000"/>
                <w:sz w:val="18"/>
                <w:szCs w:val="18"/>
                <w:u w:val="none"/>
              </w:rPr>
            </w:pPr>
          </w:p>
        </w:tc>
      </w:tr>
      <w:tr w14:paraId="5F7A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0A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3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7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8C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047DA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A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5A673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039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C99C8">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F0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A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4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圆满完成各项办案任务</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0A58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9C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808D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C5036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3FC5">
            <w:pPr>
              <w:jc w:val="center"/>
              <w:rPr>
                <w:rFonts w:hint="default" w:ascii="微软雅黑" w:hAnsi="微软雅黑" w:eastAsia="微软雅黑" w:cs="微软雅黑"/>
                <w:i w:val="0"/>
                <w:color w:val="000000"/>
                <w:sz w:val="16"/>
                <w:szCs w:val="16"/>
                <w:u w:val="none"/>
              </w:rPr>
            </w:pPr>
          </w:p>
        </w:tc>
      </w:tr>
      <w:tr w14:paraId="71D6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D90C">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0740">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DB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2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特情经费发放及时性</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1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B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4BC5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903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FC4F8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2D6E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FC4">
            <w:pPr>
              <w:jc w:val="center"/>
              <w:rPr>
                <w:rFonts w:hint="default" w:ascii="微软雅黑" w:hAnsi="微软雅黑" w:eastAsia="微软雅黑" w:cs="微软雅黑"/>
                <w:i w:val="0"/>
                <w:color w:val="000000"/>
                <w:sz w:val="16"/>
                <w:szCs w:val="16"/>
                <w:u w:val="none"/>
              </w:rPr>
            </w:pPr>
          </w:p>
        </w:tc>
      </w:tr>
      <w:tr w14:paraId="113D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4CA9">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5B1A">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9390">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6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2024年度前完成目标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3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DF2D5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F781">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6C00F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4A76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DF75">
            <w:pPr>
              <w:jc w:val="center"/>
              <w:rPr>
                <w:rFonts w:hint="default" w:ascii="微软雅黑" w:hAnsi="微软雅黑" w:eastAsia="微软雅黑" w:cs="微软雅黑"/>
                <w:i w:val="0"/>
                <w:color w:val="000000"/>
                <w:sz w:val="16"/>
                <w:szCs w:val="16"/>
                <w:u w:val="none"/>
              </w:rPr>
            </w:pPr>
          </w:p>
        </w:tc>
      </w:tr>
      <w:tr w14:paraId="3EB5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58CA">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088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F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打击违法犯罪、维护社会稳定</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A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8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BDE9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B5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A9CE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6243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5B88">
            <w:pPr>
              <w:jc w:val="center"/>
              <w:rPr>
                <w:rFonts w:hint="default" w:ascii="微软雅黑" w:hAnsi="微软雅黑" w:eastAsia="微软雅黑" w:cs="微软雅黑"/>
                <w:i w:val="0"/>
                <w:color w:val="000000"/>
                <w:sz w:val="16"/>
                <w:szCs w:val="16"/>
                <w:u w:val="none"/>
              </w:rPr>
            </w:pPr>
          </w:p>
        </w:tc>
      </w:tr>
      <w:tr w14:paraId="640C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CE4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90F2">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06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0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侦破案件效率进一步提高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A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BA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AB40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0B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E41A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A866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6E1">
            <w:pPr>
              <w:jc w:val="center"/>
              <w:rPr>
                <w:rFonts w:hint="default" w:ascii="微软雅黑" w:hAnsi="微软雅黑" w:eastAsia="微软雅黑" w:cs="微软雅黑"/>
                <w:i w:val="0"/>
                <w:color w:val="000000"/>
                <w:sz w:val="16"/>
                <w:szCs w:val="16"/>
                <w:u w:val="none"/>
              </w:rPr>
            </w:pPr>
          </w:p>
        </w:tc>
      </w:tr>
      <w:tr w14:paraId="3EF1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C774">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748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D8DA">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1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社会治安综合治理进一步加强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AC67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5B4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FFB43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2817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8D8C">
            <w:pPr>
              <w:jc w:val="center"/>
              <w:rPr>
                <w:rFonts w:hint="default" w:ascii="微软雅黑" w:hAnsi="微软雅黑" w:eastAsia="微软雅黑" w:cs="微软雅黑"/>
                <w:i w:val="0"/>
                <w:color w:val="000000"/>
                <w:sz w:val="16"/>
                <w:szCs w:val="16"/>
                <w:u w:val="none"/>
              </w:rPr>
            </w:pPr>
          </w:p>
        </w:tc>
      </w:tr>
      <w:tr w14:paraId="366A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FC83">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81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9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74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特情人员满意度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4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A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172C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D68D">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F253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9E9E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7098">
            <w:pPr>
              <w:jc w:val="center"/>
              <w:rPr>
                <w:rFonts w:hint="default" w:ascii="微软雅黑" w:hAnsi="微软雅黑" w:eastAsia="微软雅黑" w:cs="微软雅黑"/>
                <w:i w:val="0"/>
                <w:color w:val="000000"/>
                <w:sz w:val="16"/>
                <w:szCs w:val="16"/>
                <w:u w:val="none"/>
              </w:rPr>
            </w:pPr>
          </w:p>
        </w:tc>
      </w:tr>
      <w:tr w14:paraId="0120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968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E7FC">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EAE4">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1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办案人员满意度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F3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0DC9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8C55">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A0E0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1E0D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E93">
            <w:pPr>
              <w:jc w:val="center"/>
              <w:rPr>
                <w:rFonts w:hint="default" w:ascii="微软雅黑" w:hAnsi="微软雅黑" w:eastAsia="微软雅黑" w:cs="微软雅黑"/>
                <w:i w:val="0"/>
                <w:color w:val="000000"/>
                <w:sz w:val="16"/>
                <w:szCs w:val="16"/>
                <w:u w:val="none"/>
              </w:rPr>
            </w:pPr>
          </w:p>
        </w:tc>
      </w:tr>
      <w:tr w14:paraId="438A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55E0">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B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执行特殊勤务必要开支</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9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FD08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01DD">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CCBE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E1968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6C1E">
            <w:pPr>
              <w:jc w:val="center"/>
              <w:rPr>
                <w:rFonts w:hint="default" w:ascii="微软雅黑" w:hAnsi="微软雅黑" w:eastAsia="微软雅黑" w:cs="微软雅黑"/>
                <w:i w:val="0"/>
                <w:color w:val="000000"/>
                <w:sz w:val="16"/>
                <w:szCs w:val="16"/>
                <w:u w:val="none"/>
              </w:rPr>
            </w:pPr>
          </w:p>
        </w:tc>
      </w:tr>
      <w:tr w14:paraId="6EF6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48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7AE50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27755B4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61472A8F">
            <w:pPr>
              <w:rPr>
                <w:rFonts w:hint="eastAsia" w:ascii="宋体" w:hAnsi="宋体" w:eastAsia="宋体" w:cs="宋体"/>
                <w:i w:val="0"/>
                <w:color w:val="000000"/>
                <w:sz w:val="18"/>
                <w:szCs w:val="18"/>
                <w:u w:val="none"/>
              </w:rPr>
            </w:pPr>
          </w:p>
        </w:tc>
      </w:tr>
      <w:tr w14:paraId="6C43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6C10A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2DEB76">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该项目自评得分92.5分。该项目整体实施情况优秀，达到了预期效果和社会效益。项目资金管理规范，资金使用质效高。</w:t>
            </w:r>
          </w:p>
        </w:tc>
      </w:tr>
      <w:tr w14:paraId="5577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61A03E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8F691">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经济成本指标设置过高，造成资金闲置，利用效率不高。</w:t>
            </w:r>
          </w:p>
        </w:tc>
      </w:tr>
      <w:tr w14:paraId="069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3C30E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5798C2">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监理成本指标动态调整机制，根据内外部环境变化，及时对指标进行修订和完善，使指标始终保持科学性和有效性。</w:t>
            </w:r>
          </w:p>
        </w:tc>
      </w:tr>
      <w:tr w14:paraId="5B05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6EE15">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2F631C87">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14:paraId="4077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tcBorders>
              <w:top w:val="nil"/>
              <w:left w:val="nil"/>
              <w:bottom w:val="nil"/>
              <w:right w:val="nil"/>
            </w:tcBorders>
            <w:shd w:val="clear" w:color="auto" w:fill="auto"/>
            <w:vAlign w:val="center"/>
          </w:tcPr>
          <w:p w14:paraId="25BDE2C6">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vAlign w:val="center"/>
          </w:tcPr>
          <w:p w14:paraId="34B848BA">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vAlign w:val="center"/>
          </w:tcPr>
          <w:p w14:paraId="4CCDD528">
            <w:pPr>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auto"/>
            <w:vAlign w:val="center"/>
          </w:tcPr>
          <w:p w14:paraId="22D6B241">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6E6028F8">
            <w:pPr>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auto"/>
            <w:vAlign w:val="center"/>
          </w:tcPr>
          <w:p w14:paraId="3D301A0E">
            <w:pPr>
              <w:rPr>
                <w:rFonts w:hint="eastAsia" w:ascii="宋体" w:hAnsi="宋体" w:eastAsia="宋体" w:cs="宋体"/>
                <w:i w:val="0"/>
                <w:color w:val="000000"/>
                <w:sz w:val="18"/>
                <w:szCs w:val="18"/>
                <w:u w:val="none"/>
              </w:rPr>
            </w:pPr>
          </w:p>
        </w:tc>
        <w:tc>
          <w:tcPr>
            <w:tcW w:w="707" w:type="dxa"/>
            <w:tcBorders>
              <w:top w:val="nil"/>
              <w:left w:val="nil"/>
              <w:bottom w:val="nil"/>
              <w:right w:val="nil"/>
            </w:tcBorders>
            <w:shd w:val="clear" w:color="auto" w:fill="auto"/>
            <w:vAlign w:val="center"/>
          </w:tcPr>
          <w:p w14:paraId="79AEA081">
            <w:pPr>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auto"/>
            <w:vAlign w:val="center"/>
          </w:tcPr>
          <w:p w14:paraId="309946A2">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46EF9801">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3DAA97DE">
            <w:pPr>
              <w:rPr>
                <w:rFonts w:hint="eastAsia" w:ascii="宋体" w:hAnsi="宋体" w:eastAsia="宋体" w:cs="宋体"/>
                <w:i w:val="0"/>
                <w:color w:val="000000"/>
                <w:sz w:val="18"/>
                <w:szCs w:val="18"/>
                <w:u w:val="none"/>
              </w:rPr>
            </w:pPr>
          </w:p>
        </w:tc>
        <w:tc>
          <w:tcPr>
            <w:tcW w:w="1188" w:type="dxa"/>
            <w:tcBorders>
              <w:top w:val="nil"/>
              <w:left w:val="nil"/>
              <w:bottom w:val="nil"/>
              <w:right w:val="nil"/>
            </w:tcBorders>
            <w:shd w:val="clear" w:color="auto" w:fill="auto"/>
            <w:vAlign w:val="center"/>
          </w:tcPr>
          <w:p w14:paraId="5418C81E">
            <w:pPr>
              <w:rPr>
                <w:rFonts w:hint="eastAsia" w:ascii="宋体" w:hAnsi="宋体" w:eastAsia="宋体" w:cs="宋体"/>
                <w:i w:val="0"/>
                <w:color w:val="000000"/>
                <w:sz w:val="18"/>
                <w:szCs w:val="18"/>
                <w:u w:val="none"/>
              </w:rPr>
            </w:pPr>
          </w:p>
        </w:tc>
      </w:tr>
      <w:tr w14:paraId="3C72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A92AC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35E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542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541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51190024T000010746848-2024年年初部门预算特定目标类项目120001市检察院检察听证工作经费</w:t>
            </w:r>
          </w:p>
        </w:tc>
      </w:tr>
      <w:tr w14:paraId="358E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D61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CE8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354AFD4B">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27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3AE0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320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081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EDD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4035303B">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7B6A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CD3C">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DDFE">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3664A6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根据《人民检察院审查案件公开听证工作规定》邀请听证员参与案件公开听证，接受社会监督和舆论监督，赢得人民群众对检察工作的理解和支持。推进听证员作用发挥，践行全过程人民民主。</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4085A1F2">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根据《人民检察院审查案件公开听证工作规定》邀请听证员参与公开听证工作，全年共开展公开听证13次，听证工作作用发挥明显，进一步推进了司法活动公平正义。</w:t>
            </w:r>
          </w:p>
        </w:tc>
      </w:tr>
      <w:tr w14:paraId="65B3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9706">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650FE3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664B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人民检察院审查案件公开听证工作规定》开展公开听证工作，全年开展听证工作13次，主动邀请听证人员参与案件公开听证，推进听证员作用发挥，践行全过程人民民主，进一步赢得了人民群众对检察工作的</w:t>
            </w:r>
            <w:r>
              <w:rPr>
                <w:rFonts w:hint="eastAsia" w:ascii="宋体" w:hAnsi="宋体" w:cs="宋体"/>
                <w:i w:val="0"/>
                <w:color w:val="000000"/>
                <w:kern w:val="0"/>
                <w:sz w:val="18"/>
                <w:szCs w:val="18"/>
                <w:u w:val="none"/>
                <w:lang w:val="en-US" w:eastAsia="zh-CN" w:bidi="ar"/>
              </w:rPr>
              <w:t>理解</w:t>
            </w:r>
            <w:r>
              <w:rPr>
                <w:rFonts w:ascii="宋体" w:hAnsi="宋体" w:eastAsia="宋体" w:cs="宋体"/>
                <w:i w:val="0"/>
                <w:color w:val="000000"/>
                <w:kern w:val="0"/>
                <w:sz w:val="18"/>
                <w:szCs w:val="18"/>
                <w:u w:val="none"/>
                <w:lang w:val="en-US" w:eastAsia="zh-CN" w:bidi="ar"/>
              </w:rPr>
              <w:t>和支持。</w:t>
            </w:r>
          </w:p>
        </w:tc>
      </w:tr>
      <w:tr w14:paraId="2A3A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9F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B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6AD966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524D89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39E3C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4D141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318F75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326296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2F7B2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07F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E7EB">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B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F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35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0.26</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56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E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F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83EAF">
            <w:pPr>
              <w:rPr>
                <w:rFonts w:hint="default" w:ascii="黑体" w:hAnsi="黑体" w:eastAsia="黑体" w:cs="黑体"/>
                <w:i w:val="0"/>
                <w:color w:val="000000"/>
                <w:sz w:val="18"/>
                <w:szCs w:val="18"/>
                <w:u w:val="none"/>
              </w:rPr>
            </w:pPr>
          </w:p>
        </w:tc>
      </w:tr>
      <w:tr w14:paraId="0E8E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38B6">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3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8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0.26</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1B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7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4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1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C42E">
            <w:pPr>
              <w:rPr>
                <w:rFonts w:hint="default" w:ascii="黑体" w:hAnsi="黑体" w:eastAsia="黑体" w:cs="黑体"/>
                <w:i w:val="0"/>
                <w:color w:val="000000"/>
                <w:sz w:val="18"/>
                <w:szCs w:val="18"/>
                <w:u w:val="none"/>
              </w:rPr>
            </w:pPr>
          </w:p>
        </w:tc>
      </w:tr>
      <w:tr w14:paraId="7860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E17A">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6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E1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7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6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255B">
            <w:pPr>
              <w:rPr>
                <w:rFonts w:hint="default" w:ascii="黑体" w:hAnsi="黑体" w:eastAsia="黑体" w:cs="黑体"/>
                <w:i w:val="0"/>
                <w:color w:val="000000"/>
                <w:sz w:val="18"/>
                <w:szCs w:val="18"/>
                <w:u w:val="none"/>
              </w:rPr>
            </w:pPr>
          </w:p>
        </w:tc>
      </w:tr>
      <w:tr w14:paraId="6ECE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1BA4">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1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33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F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B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2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BFEC">
            <w:pPr>
              <w:rPr>
                <w:rFonts w:hint="default" w:ascii="黑体" w:hAnsi="黑体" w:eastAsia="黑体" w:cs="黑体"/>
                <w:i w:val="0"/>
                <w:color w:val="000000"/>
                <w:sz w:val="18"/>
                <w:szCs w:val="18"/>
                <w:u w:val="none"/>
              </w:rPr>
            </w:pPr>
          </w:p>
        </w:tc>
      </w:tr>
      <w:tr w14:paraId="01BA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5C31">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D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519">
            <w:pPr>
              <w:jc w:val="center"/>
              <w:rPr>
                <w:rFonts w:hint="default"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A2A3">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87E44">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3B4D">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3E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CFED">
            <w:pPr>
              <w:rPr>
                <w:rFonts w:hint="default" w:ascii="黑体" w:hAnsi="黑体" w:eastAsia="黑体" w:cs="黑体"/>
                <w:i w:val="0"/>
                <w:color w:val="000000"/>
                <w:sz w:val="18"/>
                <w:szCs w:val="18"/>
                <w:u w:val="none"/>
              </w:rPr>
            </w:pPr>
          </w:p>
        </w:tc>
      </w:tr>
      <w:tr w14:paraId="2F5B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36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B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6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D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0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3B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16969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1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9156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9A9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C7AB">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84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C75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1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员额检察官人数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3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1AC4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CA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52065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4C7E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1C4">
            <w:pPr>
              <w:jc w:val="center"/>
              <w:rPr>
                <w:rFonts w:hint="default" w:ascii="微软雅黑" w:hAnsi="微软雅黑" w:eastAsia="微软雅黑" w:cs="微软雅黑"/>
                <w:i w:val="0"/>
                <w:color w:val="000000"/>
                <w:sz w:val="16"/>
                <w:szCs w:val="16"/>
                <w:u w:val="none"/>
              </w:rPr>
            </w:pPr>
          </w:p>
        </w:tc>
      </w:tr>
      <w:tr w14:paraId="769A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E9E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DDB8">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ABBA">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E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单次听证会听证员人数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6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F89F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25B">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1B408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45DE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F1E6">
            <w:pPr>
              <w:jc w:val="center"/>
              <w:rPr>
                <w:rFonts w:hint="default" w:ascii="微软雅黑" w:hAnsi="微软雅黑" w:eastAsia="微软雅黑" w:cs="微软雅黑"/>
                <w:i w:val="0"/>
                <w:color w:val="000000"/>
                <w:sz w:val="16"/>
                <w:szCs w:val="16"/>
                <w:u w:val="none"/>
              </w:rPr>
            </w:pPr>
          </w:p>
        </w:tc>
      </w:tr>
      <w:tr w14:paraId="242B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A80F">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80CD">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C9D4">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员额检察官以听证方式办理案件数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52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C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57D8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42E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13</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7F6F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8953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C76">
            <w:pPr>
              <w:jc w:val="center"/>
              <w:rPr>
                <w:rFonts w:hint="default" w:ascii="微软雅黑" w:hAnsi="微软雅黑" w:eastAsia="微软雅黑" w:cs="微软雅黑"/>
                <w:i w:val="0"/>
                <w:color w:val="000000"/>
                <w:sz w:val="16"/>
                <w:szCs w:val="16"/>
                <w:u w:val="none"/>
              </w:rPr>
            </w:pPr>
          </w:p>
        </w:tc>
      </w:tr>
      <w:tr w14:paraId="4EEB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C9CB">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3F00">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2B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1F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听证员费用参照人民监督员标准执行</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04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5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9576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F0A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75B3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1469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ACF">
            <w:pPr>
              <w:jc w:val="center"/>
              <w:rPr>
                <w:rFonts w:hint="default" w:ascii="微软雅黑" w:hAnsi="微软雅黑" w:eastAsia="微软雅黑" w:cs="微软雅黑"/>
                <w:i w:val="0"/>
                <w:color w:val="000000"/>
                <w:sz w:val="16"/>
                <w:szCs w:val="16"/>
                <w:u w:val="none"/>
              </w:rPr>
            </w:pPr>
          </w:p>
        </w:tc>
      </w:tr>
      <w:tr w14:paraId="5798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3625">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D990">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EDC1">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创新听证方式，扩展听证内容，规范听证流程</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E2B7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F40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2429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6C5F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D10A">
            <w:pPr>
              <w:jc w:val="center"/>
              <w:rPr>
                <w:rFonts w:hint="default" w:ascii="微软雅黑" w:hAnsi="微软雅黑" w:eastAsia="微软雅黑" w:cs="微软雅黑"/>
                <w:i w:val="0"/>
                <w:color w:val="000000"/>
                <w:sz w:val="16"/>
                <w:szCs w:val="16"/>
                <w:u w:val="none"/>
              </w:rPr>
            </w:pPr>
          </w:p>
        </w:tc>
      </w:tr>
      <w:tr w14:paraId="42AB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34BE">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81FB">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2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2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2024年底前完成听证任务</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4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0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1D61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43F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3762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DF05A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67D1">
            <w:pPr>
              <w:jc w:val="center"/>
              <w:rPr>
                <w:rFonts w:hint="default" w:ascii="微软雅黑" w:hAnsi="微软雅黑" w:eastAsia="微软雅黑" w:cs="微软雅黑"/>
                <w:i w:val="0"/>
                <w:color w:val="000000"/>
                <w:sz w:val="16"/>
                <w:szCs w:val="16"/>
                <w:u w:val="none"/>
              </w:rPr>
            </w:pPr>
          </w:p>
        </w:tc>
      </w:tr>
      <w:tr w14:paraId="1F95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07D8">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75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6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促进公正履职、保护当事人合法权益</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C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9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A034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4D8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79A62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93BD6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488D">
            <w:pPr>
              <w:jc w:val="center"/>
              <w:rPr>
                <w:rFonts w:hint="default" w:ascii="微软雅黑" w:hAnsi="微软雅黑" w:eastAsia="微软雅黑" w:cs="微软雅黑"/>
                <w:i w:val="0"/>
                <w:color w:val="000000"/>
                <w:sz w:val="16"/>
                <w:szCs w:val="16"/>
                <w:u w:val="none"/>
              </w:rPr>
            </w:pPr>
          </w:p>
        </w:tc>
      </w:tr>
      <w:tr w14:paraId="3A50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7874">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B2A1">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C1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C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提高案件办理质量、检察官依法能动履职</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E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7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F610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5EE">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D323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99DB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A290">
            <w:pPr>
              <w:jc w:val="center"/>
              <w:rPr>
                <w:rFonts w:hint="default" w:ascii="微软雅黑" w:hAnsi="微软雅黑" w:eastAsia="微软雅黑" w:cs="微软雅黑"/>
                <w:i w:val="0"/>
                <w:color w:val="000000"/>
                <w:sz w:val="16"/>
                <w:szCs w:val="16"/>
                <w:u w:val="none"/>
              </w:rPr>
            </w:pPr>
          </w:p>
        </w:tc>
      </w:tr>
      <w:tr w14:paraId="0AD4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8C75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866A">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0E96">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F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接受社会监督，提升人民群众对检察工作满意度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E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8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7FF8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52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901E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72105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7A8">
            <w:pPr>
              <w:jc w:val="center"/>
              <w:rPr>
                <w:rFonts w:hint="default" w:ascii="微软雅黑" w:hAnsi="微软雅黑" w:eastAsia="微软雅黑" w:cs="微软雅黑"/>
                <w:i w:val="0"/>
                <w:color w:val="000000"/>
                <w:sz w:val="16"/>
                <w:szCs w:val="16"/>
                <w:u w:val="none"/>
              </w:rPr>
            </w:pPr>
          </w:p>
        </w:tc>
      </w:tr>
      <w:tr w14:paraId="3721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4C73">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717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C9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1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听证员满意度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67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F130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4E5">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4694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95A1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1DC">
            <w:pPr>
              <w:jc w:val="center"/>
              <w:rPr>
                <w:rFonts w:hint="default" w:ascii="微软雅黑" w:hAnsi="微软雅黑" w:eastAsia="微软雅黑" w:cs="微软雅黑"/>
                <w:i w:val="0"/>
                <w:color w:val="000000"/>
                <w:sz w:val="16"/>
                <w:szCs w:val="16"/>
                <w:u w:val="none"/>
              </w:rPr>
            </w:pPr>
          </w:p>
        </w:tc>
      </w:tr>
      <w:tr w14:paraId="3160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0646">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D6F9">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E522">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8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3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F2423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59B">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04A9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121EC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4A3">
            <w:pPr>
              <w:jc w:val="center"/>
              <w:rPr>
                <w:rFonts w:hint="default" w:ascii="微软雅黑" w:hAnsi="微软雅黑" w:eastAsia="微软雅黑" w:cs="微软雅黑"/>
                <w:i w:val="0"/>
                <w:color w:val="000000"/>
                <w:sz w:val="16"/>
                <w:szCs w:val="16"/>
                <w:u w:val="none"/>
              </w:rPr>
            </w:pPr>
          </w:p>
        </w:tc>
      </w:tr>
      <w:tr w14:paraId="06E0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3CB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F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F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听证员参加听证会的交通费、食宿费、劳务费等合理费用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7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A517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9133">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9A14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0C9DA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681">
            <w:pPr>
              <w:jc w:val="center"/>
              <w:rPr>
                <w:rFonts w:hint="default" w:ascii="微软雅黑" w:hAnsi="微软雅黑" w:eastAsia="微软雅黑" w:cs="微软雅黑"/>
                <w:i w:val="0"/>
                <w:color w:val="000000"/>
                <w:sz w:val="16"/>
                <w:szCs w:val="16"/>
                <w:u w:val="none"/>
              </w:rPr>
            </w:pPr>
          </w:p>
        </w:tc>
      </w:tr>
      <w:tr w14:paraId="55C3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D15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5FC14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70875462">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702398B4">
            <w:pPr>
              <w:rPr>
                <w:rFonts w:hint="eastAsia" w:ascii="宋体" w:hAnsi="宋体" w:eastAsia="宋体" w:cs="宋体"/>
                <w:i w:val="0"/>
                <w:color w:val="000000"/>
                <w:sz w:val="18"/>
                <w:szCs w:val="18"/>
                <w:u w:val="none"/>
              </w:rPr>
            </w:pPr>
          </w:p>
        </w:tc>
      </w:tr>
      <w:tr w14:paraId="44A6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3BD9A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E613EA">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该项目自评得分100分。项目目标设置合理，经费管理使用规范，资金使用质效加好，取得了较好的经济效益和社会效益，绩效目标达成效果较好。</w:t>
            </w:r>
          </w:p>
        </w:tc>
      </w:tr>
      <w:tr w14:paraId="1E16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655D1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CE2A4F">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47E5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454B6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679A0">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04F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9759E">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5BB956F9">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14:paraId="7E29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tcBorders>
              <w:top w:val="nil"/>
              <w:left w:val="nil"/>
              <w:bottom w:val="nil"/>
              <w:right w:val="nil"/>
            </w:tcBorders>
            <w:shd w:val="clear" w:color="auto" w:fill="auto"/>
            <w:vAlign w:val="center"/>
          </w:tcPr>
          <w:p w14:paraId="56653568">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vAlign w:val="center"/>
          </w:tcPr>
          <w:p w14:paraId="21C8B7D0">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vAlign w:val="center"/>
          </w:tcPr>
          <w:p w14:paraId="5F2ADD7E">
            <w:pPr>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auto"/>
            <w:vAlign w:val="center"/>
          </w:tcPr>
          <w:p w14:paraId="27CDC3C3">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20141A37">
            <w:pPr>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auto"/>
            <w:vAlign w:val="center"/>
          </w:tcPr>
          <w:p w14:paraId="32598A29">
            <w:pPr>
              <w:rPr>
                <w:rFonts w:hint="eastAsia" w:ascii="宋体" w:hAnsi="宋体" w:eastAsia="宋体" w:cs="宋体"/>
                <w:i w:val="0"/>
                <w:color w:val="000000"/>
                <w:sz w:val="18"/>
                <w:szCs w:val="18"/>
                <w:u w:val="none"/>
              </w:rPr>
            </w:pPr>
          </w:p>
        </w:tc>
        <w:tc>
          <w:tcPr>
            <w:tcW w:w="707" w:type="dxa"/>
            <w:tcBorders>
              <w:top w:val="nil"/>
              <w:left w:val="nil"/>
              <w:bottom w:val="nil"/>
              <w:right w:val="nil"/>
            </w:tcBorders>
            <w:shd w:val="clear" w:color="auto" w:fill="auto"/>
            <w:vAlign w:val="center"/>
          </w:tcPr>
          <w:p w14:paraId="3FC7A25B">
            <w:pPr>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auto"/>
            <w:vAlign w:val="center"/>
          </w:tcPr>
          <w:p w14:paraId="7CC03BB8">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0908DFFA">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1BB5CD07">
            <w:pPr>
              <w:rPr>
                <w:rFonts w:hint="eastAsia" w:ascii="宋体" w:hAnsi="宋体" w:eastAsia="宋体" w:cs="宋体"/>
                <w:i w:val="0"/>
                <w:color w:val="000000"/>
                <w:sz w:val="18"/>
                <w:szCs w:val="18"/>
                <w:u w:val="none"/>
              </w:rPr>
            </w:pPr>
          </w:p>
        </w:tc>
        <w:tc>
          <w:tcPr>
            <w:tcW w:w="1188" w:type="dxa"/>
            <w:tcBorders>
              <w:top w:val="nil"/>
              <w:left w:val="nil"/>
              <w:bottom w:val="nil"/>
              <w:right w:val="nil"/>
            </w:tcBorders>
            <w:shd w:val="clear" w:color="auto" w:fill="auto"/>
            <w:vAlign w:val="center"/>
          </w:tcPr>
          <w:p w14:paraId="19281805">
            <w:pPr>
              <w:rPr>
                <w:rFonts w:hint="eastAsia" w:ascii="宋体" w:hAnsi="宋体" w:eastAsia="宋体" w:cs="宋体"/>
                <w:i w:val="0"/>
                <w:color w:val="000000"/>
                <w:sz w:val="18"/>
                <w:szCs w:val="18"/>
                <w:u w:val="none"/>
              </w:rPr>
            </w:pPr>
          </w:p>
        </w:tc>
      </w:tr>
      <w:tr w14:paraId="3F8D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07C71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1FE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4C5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C0BD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51190024T000010746857-2024年年初部门预算特定目标类项目120001市检察院公开招录费用</w:t>
            </w:r>
          </w:p>
        </w:tc>
      </w:tr>
      <w:tr w14:paraId="6A5B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8C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F0F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6D6FF9A5">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31A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4EAF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2F4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A05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76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4B43F89E">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5DE4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69D9">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BFA8">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5E038C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根据相关规定，全市公开招录公务员，有利于建设正规化、专业化、职业化的人才队伍，推动各类检察工作顺利开展。</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766CFD00">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按照相关工作要求，完成了2024年度公务员招录工作。</w:t>
            </w:r>
          </w:p>
        </w:tc>
      </w:tr>
      <w:tr w14:paraId="2C40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4381">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599CC0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73A8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根据相关规定，开展公开招录考察工作，组织开展检察官遴选考试和县区三、四级高级检察官遴选和考察工作，全面完成了年度既定目标任务。</w:t>
            </w:r>
          </w:p>
        </w:tc>
      </w:tr>
      <w:tr w14:paraId="4647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F22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89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32465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20847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34EC3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4ADC3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7C78B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6CE005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5D65A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BF6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AFAF">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3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1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F3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0.55</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0D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F2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6A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8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A6FEF">
            <w:pPr>
              <w:rPr>
                <w:rFonts w:hint="default" w:ascii="黑体" w:hAnsi="黑体" w:eastAsia="黑体" w:cs="黑体"/>
                <w:i w:val="0"/>
                <w:color w:val="000000"/>
                <w:sz w:val="18"/>
                <w:szCs w:val="18"/>
                <w:u w:val="none"/>
              </w:rPr>
            </w:pPr>
          </w:p>
        </w:tc>
      </w:tr>
      <w:tr w14:paraId="317F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F0F9">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5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F7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E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0.55</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68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96378">
            <w:pPr>
              <w:rPr>
                <w:rFonts w:hint="default" w:ascii="黑体" w:hAnsi="黑体" w:eastAsia="黑体" w:cs="黑体"/>
                <w:i w:val="0"/>
                <w:color w:val="000000"/>
                <w:sz w:val="18"/>
                <w:szCs w:val="18"/>
                <w:u w:val="none"/>
              </w:rPr>
            </w:pPr>
          </w:p>
        </w:tc>
      </w:tr>
      <w:tr w14:paraId="1F2C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7EA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B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96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D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5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1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CFE0">
            <w:pPr>
              <w:rPr>
                <w:rFonts w:hint="default" w:ascii="黑体" w:hAnsi="黑体" w:eastAsia="黑体" w:cs="黑体"/>
                <w:i w:val="0"/>
                <w:color w:val="000000"/>
                <w:sz w:val="18"/>
                <w:szCs w:val="18"/>
                <w:u w:val="none"/>
              </w:rPr>
            </w:pPr>
          </w:p>
        </w:tc>
      </w:tr>
      <w:tr w14:paraId="2392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A985">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4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A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B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A0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27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6C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12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07BB">
            <w:pPr>
              <w:rPr>
                <w:rFonts w:hint="default" w:ascii="黑体" w:hAnsi="黑体" w:eastAsia="黑体" w:cs="黑体"/>
                <w:i w:val="0"/>
                <w:color w:val="000000"/>
                <w:sz w:val="18"/>
                <w:szCs w:val="18"/>
                <w:u w:val="none"/>
              </w:rPr>
            </w:pPr>
          </w:p>
        </w:tc>
      </w:tr>
      <w:tr w14:paraId="35A8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7CE3">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E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401">
            <w:pPr>
              <w:jc w:val="center"/>
              <w:rPr>
                <w:rFonts w:hint="default"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0AC">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B6DCE">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0381">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E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A235">
            <w:pPr>
              <w:rPr>
                <w:rFonts w:hint="default" w:ascii="黑体" w:hAnsi="黑体" w:eastAsia="黑体" w:cs="黑体"/>
                <w:i w:val="0"/>
                <w:color w:val="000000"/>
                <w:sz w:val="18"/>
                <w:szCs w:val="18"/>
                <w:u w:val="none"/>
              </w:rPr>
            </w:pPr>
          </w:p>
        </w:tc>
      </w:tr>
      <w:tr w14:paraId="5AA2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68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09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4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9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0E6587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7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0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2694E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17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9AEF">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41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2F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C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考务工作人员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D9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12F2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AA31">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3A67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21EE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3C95">
            <w:pPr>
              <w:jc w:val="center"/>
              <w:rPr>
                <w:rFonts w:hint="default" w:ascii="微软雅黑" w:hAnsi="微软雅黑" w:eastAsia="微软雅黑" w:cs="微软雅黑"/>
                <w:i w:val="0"/>
                <w:color w:val="000000"/>
                <w:sz w:val="16"/>
                <w:szCs w:val="16"/>
                <w:u w:val="none"/>
              </w:rPr>
            </w:pPr>
          </w:p>
        </w:tc>
      </w:tr>
      <w:tr w14:paraId="7EB8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C583">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7387">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FB47">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全市公开招录公务员</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0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539E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1315">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1EA8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194F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F7D7">
            <w:pPr>
              <w:jc w:val="center"/>
              <w:rPr>
                <w:rFonts w:hint="default" w:ascii="微软雅黑" w:hAnsi="微软雅黑" w:eastAsia="微软雅黑" w:cs="微软雅黑"/>
                <w:i w:val="0"/>
                <w:color w:val="000000"/>
                <w:sz w:val="16"/>
                <w:szCs w:val="16"/>
                <w:u w:val="none"/>
              </w:rPr>
            </w:pPr>
          </w:p>
        </w:tc>
      </w:tr>
      <w:tr w14:paraId="1AA1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49E2">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EB68">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839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6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考录过程实现公平公正公开</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A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F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6AA0A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7E93">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875F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5239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76A5">
            <w:pPr>
              <w:jc w:val="center"/>
              <w:rPr>
                <w:rFonts w:hint="default" w:ascii="微软雅黑" w:hAnsi="微软雅黑" w:eastAsia="微软雅黑" w:cs="微软雅黑"/>
                <w:i w:val="0"/>
                <w:color w:val="000000"/>
                <w:sz w:val="16"/>
                <w:szCs w:val="16"/>
                <w:u w:val="none"/>
              </w:rPr>
            </w:pPr>
          </w:p>
        </w:tc>
      </w:tr>
      <w:tr w14:paraId="590D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8F9E">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0B6C">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249A">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9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录取人员符合岗位要求，认真履行岗位职责</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F6C2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6DE4">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E976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3D19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67A0">
            <w:pPr>
              <w:jc w:val="center"/>
              <w:rPr>
                <w:rFonts w:hint="default" w:ascii="微软雅黑" w:hAnsi="微软雅黑" w:eastAsia="微软雅黑" w:cs="微软雅黑"/>
                <w:i w:val="0"/>
                <w:color w:val="000000"/>
                <w:sz w:val="16"/>
                <w:szCs w:val="16"/>
                <w:u w:val="none"/>
              </w:rPr>
            </w:pPr>
          </w:p>
        </w:tc>
      </w:tr>
      <w:tr w14:paraId="7A31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7C96">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3A5A">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1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7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及时根据招录计划完成人员招录</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6D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1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142B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C5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79911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83F8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BEDC">
            <w:pPr>
              <w:jc w:val="center"/>
              <w:rPr>
                <w:rFonts w:hint="default" w:ascii="微软雅黑" w:hAnsi="微软雅黑" w:eastAsia="微软雅黑" w:cs="微软雅黑"/>
                <w:i w:val="0"/>
                <w:color w:val="000000"/>
                <w:sz w:val="16"/>
                <w:szCs w:val="16"/>
                <w:u w:val="none"/>
              </w:rPr>
            </w:pPr>
          </w:p>
        </w:tc>
      </w:tr>
      <w:tr w14:paraId="6ADC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8F50">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8C8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检察机关办案质量提升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8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FB5E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B65">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C17D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A01C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734B">
            <w:pPr>
              <w:jc w:val="center"/>
              <w:rPr>
                <w:rFonts w:hint="default" w:ascii="微软雅黑" w:hAnsi="微软雅黑" w:eastAsia="微软雅黑" w:cs="微软雅黑"/>
                <w:i w:val="0"/>
                <w:color w:val="000000"/>
                <w:sz w:val="16"/>
                <w:szCs w:val="16"/>
                <w:u w:val="none"/>
              </w:rPr>
            </w:pPr>
          </w:p>
        </w:tc>
      </w:tr>
      <w:tr w14:paraId="356F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0C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8D73">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28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3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贯彻落实司法体制改革，实行检察机关人员分类管理</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FA7C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229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B140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2702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7D2C">
            <w:pPr>
              <w:jc w:val="center"/>
              <w:rPr>
                <w:rFonts w:hint="default" w:ascii="微软雅黑" w:hAnsi="微软雅黑" w:eastAsia="微软雅黑" w:cs="微软雅黑"/>
                <w:i w:val="0"/>
                <w:color w:val="000000"/>
                <w:sz w:val="16"/>
                <w:szCs w:val="16"/>
                <w:u w:val="none"/>
              </w:rPr>
            </w:pPr>
          </w:p>
        </w:tc>
      </w:tr>
      <w:tr w14:paraId="0357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045A">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FC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F0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4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报考人员满意度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27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D8D7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FB4D">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004A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3ABE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065A">
            <w:pPr>
              <w:jc w:val="center"/>
              <w:rPr>
                <w:rFonts w:hint="default" w:ascii="微软雅黑" w:hAnsi="微软雅黑" w:eastAsia="微软雅黑" w:cs="微软雅黑"/>
                <w:i w:val="0"/>
                <w:color w:val="000000"/>
                <w:sz w:val="16"/>
                <w:szCs w:val="16"/>
                <w:u w:val="none"/>
              </w:rPr>
            </w:pPr>
          </w:p>
        </w:tc>
      </w:tr>
      <w:tr w14:paraId="5BB7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088D">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73F0">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134D">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6C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考务工作人员满意度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0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4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8C90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7CC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7EC61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28A9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C160">
            <w:pPr>
              <w:jc w:val="center"/>
              <w:rPr>
                <w:rFonts w:hint="default" w:ascii="微软雅黑" w:hAnsi="微软雅黑" w:eastAsia="微软雅黑" w:cs="微软雅黑"/>
                <w:i w:val="0"/>
                <w:color w:val="000000"/>
                <w:sz w:val="16"/>
                <w:szCs w:val="16"/>
                <w:u w:val="none"/>
              </w:rPr>
            </w:pPr>
          </w:p>
        </w:tc>
      </w:tr>
      <w:tr w14:paraId="1BBA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0F2F">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4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17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F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考务人员劳务费</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2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F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E85A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3F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500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15E1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F0CC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8D8D">
            <w:pPr>
              <w:jc w:val="center"/>
              <w:rPr>
                <w:rFonts w:hint="default" w:ascii="微软雅黑" w:hAnsi="微软雅黑" w:eastAsia="微软雅黑" w:cs="微软雅黑"/>
                <w:i w:val="0"/>
                <w:color w:val="000000"/>
                <w:sz w:val="16"/>
                <w:szCs w:val="16"/>
                <w:u w:val="none"/>
              </w:rPr>
            </w:pPr>
          </w:p>
        </w:tc>
      </w:tr>
      <w:tr w14:paraId="58B3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B9F9">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5B3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F3CE">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C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办公费、餐费、差旅费等支出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F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9FC1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AF7">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0.55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0FAF0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2658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DD81">
            <w:pPr>
              <w:jc w:val="center"/>
              <w:rPr>
                <w:rFonts w:hint="default" w:ascii="微软雅黑" w:hAnsi="微软雅黑" w:eastAsia="微软雅黑" w:cs="微软雅黑"/>
                <w:i w:val="0"/>
                <w:color w:val="000000"/>
                <w:sz w:val="16"/>
                <w:szCs w:val="16"/>
                <w:u w:val="none"/>
              </w:rPr>
            </w:pPr>
          </w:p>
        </w:tc>
      </w:tr>
      <w:tr w14:paraId="1FC5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83D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7EAB5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64D5AE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596D684E">
            <w:pPr>
              <w:rPr>
                <w:rFonts w:hint="eastAsia" w:ascii="宋体" w:hAnsi="宋体" w:eastAsia="宋体" w:cs="宋体"/>
                <w:i w:val="0"/>
                <w:color w:val="000000"/>
                <w:sz w:val="18"/>
                <w:szCs w:val="18"/>
                <w:u w:val="none"/>
              </w:rPr>
            </w:pPr>
          </w:p>
        </w:tc>
      </w:tr>
      <w:tr w14:paraId="33EC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19572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8EDB1D">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该项目自评得分100分。预算编制及指标设置符合要求，资金管理及使用规范。</w:t>
            </w:r>
          </w:p>
        </w:tc>
      </w:tr>
      <w:tr w14:paraId="6F28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63F35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13B2F9">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编制预算时经费测算不够细致，造成资金闲置，致使资金使用效益不高。</w:t>
            </w:r>
          </w:p>
        </w:tc>
      </w:tr>
      <w:tr w14:paraId="5C72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060E4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C7E107">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优化成本指标设定，组织财务和业务部门共同参与成本绩效指标制定过程，分析过去项目的成本构成，变动趋势及影响因素，确保成本指标符合项目需求。</w:t>
            </w:r>
          </w:p>
        </w:tc>
      </w:tr>
      <w:tr w14:paraId="6FF3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C668D">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095CB0C0">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14:paraId="3E21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tcBorders>
              <w:top w:val="nil"/>
              <w:left w:val="nil"/>
              <w:bottom w:val="nil"/>
              <w:right w:val="nil"/>
            </w:tcBorders>
            <w:shd w:val="clear" w:color="auto" w:fill="auto"/>
            <w:vAlign w:val="center"/>
          </w:tcPr>
          <w:p w14:paraId="0B23F808">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vAlign w:val="center"/>
          </w:tcPr>
          <w:p w14:paraId="703DEE5D">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vAlign w:val="center"/>
          </w:tcPr>
          <w:p w14:paraId="4DD59A6B">
            <w:pPr>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auto"/>
            <w:vAlign w:val="center"/>
          </w:tcPr>
          <w:p w14:paraId="28CAB695">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1FF6E685">
            <w:pPr>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auto"/>
            <w:vAlign w:val="center"/>
          </w:tcPr>
          <w:p w14:paraId="1EE0B12C">
            <w:pPr>
              <w:rPr>
                <w:rFonts w:hint="eastAsia" w:ascii="宋体" w:hAnsi="宋体" w:eastAsia="宋体" w:cs="宋体"/>
                <w:i w:val="0"/>
                <w:color w:val="000000"/>
                <w:sz w:val="18"/>
                <w:szCs w:val="18"/>
                <w:u w:val="none"/>
              </w:rPr>
            </w:pPr>
          </w:p>
        </w:tc>
        <w:tc>
          <w:tcPr>
            <w:tcW w:w="707" w:type="dxa"/>
            <w:tcBorders>
              <w:top w:val="nil"/>
              <w:left w:val="nil"/>
              <w:bottom w:val="nil"/>
              <w:right w:val="nil"/>
            </w:tcBorders>
            <w:shd w:val="clear" w:color="auto" w:fill="auto"/>
            <w:vAlign w:val="center"/>
          </w:tcPr>
          <w:p w14:paraId="7C5D05BD">
            <w:pPr>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auto"/>
            <w:vAlign w:val="center"/>
          </w:tcPr>
          <w:p w14:paraId="3CE98D99">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44F76A77">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27D49C1F">
            <w:pPr>
              <w:rPr>
                <w:rFonts w:hint="eastAsia" w:ascii="宋体" w:hAnsi="宋体" w:eastAsia="宋体" w:cs="宋体"/>
                <w:i w:val="0"/>
                <w:color w:val="000000"/>
                <w:sz w:val="18"/>
                <w:szCs w:val="18"/>
                <w:u w:val="none"/>
              </w:rPr>
            </w:pPr>
          </w:p>
        </w:tc>
        <w:tc>
          <w:tcPr>
            <w:tcW w:w="1188" w:type="dxa"/>
            <w:tcBorders>
              <w:top w:val="nil"/>
              <w:left w:val="nil"/>
              <w:bottom w:val="nil"/>
              <w:right w:val="nil"/>
            </w:tcBorders>
            <w:shd w:val="clear" w:color="auto" w:fill="auto"/>
            <w:vAlign w:val="center"/>
          </w:tcPr>
          <w:p w14:paraId="62F097D0">
            <w:pPr>
              <w:rPr>
                <w:rFonts w:hint="eastAsia" w:ascii="宋体" w:hAnsi="宋体" w:eastAsia="宋体" w:cs="宋体"/>
                <w:i w:val="0"/>
                <w:color w:val="000000"/>
                <w:sz w:val="18"/>
                <w:szCs w:val="18"/>
                <w:u w:val="none"/>
              </w:rPr>
            </w:pPr>
          </w:p>
        </w:tc>
      </w:tr>
      <w:tr w14:paraId="1D4D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45A6F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ECB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84C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6C5F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51190024T000010746873-2024年年初部门预算特定目标类项目120001市检察院援彝援藏工作经费</w:t>
            </w:r>
          </w:p>
        </w:tc>
      </w:tr>
      <w:tr w14:paraId="53E0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27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CDB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66AF077A">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5B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2618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87F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183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DE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06A1640A">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09FB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E212">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0044">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515E38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援助美姑县检察院，使其法律监督能力全面提高，队伍素质全面提升，装备和经费保障全面改善，基础工作夯实。</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58C0C1E5">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2024年援助美姑县检察院经费2万元，帮助其进一步提升法律监督能力，坚强人员队伍建设，改善装备和经费保障转狂，全面夯实基础工作，取得了良好效果。</w:t>
            </w:r>
          </w:p>
        </w:tc>
      </w:tr>
      <w:tr w14:paraId="7453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41DF">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4AF22F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219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根据相关文件要求，对口援助美姑县人民检察院，帮助其提升法律监督能力，</w:t>
            </w:r>
            <w:r>
              <w:rPr>
                <w:rFonts w:hint="eastAsia" w:ascii="宋体" w:hAnsi="宋体" w:cs="宋体"/>
                <w:i w:val="0"/>
                <w:color w:val="000000"/>
                <w:kern w:val="0"/>
                <w:sz w:val="18"/>
                <w:szCs w:val="18"/>
                <w:u w:val="none"/>
                <w:lang w:val="en-US" w:eastAsia="zh-CN" w:bidi="ar"/>
              </w:rPr>
              <w:t>加强</w:t>
            </w:r>
            <w:r>
              <w:rPr>
                <w:rFonts w:ascii="宋体" w:hAnsi="宋体" w:eastAsia="宋体" w:cs="宋体"/>
                <w:i w:val="0"/>
                <w:color w:val="000000"/>
                <w:kern w:val="0"/>
                <w:sz w:val="18"/>
                <w:szCs w:val="18"/>
                <w:u w:val="none"/>
                <w:lang w:val="en-US" w:eastAsia="zh-CN" w:bidi="ar"/>
              </w:rPr>
              <w:t>人员队伍建设，改善装备和经费保障</w:t>
            </w:r>
            <w:r>
              <w:rPr>
                <w:rFonts w:hint="eastAsia" w:ascii="宋体" w:hAnsi="宋体" w:cs="宋体"/>
                <w:i w:val="0"/>
                <w:color w:val="000000"/>
                <w:kern w:val="0"/>
                <w:sz w:val="18"/>
                <w:szCs w:val="18"/>
                <w:u w:val="none"/>
                <w:lang w:val="en-US" w:eastAsia="zh-CN" w:bidi="ar"/>
              </w:rPr>
              <w:t>状况</w:t>
            </w:r>
            <w:r>
              <w:rPr>
                <w:rFonts w:ascii="宋体" w:hAnsi="宋体" w:eastAsia="宋体" w:cs="宋体"/>
                <w:i w:val="0"/>
                <w:color w:val="000000"/>
                <w:kern w:val="0"/>
                <w:sz w:val="18"/>
                <w:szCs w:val="18"/>
                <w:u w:val="none"/>
                <w:lang w:val="en-US" w:eastAsia="zh-CN" w:bidi="ar"/>
              </w:rPr>
              <w:t>，全面夯实基础工作。2024年对口援助美姑县人民检察院资金2万元。</w:t>
            </w:r>
          </w:p>
        </w:tc>
      </w:tr>
      <w:tr w14:paraId="2523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18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06A10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5083D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47B536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34D09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182FE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46442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47FA51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627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A43B">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7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5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59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9C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5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33095">
            <w:pPr>
              <w:rPr>
                <w:rFonts w:hint="default" w:ascii="黑体" w:hAnsi="黑体" w:eastAsia="黑体" w:cs="黑体"/>
                <w:i w:val="0"/>
                <w:color w:val="000000"/>
                <w:sz w:val="18"/>
                <w:szCs w:val="18"/>
                <w:u w:val="none"/>
              </w:rPr>
            </w:pPr>
          </w:p>
        </w:tc>
      </w:tr>
      <w:tr w14:paraId="3395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FA3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E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A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D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7F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0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6111">
            <w:pPr>
              <w:rPr>
                <w:rFonts w:hint="default" w:ascii="黑体" w:hAnsi="黑体" w:eastAsia="黑体" w:cs="黑体"/>
                <w:i w:val="0"/>
                <w:color w:val="000000"/>
                <w:sz w:val="18"/>
                <w:szCs w:val="18"/>
                <w:u w:val="none"/>
              </w:rPr>
            </w:pPr>
          </w:p>
        </w:tc>
      </w:tr>
      <w:tr w14:paraId="1787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39C6">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3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0D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5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C0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3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0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B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9328">
            <w:pPr>
              <w:rPr>
                <w:rFonts w:hint="default" w:ascii="黑体" w:hAnsi="黑体" w:eastAsia="黑体" w:cs="黑体"/>
                <w:i w:val="0"/>
                <w:color w:val="000000"/>
                <w:sz w:val="18"/>
                <w:szCs w:val="18"/>
                <w:u w:val="none"/>
              </w:rPr>
            </w:pPr>
          </w:p>
        </w:tc>
      </w:tr>
      <w:tr w14:paraId="33C3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819E">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6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2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C8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5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AA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45A1">
            <w:pPr>
              <w:rPr>
                <w:rFonts w:hint="default" w:ascii="黑体" w:hAnsi="黑体" w:eastAsia="黑体" w:cs="黑体"/>
                <w:i w:val="0"/>
                <w:color w:val="000000"/>
                <w:sz w:val="18"/>
                <w:szCs w:val="18"/>
                <w:u w:val="none"/>
              </w:rPr>
            </w:pPr>
          </w:p>
        </w:tc>
      </w:tr>
      <w:tr w14:paraId="4DCE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CB37">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6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6725">
            <w:pPr>
              <w:jc w:val="center"/>
              <w:rPr>
                <w:rFonts w:hint="default"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67E4">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5E1EE">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CAE">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9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73A2">
            <w:pPr>
              <w:rPr>
                <w:rFonts w:hint="default" w:ascii="黑体" w:hAnsi="黑体" w:eastAsia="黑体" w:cs="黑体"/>
                <w:i w:val="0"/>
                <w:color w:val="000000"/>
                <w:sz w:val="18"/>
                <w:szCs w:val="18"/>
                <w:u w:val="none"/>
              </w:rPr>
            </w:pPr>
          </w:p>
        </w:tc>
      </w:tr>
      <w:tr w14:paraId="67EF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A83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A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96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3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A7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E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37EF4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A3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F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8A6E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9A4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161A">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CE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0B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3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派驻帮扶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8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A4A5E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人/年</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518E">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A620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8E392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C81F">
            <w:pPr>
              <w:jc w:val="center"/>
              <w:rPr>
                <w:rFonts w:hint="default" w:ascii="微软雅黑" w:hAnsi="微软雅黑" w:eastAsia="微软雅黑" w:cs="微软雅黑"/>
                <w:i w:val="0"/>
                <w:color w:val="000000"/>
                <w:sz w:val="16"/>
                <w:szCs w:val="16"/>
                <w:u w:val="none"/>
              </w:rPr>
            </w:pPr>
          </w:p>
        </w:tc>
      </w:tr>
      <w:tr w14:paraId="726E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0F42">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5D2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EA87">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结对帮扶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0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668C9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人/年</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EC9">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EFF2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7371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D2D9">
            <w:pPr>
              <w:jc w:val="center"/>
              <w:rPr>
                <w:rFonts w:hint="default" w:ascii="微软雅黑" w:hAnsi="微软雅黑" w:eastAsia="微软雅黑" w:cs="微软雅黑"/>
                <w:i w:val="0"/>
                <w:color w:val="000000"/>
                <w:sz w:val="16"/>
                <w:szCs w:val="16"/>
                <w:u w:val="none"/>
              </w:rPr>
            </w:pPr>
          </w:p>
        </w:tc>
      </w:tr>
      <w:tr w14:paraId="17E3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9096">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426B">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EDF1">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人才培训</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2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9059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人/年</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C64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36F75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0145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0071">
            <w:pPr>
              <w:jc w:val="center"/>
              <w:rPr>
                <w:rFonts w:hint="default" w:ascii="微软雅黑" w:hAnsi="微软雅黑" w:eastAsia="微软雅黑" w:cs="微软雅黑"/>
                <w:i w:val="0"/>
                <w:color w:val="000000"/>
                <w:sz w:val="16"/>
                <w:szCs w:val="16"/>
                <w:u w:val="none"/>
              </w:rPr>
            </w:pPr>
          </w:p>
        </w:tc>
      </w:tr>
      <w:tr w14:paraId="0EAF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DDCF">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387A">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9D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4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提高培训人员的从检能力</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C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4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B3920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F0AE">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55262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CCD6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3A23">
            <w:pPr>
              <w:jc w:val="center"/>
              <w:rPr>
                <w:rFonts w:hint="default" w:ascii="微软雅黑" w:hAnsi="微软雅黑" w:eastAsia="微软雅黑" w:cs="微软雅黑"/>
                <w:i w:val="0"/>
                <w:color w:val="000000"/>
                <w:sz w:val="16"/>
                <w:szCs w:val="16"/>
                <w:u w:val="none"/>
              </w:rPr>
            </w:pPr>
          </w:p>
        </w:tc>
      </w:tr>
      <w:tr w14:paraId="5CD5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CE6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597C">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324E">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F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选派干警到美姑挂职锻炼，帮助提升工作能力</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6C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0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FBB2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054">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26E5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13D7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238">
            <w:pPr>
              <w:jc w:val="center"/>
              <w:rPr>
                <w:rFonts w:hint="default" w:ascii="微软雅黑" w:hAnsi="微软雅黑" w:eastAsia="微软雅黑" w:cs="微软雅黑"/>
                <w:i w:val="0"/>
                <w:color w:val="000000"/>
                <w:sz w:val="16"/>
                <w:szCs w:val="16"/>
                <w:u w:val="none"/>
              </w:rPr>
            </w:pPr>
          </w:p>
        </w:tc>
      </w:tr>
      <w:tr w14:paraId="2783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5E9D">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CD48">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7E54">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研究和分析急需解决的问题和长远施援工作的可行性</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F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49C4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E0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F182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29F9B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29B9">
            <w:pPr>
              <w:jc w:val="center"/>
              <w:rPr>
                <w:rFonts w:hint="default" w:ascii="微软雅黑" w:hAnsi="微软雅黑" w:eastAsia="微软雅黑" w:cs="微软雅黑"/>
                <w:i w:val="0"/>
                <w:color w:val="000000"/>
                <w:sz w:val="16"/>
                <w:szCs w:val="16"/>
                <w:u w:val="none"/>
              </w:rPr>
            </w:pPr>
          </w:p>
        </w:tc>
      </w:tr>
      <w:tr w14:paraId="185F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E403">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AE01">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A35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6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2024年3月底前研究可行性</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2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D5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91C4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138">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C172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FD148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011D">
            <w:pPr>
              <w:jc w:val="center"/>
              <w:rPr>
                <w:rFonts w:hint="default" w:ascii="微软雅黑" w:hAnsi="微软雅黑" w:eastAsia="微软雅黑" w:cs="微软雅黑"/>
                <w:i w:val="0"/>
                <w:color w:val="000000"/>
                <w:sz w:val="16"/>
                <w:szCs w:val="16"/>
                <w:u w:val="none"/>
              </w:rPr>
            </w:pPr>
          </w:p>
        </w:tc>
      </w:tr>
      <w:tr w14:paraId="62E2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698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50B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74AC">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2024年4月-11月帮助提升从检能力</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A30F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5D0">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3A8D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87D4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0DC">
            <w:pPr>
              <w:jc w:val="center"/>
              <w:rPr>
                <w:rFonts w:hint="default" w:ascii="微软雅黑" w:hAnsi="微软雅黑" w:eastAsia="微软雅黑" w:cs="微软雅黑"/>
                <w:i w:val="0"/>
                <w:color w:val="000000"/>
                <w:sz w:val="16"/>
                <w:szCs w:val="16"/>
                <w:u w:val="none"/>
              </w:rPr>
            </w:pPr>
          </w:p>
        </w:tc>
      </w:tr>
      <w:tr w14:paraId="75E5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A7CE">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E09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07E2D">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B4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2024年底前帮助提升人才素质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3E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D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E9F1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A4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6D16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475D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F5D">
            <w:pPr>
              <w:jc w:val="center"/>
              <w:rPr>
                <w:rFonts w:hint="default" w:ascii="微软雅黑" w:hAnsi="微软雅黑" w:eastAsia="微软雅黑" w:cs="微软雅黑"/>
                <w:i w:val="0"/>
                <w:color w:val="000000"/>
                <w:sz w:val="16"/>
                <w:szCs w:val="16"/>
                <w:u w:val="none"/>
              </w:rPr>
            </w:pPr>
          </w:p>
        </w:tc>
      </w:tr>
      <w:tr w14:paraId="2FBF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86C6">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A3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F85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5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促进彝区经济社会加快发展、科学发展</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C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9760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23C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FEBC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2F12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CA6">
            <w:pPr>
              <w:jc w:val="center"/>
              <w:rPr>
                <w:rFonts w:hint="default" w:ascii="微软雅黑" w:hAnsi="微软雅黑" w:eastAsia="微软雅黑" w:cs="微软雅黑"/>
                <w:i w:val="0"/>
                <w:color w:val="000000"/>
                <w:sz w:val="16"/>
                <w:szCs w:val="16"/>
                <w:u w:val="none"/>
              </w:rPr>
            </w:pPr>
          </w:p>
        </w:tc>
      </w:tr>
      <w:tr w14:paraId="0F56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470D">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495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057C">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B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建立援藏援彝长效机制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1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6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5FA6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76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A79CD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F44C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57D8">
            <w:pPr>
              <w:jc w:val="center"/>
              <w:rPr>
                <w:rFonts w:hint="default" w:ascii="微软雅黑" w:hAnsi="微软雅黑" w:eastAsia="微软雅黑" w:cs="微软雅黑"/>
                <w:i w:val="0"/>
                <w:color w:val="000000"/>
                <w:sz w:val="16"/>
                <w:szCs w:val="16"/>
                <w:u w:val="none"/>
              </w:rPr>
            </w:pPr>
          </w:p>
        </w:tc>
      </w:tr>
      <w:tr w14:paraId="6CB4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AE0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4CB7">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6B8F">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8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维护国家安全统一、民族团结、社会和谐稳定</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7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2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65D1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0621">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EA120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63C7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16D6">
            <w:pPr>
              <w:jc w:val="center"/>
              <w:rPr>
                <w:rFonts w:hint="default" w:ascii="微软雅黑" w:hAnsi="微软雅黑" w:eastAsia="微软雅黑" w:cs="微软雅黑"/>
                <w:i w:val="0"/>
                <w:color w:val="000000"/>
                <w:sz w:val="16"/>
                <w:szCs w:val="16"/>
                <w:u w:val="none"/>
              </w:rPr>
            </w:pPr>
          </w:p>
        </w:tc>
      </w:tr>
      <w:tr w14:paraId="1C6C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A6CA">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680E">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835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2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推动美姑县检察院民主法治建设不断完善</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5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3E49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863">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0090A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D840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F0EF">
            <w:pPr>
              <w:jc w:val="center"/>
              <w:rPr>
                <w:rFonts w:hint="default" w:ascii="微软雅黑" w:hAnsi="微软雅黑" w:eastAsia="微软雅黑" w:cs="微软雅黑"/>
                <w:i w:val="0"/>
                <w:color w:val="000000"/>
                <w:sz w:val="16"/>
                <w:szCs w:val="16"/>
                <w:u w:val="none"/>
              </w:rPr>
            </w:pPr>
          </w:p>
        </w:tc>
      </w:tr>
      <w:tr w14:paraId="047B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8FE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DADD">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EA47">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9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促进社会主义和谐社会的构建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3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E490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67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54B0B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6CC8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AAE">
            <w:pPr>
              <w:jc w:val="center"/>
              <w:rPr>
                <w:rFonts w:hint="default" w:ascii="微软雅黑" w:hAnsi="微软雅黑" w:eastAsia="微软雅黑" w:cs="微软雅黑"/>
                <w:i w:val="0"/>
                <w:color w:val="000000"/>
                <w:sz w:val="16"/>
                <w:szCs w:val="16"/>
                <w:u w:val="none"/>
              </w:rPr>
            </w:pPr>
          </w:p>
        </w:tc>
      </w:tr>
      <w:tr w14:paraId="1CF9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442D">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3F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FB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美姑县人民群众满意度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F7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6BA23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482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C0DD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38DB8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9B2">
            <w:pPr>
              <w:jc w:val="center"/>
              <w:rPr>
                <w:rFonts w:hint="default" w:ascii="微软雅黑" w:hAnsi="微软雅黑" w:eastAsia="微软雅黑" w:cs="微软雅黑"/>
                <w:i w:val="0"/>
                <w:color w:val="000000"/>
                <w:sz w:val="16"/>
                <w:szCs w:val="16"/>
                <w:u w:val="none"/>
              </w:rPr>
            </w:pPr>
          </w:p>
        </w:tc>
      </w:tr>
      <w:tr w14:paraId="2960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6846">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A909">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5960">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美姑县检察院干警满意度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50B4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C8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8A1B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B342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F8FC">
            <w:pPr>
              <w:jc w:val="center"/>
              <w:rPr>
                <w:rFonts w:hint="default" w:ascii="微软雅黑" w:hAnsi="微软雅黑" w:eastAsia="微软雅黑" w:cs="微软雅黑"/>
                <w:i w:val="0"/>
                <w:color w:val="000000"/>
                <w:sz w:val="16"/>
                <w:szCs w:val="16"/>
                <w:u w:val="none"/>
              </w:rPr>
            </w:pPr>
          </w:p>
        </w:tc>
      </w:tr>
      <w:tr w14:paraId="267D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F56B">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D3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B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2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办公费、差旅费、生活补助费等开支</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5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1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7882D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D343">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E3BF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D4B2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5C71">
            <w:pPr>
              <w:jc w:val="center"/>
              <w:rPr>
                <w:rFonts w:hint="default" w:ascii="微软雅黑" w:hAnsi="微软雅黑" w:eastAsia="微软雅黑" w:cs="微软雅黑"/>
                <w:i w:val="0"/>
                <w:color w:val="000000"/>
                <w:sz w:val="16"/>
                <w:szCs w:val="16"/>
                <w:u w:val="none"/>
              </w:rPr>
            </w:pPr>
          </w:p>
        </w:tc>
      </w:tr>
      <w:tr w14:paraId="3A95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8E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45BCD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64E7E0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73B91CE8">
            <w:pPr>
              <w:rPr>
                <w:rFonts w:hint="eastAsia" w:ascii="宋体" w:hAnsi="宋体" w:eastAsia="宋体" w:cs="宋体"/>
                <w:i w:val="0"/>
                <w:color w:val="000000"/>
                <w:sz w:val="18"/>
                <w:szCs w:val="18"/>
                <w:u w:val="none"/>
              </w:rPr>
            </w:pPr>
          </w:p>
        </w:tc>
      </w:tr>
      <w:tr w14:paraId="79A7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1F73F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FDCBD4">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该项目自评得分94分。该项目整体实施情况良好，基本达成了预期目标。项目目标明确合理并在实施过程中得到了有效执行。</w:t>
            </w:r>
          </w:p>
        </w:tc>
      </w:tr>
      <w:tr w14:paraId="1D5A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571B2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E643FD">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经济成本指标设置不合理，未及时进行调整。</w:t>
            </w:r>
          </w:p>
        </w:tc>
      </w:tr>
      <w:tr w14:paraId="68EF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63162F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49718">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建立成本指标动态调整机制，根据任务进展情况及时对指标进行修订和完善，使指标始终保持科学性和有效性。</w:t>
            </w:r>
          </w:p>
        </w:tc>
      </w:tr>
      <w:tr w14:paraId="2EEE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3872B">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04B1ABF1">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14:paraId="2C7E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tcBorders>
              <w:top w:val="nil"/>
              <w:left w:val="nil"/>
              <w:bottom w:val="nil"/>
              <w:right w:val="nil"/>
            </w:tcBorders>
            <w:shd w:val="clear" w:color="auto" w:fill="auto"/>
            <w:vAlign w:val="center"/>
          </w:tcPr>
          <w:p w14:paraId="2C79EC31">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vAlign w:val="center"/>
          </w:tcPr>
          <w:p w14:paraId="08950993">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vAlign w:val="center"/>
          </w:tcPr>
          <w:p w14:paraId="337C14F8">
            <w:pPr>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auto"/>
            <w:vAlign w:val="center"/>
          </w:tcPr>
          <w:p w14:paraId="2EB23EE5">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3627D76F">
            <w:pPr>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auto"/>
            <w:vAlign w:val="center"/>
          </w:tcPr>
          <w:p w14:paraId="0990A0DF">
            <w:pPr>
              <w:rPr>
                <w:rFonts w:hint="eastAsia" w:ascii="宋体" w:hAnsi="宋体" w:eastAsia="宋体" w:cs="宋体"/>
                <w:i w:val="0"/>
                <w:color w:val="000000"/>
                <w:sz w:val="18"/>
                <w:szCs w:val="18"/>
                <w:u w:val="none"/>
              </w:rPr>
            </w:pPr>
          </w:p>
        </w:tc>
        <w:tc>
          <w:tcPr>
            <w:tcW w:w="707" w:type="dxa"/>
            <w:tcBorders>
              <w:top w:val="nil"/>
              <w:left w:val="nil"/>
              <w:bottom w:val="nil"/>
              <w:right w:val="nil"/>
            </w:tcBorders>
            <w:shd w:val="clear" w:color="auto" w:fill="auto"/>
            <w:vAlign w:val="center"/>
          </w:tcPr>
          <w:p w14:paraId="097D2E41">
            <w:pPr>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auto"/>
            <w:vAlign w:val="center"/>
          </w:tcPr>
          <w:p w14:paraId="19D01E50">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1EAEDAFC">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4388ADFD">
            <w:pPr>
              <w:rPr>
                <w:rFonts w:hint="eastAsia" w:ascii="宋体" w:hAnsi="宋体" w:eastAsia="宋体" w:cs="宋体"/>
                <w:i w:val="0"/>
                <w:color w:val="000000"/>
                <w:sz w:val="18"/>
                <w:szCs w:val="18"/>
                <w:u w:val="none"/>
              </w:rPr>
            </w:pPr>
          </w:p>
        </w:tc>
        <w:tc>
          <w:tcPr>
            <w:tcW w:w="1188" w:type="dxa"/>
            <w:tcBorders>
              <w:top w:val="nil"/>
              <w:left w:val="nil"/>
              <w:bottom w:val="nil"/>
              <w:right w:val="nil"/>
            </w:tcBorders>
            <w:shd w:val="clear" w:color="auto" w:fill="auto"/>
            <w:vAlign w:val="center"/>
          </w:tcPr>
          <w:p w14:paraId="5E7D988A">
            <w:pPr>
              <w:rPr>
                <w:rFonts w:hint="eastAsia" w:ascii="宋体" w:hAnsi="宋体" w:eastAsia="宋体" w:cs="宋体"/>
                <w:i w:val="0"/>
                <w:color w:val="000000"/>
                <w:sz w:val="18"/>
                <w:szCs w:val="18"/>
                <w:u w:val="none"/>
              </w:rPr>
            </w:pPr>
          </w:p>
        </w:tc>
      </w:tr>
      <w:tr w14:paraId="63A8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EE090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143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EB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5907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51190024T000010746895-2024年年初部门预算特定目标类项目120001市检察院检察业务宣传经费</w:t>
            </w:r>
          </w:p>
        </w:tc>
      </w:tr>
      <w:tr w14:paraId="00B8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807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ECB6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795DD404">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DD5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7938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A3B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E49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7A0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3939E9E3">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3280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2D1B">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C04B">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5B5F90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构建全方位、多角度、立体宣传格局，提高全市检察工作宣传水平，推动检察工作创新发展。搭建检察机关与人民群众的沟通桥梁，为检察工作发展营造良好社会舆论环境，提升检察机关的社会影响力。</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7B6DD5AA">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2024年宣传工作全方位加强同主流媒体深度合作，立足检察履职办案，策划专题宣传，全面完成了年度宣传任务目标。</w:t>
            </w:r>
          </w:p>
        </w:tc>
      </w:tr>
      <w:tr w14:paraId="1FF1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48A5">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687D6F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2978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加强与同主流媒体深度合作，立足检察履职办案，策划专题宣传，稿件获省级以上主流媒体新闻刊播105条，14项重点工作开设专栏，省级以上官方微信采用43条，官方微博采用80条，视频号采用4条。</w:t>
            </w:r>
          </w:p>
        </w:tc>
      </w:tr>
      <w:tr w14:paraId="71FC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37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9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2A3D4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7FA639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26CDF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7F97B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4CDE7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47A92B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065EC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EBA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A11E">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5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1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6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54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2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1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F80A">
            <w:pPr>
              <w:rPr>
                <w:rFonts w:hint="default" w:ascii="黑体" w:hAnsi="黑体" w:eastAsia="黑体" w:cs="黑体"/>
                <w:i w:val="0"/>
                <w:color w:val="000000"/>
                <w:sz w:val="18"/>
                <w:szCs w:val="18"/>
                <w:u w:val="none"/>
              </w:rPr>
            </w:pPr>
          </w:p>
        </w:tc>
      </w:tr>
      <w:tr w14:paraId="1B98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C710">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31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9F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15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33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4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B9AB">
            <w:pPr>
              <w:rPr>
                <w:rFonts w:hint="default" w:ascii="黑体" w:hAnsi="黑体" w:eastAsia="黑体" w:cs="黑体"/>
                <w:i w:val="0"/>
                <w:color w:val="000000"/>
                <w:sz w:val="18"/>
                <w:szCs w:val="18"/>
                <w:u w:val="none"/>
              </w:rPr>
            </w:pPr>
          </w:p>
        </w:tc>
      </w:tr>
      <w:tr w14:paraId="62F0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5F1E">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B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25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F5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0D8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0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7DE2">
            <w:pPr>
              <w:rPr>
                <w:rFonts w:hint="default" w:ascii="黑体" w:hAnsi="黑体" w:eastAsia="黑体" w:cs="黑体"/>
                <w:i w:val="0"/>
                <w:color w:val="000000"/>
                <w:sz w:val="18"/>
                <w:szCs w:val="18"/>
                <w:u w:val="none"/>
              </w:rPr>
            </w:pPr>
          </w:p>
        </w:tc>
      </w:tr>
      <w:tr w14:paraId="1160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94FF">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A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B7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8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0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F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3B48">
            <w:pPr>
              <w:rPr>
                <w:rFonts w:hint="default" w:ascii="黑体" w:hAnsi="黑体" w:eastAsia="黑体" w:cs="黑体"/>
                <w:i w:val="0"/>
                <w:color w:val="000000"/>
                <w:sz w:val="18"/>
                <w:szCs w:val="18"/>
                <w:u w:val="none"/>
              </w:rPr>
            </w:pPr>
          </w:p>
        </w:tc>
      </w:tr>
      <w:tr w14:paraId="2926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CEA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2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1ADB">
            <w:pPr>
              <w:jc w:val="center"/>
              <w:rPr>
                <w:rFonts w:hint="default"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EC2">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67414">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2C9E">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89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FF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044C">
            <w:pPr>
              <w:rPr>
                <w:rFonts w:hint="default" w:ascii="黑体" w:hAnsi="黑体" w:eastAsia="黑体" w:cs="黑体"/>
                <w:i w:val="0"/>
                <w:color w:val="000000"/>
                <w:sz w:val="18"/>
                <w:szCs w:val="18"/>
                <w:u w:val="none"/>
              </w:rPr>
            </w:pPr>
          </w:p>
        </w:tc>
      </w:tr>
      <w:tr w14:paraId="25C5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52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F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0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6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6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2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02A6D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3DE8E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FA4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CC7F">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9B9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75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省级以上主流媒体新闻刊（播）采用数量</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E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15A2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8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212A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0A0E7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FC0E">
            <w:pPr>
              <w:jc w:val="center"/>
              <w:rPr>
                <w:rFonts w:hint="default" w:ascii="微软雅黑" w:hAnsi="微软雅黑" w:eastAsia="微软雅黑" w:cs="微软雅黑"/>
                <w:i w:val="0"/>
                <w:color w:val="000000"/>
                <w:sz w:val="16"/>
                <w:szCs w:val="16"/>
                <w:u w:val="none"/>
              </w:rPr>
            </w:pPr>
          </w:p>
        </w:tc>
      </w:tr>
      <w:tr w14:paraId="497D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447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B02C">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ABAE">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FA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省级以上新媒体微信采用数量</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D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3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C019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B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EBAF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DC404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8F4">
            <w:pPr>
              <w:jc w:val="center"/>
              <w:rPr>
                <w:rFonts w:hint="default" w:ascii="微软雅黑" w:hAnsi="微软雅黑" w:eastAsia="微软雅黑" w:cs="微软雅黑"/>
                <w:i w:val="0"/>
                <w:color w:val="000000"/>
                <w:sz w:val="16"/>
                <w:szCs w:val="16"/>
                <w:u w:val="none"/>
              </w:rPr>
            </w:pPr>
          </w:p>
        </w:tc>
      </w:tr>
      <w:tr w14:paraId="1CA9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3E63">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943E">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780B">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官方网站、微博、微信、客户端更新数量</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32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E9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A33E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3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B889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10A1B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E50">
            <w:pPr>
              <w:jc w:val="center"/>
              <w:rPr>
                <w:rFonts w:hint="default" w:ascii="微软雅黑" w:hAnsi="微软雅黑" w:eastAsia="微软雅黑" w:cs="微软雅黑"/>
                <w:i w:val="0"/>
                <w:color w:val="000000"/>
                <w:sz w:val="16"/>
                <w:szCs w:val="16"/>
                <w:u w:val="none"/>
              </w:rPr>
            </w:pPr>
          </w:p>
        </w:tc>
      </w:tr>
      <w:tr w14:paraId="1FE2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F59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182F">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E168">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1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检察视频制作</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A0FE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0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487E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525B1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EB6">
            <w:pPr>
              <w:jc w:val="center"/>
              <w:rPr>
                <w:rFonts w:hint="default" w:ascii="微软雅黑" w:hAnsi="微软雅黑" w:eastAsia="微软雅黑" w:cs="微软雅黑"/>
                <w:i w:val="0"/>
                <w:color w:val="000000"/>
                <w:sz w:val="16"/>
                <w:szCs w:val="16"/>
                <w:u w:val="none"/>
              </w:rPr>
            </w:pPr>
          </w:p>
        </w:tc>
      </w:tr>
      <w:tr w14:paraId="58D4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08D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102D">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1AC0">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组织集中采访报道或召开新闻发布会</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E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E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B137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1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D2D3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01A9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DE4">
            <w:pPr>
              <w:jc w:val="center"/>
              <w:rPr>
                <w:rFonts w:hint="default" w:ascii="微软雅黑" w:hAnsi="微软雅黑" w:eastAsia="微软雅黑" w:cs="微软雅黑"/>
                <w:i w:val="0"/>
                <w:color w:val="000000"/>
                <w:sz w:val="16"/>
                <w:szCs w:val="16"/>
                <w:u w:val="none"/>
              </w:rPr>
            </w:pPr>
          </w:p>
        </w:tc>
      </w:tr>
      <w:tr w14:paraId="773A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8BF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03D8">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BBD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4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高质量完成中央级、省级主流新闻刊（播）量</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47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E91D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7A8F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6494D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779D">
            <w:pPr>
              <w:jc w:val="center"/>
              <w:rPr>
                <w:rFonts w:hint="default" w:ascii="微软雅黑" w:hAnsi="微软雅黑" w:eastAsia="微软雅黑" w:cs="微软雅黑"/>
                <w:i w:val="0"/>
                <w:color w:val="000000"/>
                <w:sz w:val="16"/>
                <w:szCs w:val="16"/>
                <w:u w:val="none"/>
              </w:rPr>
            </w:pPr>
          </w:p>
        </w:tc>
      </w:tr>
      <w:tr w14:paraId="392C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CD4D">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53E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4DC3">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E8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严格把关、避免出现媒体宣传事故</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B8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05BD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3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BC29F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D16C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D91">
            <w:pPr>
              <w:jc w:val="center"/>
              <w:rPr>
                <w:rFonts w:hint="default" w:ascii="微软雅黑" w:hAnsi="微软雅黑" w:eastAsia="微软雅黑" w:cs="微软雅黑"/>
                <w:i w:val="0"/>
                <w:color w:val="000000"/>
                <w:sz w:val="16"/>
                <w:szCs w:val="16"/>
                <w:u w:val="none"/>
              </w:rPr>
            </w:pPr>
          </w:p>
        </w:tc>
      </w:tr>
      <w:tr w14:paraId="0874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1FB4">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500B">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2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E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及时进行检察宣传、新闻报道</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A6AF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F7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B5DA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1649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818">
            <w:pPr>
              <w:jc w:val="center"/>
              <w:rPr>
                <w:rFonts w:hint="default" w:ascii="微软雅黑" w:hAnsi="微软雅黑" w:eastAsia="微软雅黑" w:cs="微软雅黑"/>
                <w:i w:val="0"/>
                <w:color w:val="000000"/>
                <w:sz w:val="16"/>
                <w:szCs w:val="16"/>
                <w:u w:val="none"/>
              </w:rPr>
            </w:pPr>
          </w:p>
        </w:tc>
      </w:tr>
      <w:tr w14:paraId="42B9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80E6">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CDD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1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搭建检察机关与人民群众的沟通桥梁</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D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4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B6F0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1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2F20E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A99D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A461">
            <w:pPr>
              <w:jc w:val="center"/>
              <w:rPr>
                <w:rFonts w:hint="default" w:ascii="微软雅黑" w:hAnsi="微软雅黑" w:eastAsia="微软雅黑" w:cs="微软雅黑"/>
                <w:i w:val="0"/>
                <w:color w:val="000000"/>
                <w:sz w:val="16"/>
                <w:szCs w:val="16"/>
                <w:u w:val="none"/>
              </w:rPr>
            </w:pPr>
          </w:p>
        </w:tc>
      </w:tr>
      <w:tr w14:paraId="7F51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B64B">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CFDB">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30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5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提高全市检察工作宣传水平</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E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7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7074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A04E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8163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2579">
            <w:pPr>
              <w:jc w:val="center"/>
              <w:rPr>
                <w:rFonts w:hint="default" w:ascii="微软雅黑" w:hAnsi="微软雅黑" w:eastAsia="微软雅黑" w:cs="微软雅黑"/>
                <w:i w:val="0"/>
                <w:color w:val="000000"/>
                <w:sz w:val="16"/>
                <w:szCs w:val="16"/>
                <w:u w:val="none"/>
              </w:rPr>
            </w:pPr>
          </w:p>
        </w:tc>
      </w:tr>
      <w:tr w14:paraId="3D28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9C42">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409B">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260E">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2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提升检察机关的社会影响力</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9B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4D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2190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5D89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04D0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DF12">
            <w:pPr>
              <w:jc w:val="center"/>
              <w:rPr>
                <w:rFonts w:hint="default" w:ascii="微软雅黑" w:hAnsi="微软雅黑" w:eastAsia="微软雅黑" w:cs="微软雅黑"/>
                <w:i w:val="0"/>
                <w:color w:val="000000"/>
                <w:sz w:val="16"/>
                <w:szCs w:val="16"/>
                <w:u w:val="none"/>
              </w:rPr>
            </w:pPr>
          </w:p>
        </w:tc>
      </w:tr>
      <w:tr w14:paraId="3C23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FE6C">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2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6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7CB4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B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DC34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5BEF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1C1">
            <w:pPr>
              <w:jc w:val="center"/>
              <w:rPr>
                <w:rFonts w:hint="default" w:ascii="微软雅黑" w:hAnsi="微软雅黑" w:eastAsia="微软雅黑" w:cs="微软雅黑"/>
                <w:i w:val="0"/>
                <w:color w:val="000000"/>
                <w:sz w:val="16"/>
                <w:szCs w:val="16"/>
                <w:u w:val="none"/>
              </w:rPr>
            </w:pPr>
          </w:p>
        </w:tc>
      </w:tr>
      <w:tr w14:paraId="5616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229B">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C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宣传人员培训、宣传视频制作、宣传活动开展、宣传资料印刷等支出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9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1A6FE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6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66A5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78C6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F6C7">
            <w:pPr>
              <w:jc w:val="center"/>
              <w:rPr>
                <w:rFonts w:hint="default" w:ascii="微软雅黑" w:hAnsi="微软雅黑" w:eastAsia="微软雅黑" w:cs="微软雅黑"/>
                <w:i w:val="0"/>
                <w:color w:val="000000"/>
                <w:sz w:val="16"/>
                <w:szCs w:val="16"/>
                <w:u w:val="none"/>
              </w:rPr>
            </w:pPr>
          </w:p>
        </w:tc>
      </w:tr>
      <w:tr w14:paraId="5918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D8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500A4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596FE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0C64586D">
            <w:pPr>
              <w:rPr>
                <w:rFonts w:hint="eastAsia" w:ascii="宋体" w:hAnsi="宋体" w:eastAsia="宋体" w:cs="宋体"/>
                <w:i w:val="0"/>
                <w:color w:val="000000"/>
                <w:sz w:val="18"/>
                <w:szCs w:val="18"/>
                <w:u w:val="none"/>
              </w:rPr>
            </w:pPr>
          </w:p>
        </w:tc>
      </w:tr>
      <w:tr w14:paraId="07D4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2CF55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3D76A7">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项目自评得分100分。该项目在戈尔方面表现出色，超越了预期目标，项目产出成果质量高，数量和质量都超过了计划要求，对</w:t>
            </w:r>
            <w:r>
              <w:rPr>
                <w:rFonts w:hint="eastAsia" w:ascii="微软雅黑" w:hAnsi="微软雅黑" w:eastAsia="微软雅黑" w:cs="微软雅黑"/>
                <w:i w:val="0"/>
                <w:color w:val="000000"/>
                <w:kern w:val="0"/>
                <w:sz w:val="16"/>
                <w:szCs w:val="16"/>
                <w:u w:val="none"/>
                <w:lang w:val="en-US" w:eastAsia="zh-CN" w:bidi="ar"/>
              </w:rPr>
              <w:t>社会效益</w:t>
            </w:r>
            <w:r>
              <w:rPr>
                <w:rFonts w:hint="default" w:ascii="微软雅黑" w:hAnsi="微软雅黑" w:eastAsia="微软雅黑" w:cs="微软雅黑"/>
                <w:i w:val="0"/>
                <w:color w:val="000000"/>
                <w:kern w:val="0"/>
                <w:sz w:val="16"/>
                <w:szCs w:val="16"/>
                <w:u w:val="none"/>
                <w:lang w:val="en-US" w:eastAsia="zh-CN" w:bidi="ar"/>
              </w:rPr>
              <w:t>和可持续影响效益产生了显著地积极影响。</w:t>
            </w:r>
          </w:p>
        </w:tc>
      </w:tr>
      <w:tr w14:paraId="12F5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3E02EA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414E8">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6CE9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1C007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160CD7">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7896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141D5">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4CA0EF1A">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14:paraId="0EA1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3CA63">
            <w:pPr>
              <w:keepNext w:val="0"/>
              <w:keepLines w:val="0"/>
              <w:widowControl/>
              <w:suppressLineNumbers w:val="0"/>
              <w:jc w:val="left"/>
              <w:textAlignment w:val="center"/>
              <w:rPr>
                <w:rFonts w:hint="default" w:ascii="黑体" w:hAnsi="黑体" w:eastAsia="黑体" w:cs="黑体"/>
                <w:i w:val="0"/>
                <w:color w:val="000000"/>
                <w:kern w:val="0"/>
                <w:sz w:val="18"/>
                <w:szCs w:val="18"/>
                <w:u w:val="none"/>
                <w:lang w:val="en-US" w:eastAsia="zh-CN" w:bidi="ar"/>
              </w:rPr>
            </w:pP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12C3AE86">
            <w:pPr>
              <w:keepNext w:val="0"/>
              <w:keepLines w:val="0"/>
              <w:widowControl/>
              <w:suppressLineNumbers w:val="0"/>
              <w:jc w:val="left"/>
              <w:textAlignment w:val="center"/>
              <w:rPr>
                <w:rFonts w:hint="default" w:ascii="黑体" w:hAnsi="黑体" w:eastAsia="黑体" w:cs="黑体"/>
                <w:i w:val="0"/>
                <w:color w:val="000000"/>
                <w:kern w:val="0"/>
                <w:sz w:val="18"/>
                <w:szCs w:val="18"/>
                <w:u w:val="none"/>
                <w:lang w:val="en-US" w:eastAsia="zh-CN" w:bidi="ar"/>
              </w:rPr>
            </w:pPr>
          </w:p>
        </w:tc>
      </w:tr>
      <w:tr w14:paraId="6C76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tcBorders>
              <w:top w:val="nil"/>
              <w:left w:val="nil"/>
              <w:bottom w:val="nil"/>
              <w:right w:val="nil"/>
            </w:tcBorders>
            <w:shd w:val="clear" w:color="auto" w:fill="auto"/>
            <w:vAlign w:val="center"/>
          </w:tcPr>
          <w:p w14:paraId="49F2223E">
            <w:pPr>
              <w:rPr>
                <w:rFonts w:hint="eastAsia" w:ascii="宋体" w:hAnsi="宋体" w:eastAsia="宋体" w:cs="宋体"/>
                <w:i w:val="0"/>
                <w:color w:val="000000"/>
                <w:sz w:val="18"/>
                <w:szCs w:val="18"/>
                <w:u w:val="none"/>
              </w:rPr>
            </w:pPr>
          </w:p>
          <w:p w14:paraId="7749AA28">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vAlign w:val="center"/>
          </w:tcPr>
          <w:p w14:paraId="0C7C0E7C">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vAlign w:val="center"/>
          </w:tcPr>
          <w:p w14:paraId="0BA6D654">
            <w:pPr>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auto"/>
            <w:vAlign w:val="center"/>
          </w:tcPr>
          <w:p w14:paraId="32E671CB">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6E09ACBB">
            <w:pPr>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auto"/>
            <w:vAlign w:val="center"/>
          </w:tcPr>
          <w:p w14:paraId="54B838CC">
            <w:pPr>
              <w:rPr>
                <w:rFonts w:hint="eastAsia" w:ascii="宋体" w:hAnsi="宋体" w:eastAsia="宋体" w:cs="宋体"/>
                <w:i w:val="0"/>
                <w:color w:val="000000"/>
                <w:sz w:val="18"/>
                <w:szCs w:val="18"/>
                <w:u w:val="none"/>
              </w:rPr>
            </w:pPr>
          </w:p>
        </w:tc>
        <w:tc>
          <w:tcPr>
            <w:tcW w:w="707" w:type="dxa"/>
            <w:tcBorders>
              <w:top w:val="nil"/>
              <w:left w:val="nil"/>
              <w:bottom w:val="nil"/>
              <w:right w:val="nil"/>
            </w:tcBorders>
            <w:shd w:val="clear" w:color="auto" w:fill="auto"/>
            <w:vAlign w:val="center"/>
          </w:tcPr>
          <w:p w14:paraId="72281B17">
            <w:pPr>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auto"/>
            <w:vAlign w:val="center"/>
          </w:tcPr>
          <w:p w14:paraId="0F39770B">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6B236784">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6300BBF7">
            <w:pPr>
              <w:rPr>
                <w:rFonts w:hint="eastAsia" w:ascii="宋体" w:hAnsi="宋体" w:eastAsia="宋体" w:cs="宋体"/>
                <w:i w:val="0"/>
                <w:color w:val="000000"/>
                <w:sz w:val="18"/>
                <w:szCs w:val="18"/>
                <w:u w:val="none"/>
              </w:rPr>
            </w:pPr>
          </w:p>
        </w:tc>
        <w:tc>
          <w:tcPr>
            <w:tcW w:w="1188" w:type="dxa"/>
            <w:tcBorders>
              <w:top w:val="nil"/>
              <w:left w:val="nil"/>
              <w:bottom w:val="nil"/>
              <w:right w:val="nil"/>
            </w:tcBorders>
            <w:shd w:val="clear" w:color="auto" w:fill="auto"/>
            <w:vAlign w:val="center"/>
          </w:tcPr>
          <w:p w14:paraId="20B6DA98">
            <w:pPr>
              <w:rPr>
                <w:rFonts w:hint="eastAsia" w:ascii="宋体" w:hAnsi="宋体" w:eastAsia="宋体" w:cs="宋体"/>
                <w:i w:val="0"/>
                <w:color w:val="000000"/>
                <w:sz w:val="18"/>
                <w:szCs w:val="18"/>
                <w:u w:val="none"/>
              </w:rPr>
            </w:pPr>
          </w:p>
        </w:tc>
      </w:tr>
      <w:tr w14:paraId="6D44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0C1A3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75B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44C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FA9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51190024T000010747078-2024年年初部门预算特定目标类项目120001市检察院检察业务（办案）费</w:t>
            </w:r>
          </w:p>
        </w:tc>
      </w:tr>
      <w:tr w14:paraId="29B7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765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4B4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229AA36A">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34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5444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F9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2F1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38B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2F3746E0">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4108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5015">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F882">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2CE401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完成扫黑除恶等各类办案任务，提升干警从检能力，提高办案质量，打击违法犯罪。促进法治公平，彰显司法正义，实现社会长治久安。</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005A4C13">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依法行使法律监督职责，开展扫黑除恶等各类案件的办理，全力打击违法犯罪，维护社会安全稳定。</w:t>
            </w:r>
          </w:p>
        </w:tc>
      </w:tr>
      <w:tr w14:paraId="6637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E38F">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6E0A93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031A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依法行使法律监督职责，开展扫黑除恶等各类案件的办理，全力打击违法犯罪，维护社会安全稳定，聚焦公平正义，高效发挥法律监督职能，进一步促进法治公平，彰显司法正义，实现社会长治久安。</w:t>
            </w:r>
          </w:p>
        </w:tc>
      </w:tr>
      <w:tr w14:paraId="527E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991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B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4B4FA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0E203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2B462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6D8AE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0671F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4E839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2441C1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F11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8512">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F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7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6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149.15</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4B8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149.15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E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A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8DDC">
            <w:pPr>
              <w:rPr>
                <w:rFonts w:hint="default" w:ascii="黑体" w:hAnsi="黑体" w:eastAsia="黑体" w:cs="黑体"/>
                <w:i w:val="0"/>
                <w:color w:val="000000"/>
                <w:sz w:val="18"/>
                <w:szCs w:val="18"/>
                <w:u w:val="none"/>
              </w:rPr>
            </w:pPr>
          </w:p>
        </w:tc>
      </w:tr>
      <w:tr w14:paraId="7FA9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41F1">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A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0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149.15</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D66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149.15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0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0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533C">
            <w:pPr>
              <w:rPr>
                <w:rFonts w:hint="default" w:ascii="黑体" w:hAnsi="黑体" w:eastAsia="黑体" w:cs="黑体"/>
                <w:i w:val="0"/>
                <w:color w:val="000000"/>
                <w:sz w:val="18"/>
                <w:szCs w:val="18"/>
                <w:u w:val="none"/>
              </w:rPr>
            </w:pPr>
          </w:p>
        </w:tc>
      </w:tr>
      <w:tr w14:paraId="012C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0192">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15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6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7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F5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7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9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2A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6804">
            <w:pPr>
              <w:rPr>
                <w:rFonts w:hint="default" w:ascii="黑体" w:hAnsi="黑体" w:eastAsia="黑体" w:cs="黑体"/>
                <w:i w:val="0"/>
                <w:color w:val="000000"/>
                <w:sz w:val="18"/>
                <w:szCs w:val="18"/>
                <w:u w:val="none"/>
              </w:rPr>
            </w:pPr>
          </w:p>
        </w:tc>
      </w:tr>
      <w:tr w14:paraId="5B4E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4E0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5F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01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7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C4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7A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BD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F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6210">
            <w:pPr>
              <w:rPr>
                <w:rFonts w:hint="default" w:ascii="黑体" w:hAnsi="黑体" w:eastAsia="黑体" w:cs="黑体"/>
                <w:i w:val="0"/>
                <w:color w:val="000000"/>
                <w:sz w:val="18"/>
                <w:szCs w:val="18"/>
                <w:u w:val="none"/>
              </w:rPr>
            </w:pPr>
          </w:p>
        </w:tc>
      </w:tr>
      <w:tr w14:paraId="3A4E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8E9F">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41D">
            <w:pPr>
              <w:jc w:val="center"/>
              <w:rPr>
                <w:rFonts w:hint="default"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3C7">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A1721">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8521">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7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5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AE46">
            <w:pPr>
              <w:rPr>
                <w:rFonts w:hint="default" w:ascii="黑体" w:hAnsi="黑体" w:eastAsia="黑体" w:cs="黑体"/>
                <w:i w:val="0"/>
                <w:color w:val="000000"/>
                <w:sz w:val="18"/>
                <w:szCs w:val="18"/>
                <w:u w:val="none"/>
              </w:rPr>
            </w:pPr>
          </w:p>
        </w:tc>
      </w:tr>
      <w:tr w14:paraId="55BA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F11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C1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3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C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1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23EB6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C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4C326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AE5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CCD4">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0B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3B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1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办理民事、行政等诉讼监督案件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8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C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1888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6465">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82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6A04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67EE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E306">
            <w:pPr>
              <w:jc w:val="center"/>
              <w:rPr>
                <w:rFonts w:hint="default" w:ascii="微软雅黑" w:hAnsi="微软雅黑" w:eastAsia="微软雅黑" w:cs="微软雅黑"/>
                <w:i w:val="0"/>
                <w:color w:val="000000"/>
                <w:sz w:val="16"/>
                <w:szCs w:val="16"/>
                <w:u w:val="none"/>
              </w:rPr>
            </w:pPr>
          </w:p>
        </w:tc>
      </w:tr>
      <w:tr w14:paraId="44DE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C124">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638F">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DF64">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2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开展社区矫正监督检察</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C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4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3B3B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FE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4874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AB7C7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7138">
            <w:pPr>
              <w:jc w:val="center"/>
              <w:rPr>
                <w:rFonts w:hint="default" w:ascii="微软雅黑" w:hAnsi="微软雅黑" w:eastAsia="微软雅黑" w:cs="微软雅黑"/>
                <w:i w:val="0"/>
                <w:color w:val="000000"/>
                <w:sz w:val="16"/>
                <w:szCs w:val="16"/>
                <w:u w:val="none"/>
              </w:rPr>
            </w:pPr>
          </w:p>
        </w:tc>
      </w:tr>
      <w:tr w14:paraId="6278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BD5D">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4F0E">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B849">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A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对全市社区矫正检察工作进行督导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B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6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09A1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EBA9">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E034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27D5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AB57">
            <w:pPr>
              <w:jc w:val="center"/>
              <w:rPr>
                <w:rFonts w:hint="default" w:ascii="微软雅黑" w:hAnsi="微软雅黑" w:eastAsia="微软雅黑" w:cs="微软雅黑"/>
                <w:i w:val="0"/>
                <w:color w:val="000000"/>
                <w:sz w:val="16"/>
                <w:szCs w:val="16"/>
                <w:u w:val="none"/>
              </w:rPr>
            </w:pPr>
          </w:p>
        </w:tc>
      </w:tr>
      <w:tr w14:paraId="4895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A5651">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39C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7164">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E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办理职务犯罪案件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AE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FE25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7D5B">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8376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BBFB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283C">
            <w:pPr>
              <w:jc w:val="center"/>
              <w:rPr>
                <w:rFonts w:hint="default" w:ascii="微软雅黑" w:hAnsi="微软雅黑" w:eastAsia="微软雅黑" w:cs="微软雅黑"/>
                <w:i w:val="0"/>
                <w:color w:val="000000"/>
                <w:sz w:val="16"/>
                <w:szCs w:val="16"/>
                <w:u w:val="none"/>
              </w:rPr>
            </w:pPr>
          </w:p>
        </w:tc>
      </w:tr>
      <w:tr w14:paraId="32D2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DDA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B62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BBE1">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4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办理组织卖淫等各类影响社会治安案件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F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C8B9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8AB">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40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2D807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95A5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A0F">
            <w:pPr>
              <w:jc w:val="center"/>
              <w:rPr>
                <w:rFonts w:hint="default" w:ascii="微软雅黑" w:hAnsi="微软雅黑" w:eastAsia="微软雅黑" w:cs="微软雅黑"/>
                <w:i w:val="0"/>
                <w:color w:val="000000"/>
                <w:sz w:val="16"/>
                <w:szCs w:val="16"/>
                <w:u w:val="none"/>
              </w:rPr>
            </w:pPr>
          </w:p>
        </w:tc>
      </w:tr>
      <w:tr w14:paraId="313F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5A89">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5EE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939C">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3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立案办理公益诉讼案件数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8F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9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B605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0F8">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05F5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77DC1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45D">
            <w:pPr>
              <w:jc w:val="center"/>
              <w:rPr>
                <w:rFonts w:hint="default" w:ascii="微软雅黑" w:hAnsi="微软雅黑" w:eastAsia="微软雅黑" w:cs="微软雅黑"/>
                <w:i w:val="0"/>
                <w:color w:val="000000"/>
                <w:sz w:val="16"/>
                <w:szCs w:val="16"/>
                <w:u w:val="none"/>
              </w:rPr>
            </w:pPr>
          </w:p>
        </w:tc>
      </w:tr>
      <w:tr w14:paraId="0138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9E6FE">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FCF0">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D2B7">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办理群众信访数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C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00AD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C57">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362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B39C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A1B1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E678">
            <w:pPr>
              <w:jc w:val="center"/>
              <w:rPr>
                <w:rFonts w:hint="default" w:ascii="微软雅黑" w:hAnsi="微软雅黑" w:eastAsia="微软雅黑" w:cs="微软雅黑"/>
                <w:i w:val="0"/>
                <w:color w:val="000000"/>
                <w:sz w:val="16"/>
                <w:szCs w:val="16"/>
                <w:u w:val="none"/>
              </w:rPr>
            </w:pPr>
          </w:p>
        </w:tc>
      </w:tr>
      <w:tr w14:paraId="130C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EE52">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09D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7876">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8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办理公益诉讼请示案件数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4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00A9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330">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7334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B592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D492">
            <w:pPr>
              <w:jc w:val="center"/>
              <w:rPr>
                <w:rFonts w:hint="default" w:ascii="微软雅黑" w:hAnsi="微软雅黑" w:eastAsia="微软雅黑" w:cs="微软雅黑"/>
                <w:i w:val="0"/>
                <w:color w:val="000000"/>
                <w:sz w:val="16"/>
                <w:szCs w:val="16"/>
                <w:u w:val="none"/>
              </w:rPr>
            </w:pPr>
          </w:p>
        </w:tc>
      </w:tr>
      <w:tr w14:paraId="724B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F33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5B38">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DB28">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5F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刑事提出抗诉数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EB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0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A5BE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FE0">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8</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EF4E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C5AB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6A4">
            <w:pPr>
              <w:jc w:val="center"/>
              <w:rPr>
                <w:rFonts w:hint="default" w:ascii="微软雅黑" w:hAnsi="微软雅黑" w:eastAsia="微软雅黑" w:cs="微软雅黑"/>
                <w:i w:val="0"/>
                <w:color w:val="000000"/>
                <w:sz w:val="16"/>
                <w:szCs w:val="16"/>
                <w:u w:val="none"/>
              </w:rPr>
            </w:pPr>
          </w:p>
        </w:tc>
      </w:tr>
      <w:tr w14:paraId="6DDC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FD36">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B7B9">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F40A">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办理扫黑除恶及其他普通、重大刑事犯罪案件一审公诉、审查逮捕案件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2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12A3D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A8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4B14F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252D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126">
            <w:pPr>
              <w:jc w:val="center"/>
              <w:rPr>
                <w:rFonts w:hint="default" w:ascii="微软雅黑" w:hAnsi="微软雅黑" w:eastAsia="微软雅黑" w:cs="微软雅黑"/>
                <w:i w:val="0"/>
                <w:color w:val="000000"/>
                <w:sz w:val="16"/>
                <w:szCs w:val="16"/>
                <w:u w:val="none"/>
              </w:rPr>
            </w:pPr>
          </w:p>
        </w:tc>
      </w:tr>
      <w:tr w14:paraId="5C64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C8CB">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C58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8C20">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0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办理其它各类案件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9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FA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13B8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D67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108</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4EF23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F14E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E82C">
            <w:pPr>
              <w:jc w:val="center"/>
              <w:rPr>
                <w:rFonts w:hint="default" w:ascii="微软雅黑" w:hAnsi="微软雅黑" w:eastAsia="微软雅黑" w:cs="微软雅黑"/>
                <w:i w:val="0"/>
                <w:color w:val="000000"/>
                <w:sz w:val="16"/>
                <w:szCs w:val="16"/>
                <w:u w:val="none"/>
              </w:rPr>
            </w:pPr>
          </w:p>
        </w:tc>
      </w:tr>
      <w:tr w14:paraId="2F67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9474">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C264">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D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2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无冤错案件发生</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0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1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F611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3F27">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C1016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CE45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FFC8">
            <w:pPr>
              <w:jc w:val="center"/>
              <w:rPr>
                <w:rFonts w:hint="default" w:ascii="微软雅黑" w:hAnsi="微软雅黑" w:eastAsia="微软雅黑" w:cs="微软雅黑"/>
                <w:i w:val="0"/>
                <w:color w:val="000000"/>
                <w:sz w:val="16"/>
                <w:szCs w:val="16"/>
                <w:u w:val="none"/>
              </w:rPr>
            </w:pPr>
          </w:p>
        </w:tc>
      </w:tr>
      <w:tr w14:paraId="5FF5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47A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394B">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F4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各办案部门在时效期内办理各类案件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B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E3F0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DB0">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ACBD7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6677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2A24">
            <w:pPr>
              <w:jc w:val="center"/>
              <w:rPr>
                <w:rFonts w:hint="default" w:ascii="微软雅黑" w:hAnsi="微软雅黑" w:eastAsia="微软雅黑" w:cs="微软雅黑"/>
                <w:i w:val="0"/>
                <w:color w:val="000000"/>
                <w:sz w:val="16"/>
                <w:szCs w:val="16"/>
                <w:u w:val="none"/>
              </w:rPr>
            </w:pPr>
          </w:p>
        </w:tc>
      </w:tr>
      <w:tr w14:paraId="771A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7302">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EB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A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追缴生态修复费用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2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D757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4A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1.76</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2CEA1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6E56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F21">
            <w:pPr>
              <w:jc w:val="center"/>
              <w:rPr>
                <w:rFonts w:hint="default" w:ascii="微软雅黑" w:hAnsi="微软雅黑" w:eastAsia="微软雅黑" w:cs="微软雅黑"/>
                <w:i w:val="0"/>
                <w:color w:val="000000"/>
                <w:sz w:val="16"/>
                <w:szCs w:val="16"/>
                <w:u w:val="none"/>
              </w:rPr>
            </w:pPr>
          </w:p>
        </w:tc>
      </w:tr>
      <w:tr w14:paraId="1CC0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EB3F">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C473">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促进法治公平，彰显司法正义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4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D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2A39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26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B1E8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B794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1226">
            <w:pPr>
              <w:jc w:val="center"/>
              <w:rPr>
                <w:rFonts w:hint="default" w:ascii="微软雅黑" w:hAnsi="微软雅黑" w:eastAsia="微软雅黑" w:cs="微软雅黑"/>
                <w:i w:val="0"/>
                <w:color w:val="000000"/>
                <w:sz w:val="16"/>
                <w:szCs w:val="16"/>
                <w:u w:val="none"/>
              </w:rPr>
            </w:pPr>
          </w:p>
        </w:tc>
      </w:tr>
      <w:tr w14:paraId="22D5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8C0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28B2C">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43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环境和谐美好宜居，天更蓝水更绿山更青</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B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70FB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B97">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E2BA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7D8E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7CB5">
            <w:pPr>
              <w:jc w:val="center"/>
              <w:rPr>
                <w:rFonts w:hint="default" w:ascii="微软雅黑" w:hAnsi="微软雅黑" w:eastAsia="微软雅黑" w:cs="微软雅黑"/>
                <w:i w:val="0"/>
                <w:color w:val="000000"/>
                <w:sz w:val="16"/>
                <w:szCs w:val="16"/>
                <w:u w:val="none"/>
              </w:rPr>
            </w:pPr>
          </w:p>
        </w:tc>
      </w:tr>
      <w:tr w14:paraId="5F6C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78BB">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4AB3">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386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6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提升干警从检能力，提高办案质量</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C0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1845E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6B4">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C0A9E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2A37A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905">
            <w:pPr>
              <w:jc w:val="center"/>
              <w:rPr>
                <w:rFonts w:hint="default" w:ascii="微软雅黑" w:hAnsi="微软雅黑" w:eastAsia="微软雅黑" w:cs="微软雅黑"/>
                <w:i w:val="0"/>
                <w:color w:val="000000"/>
                <w:sz w:val="16"/>
                <w:szCs w:val="16"/>
                <w:u w:val="none"/>
              </w:rPr>
            </w:pPr>
          </w:p>
        </w:tc>
      </w:tr>
      <w:tr w14:paraId="05BF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8877">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B05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77D5">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E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打击违法犯罪，实现社会长治久安</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0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EA64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720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3E2B2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B933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8521">
            <w:pPr>
              <w:jc w:val="center"/>
              <w:rPr>
                <w:rFonts w:hint="default" w:ascii="微软雅黑" w:hAnsi="微软雅黑" w:eastAsia="微软雅黑" w:cs="微软雅黑"/>
                <w:i w:val="0"/>
                <w:color w:val="000000"/>
                <w:sz w:val="16"/>
                <w:szCs w:val="16"/>
                <w:u w:val="none"/>
              </w:rPr>
            </w:pPr>
          </w:p>
        </w:tc>
      </w:tr>
      <w:tr w14:paraId="687F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828F1">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F7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4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2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案件当事人满意度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4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1F21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CD7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AD34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C3BE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59E2">
            <w:pPr>
              <w:jc w:val="center"/>
              <w:rPr>
                <w:rFonts w:hint="default" w:ascii="微软雅黑" w:hAnsi="微软雅黑" w:eastAsia="微软雅黑" w:cs="微软雅黑"/>
                <w:i w:val="0"/>
                <w:color w:val="000000"/>
                <w:sz w:val="16"/>
                <w:szCs w:val="16"/>
                <w:u w:val="none"/>
              </w:rPr>
            </w:pPr>
          </w:p>
        </w:tc>
      </w:tr>
      <w:tr w14:paraId="730A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8C16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4B3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1091">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5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干警满意度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A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6C323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A7F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74558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9A01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965">
            <w:pPr>
              <w:jc w:val="center"/>
              <w:rPr>
                <w:rFonts w:hint="default" w:ascii="微软雅黑" w:hAnsi="微软雅黑" w:eastAsia="微软雅黑" w:cs="微软雅黑"/>
                <w:i w:val="0"/>
                <w:color w:val="000000"/>
                <w:sz w:val="16"/>
                <w:szCs w:val="16"/>
                <w:u w:val="none"/>
              </w:rPr>
            </w:pPr>
          </w:p>
        </w:tc>
      </w:tr>
      <w:tr w14:paraId="7560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45D68">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6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差旅费、办公费等支出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0D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A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390FB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803">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149.15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7D96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26EF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3A65">
            <w:pPr>
              <w:jc w:val="center"/>
              <w:rPr>
                <w:rFonts w:hint="default" w:ascii="微软雅黑" w:hAnsi="微软雅黑" w:eastAsia="微软雅黑" w:cs="微软雅黑"/>
                <w:i w:val="0"/>
                <w:color w:val="000000"/>
                <w:sz w:val="16"/>
                <w:szCs w:val="16"/>
                <w:u w:val="none"/>
              </w:rPr>
            </w:pPr>
          </w:p>
        </w:tc>
      </w:tr>
      <w:tr w14:paraId="6A26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0A8D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477C9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44C64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6517E8D0">
            <w:pPr>
              <w:rPr>
                <w:rFonts w:hint="eastAsia" w:ascii="宋体" w:hAnsi="宋体" w:eastAsia="宋体" w:cs="宋体"/>
                <w:i w:val="0"/>
                <w:color w:val="000000"/>
                <w:sz w:val="18"/>
                <w:szCs w:val="18"/>
                <w:u w:val="none"/>
              </w:rPr>
            </w:pPr>
          </w:p>
        </w:tc>
      </w:tr>
      <w:tr w14:paraId="550E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13076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20445">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项目自评得分97分。该项目布标清洗，与组织占率高度契合。在实施过程中，严格按计划执行，各项任务均大道既定目标。</w:t>
            </w:r>
          </w:p>
        </w:tc>
      </w:tr>
      <w:tr w14:paraId="0165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2139B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0B63D">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E49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59FF8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B9CC67">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无</w:t>
            </w:r>
          </w:p>
        </w:tc>
      </w:tr>
      <w:tr w14:paraId="3406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03486">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66F732C2">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r w14:paraId="02BC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tcBorders>
              <w:top w:val="nil"/>
              <w:left w:val="nil"/>
              <w:bottom w:val="nil"/>
              <w:right w:val="nil"/>
            </w:tcBorders>
            <w:shd w:val="clear" w:color="auto" w:fill="auto"/>
            <w:vAlign w:val="center"/>
          </w:tcPr>
          <w:p w14:paraId="2B9D5378">
            <w:pPr>
              <w:rPr>
                <w:rFonts w:hint="eastAsia" w:ascii="宋体" w:hAnsi="宋体" w:eastAsia="宋体" w:cs="宋体"/>
                <w:i w:val="0"/>
                <w:color w:val="000000"/>
                <w:sz w:val="18"/>
                <w:szCs w:val="18"/>
                <w:u w:val="none"/>
              </w:rPr>
            </w:pPr>
          </w:p>
          <w:p w14:paraId="053FC8B8">
            <w:pPr>
              <w:rPr>
                <w:rFonts w:hint="eastAsia" w:ascii="宋体" w:hAnsi="宋体" w:eastAsia="宋体" w:cs="宋体"/>
                <w:i w:val="0"/>
                <w:color w:val="000000"/>
                <w:sz w:val="18"/>
                <w:szCs w:val="18"/>
                <w:u w:val="none"/>
              </w:rPr>
            </w:pPr>
          </w:p>
        </w:tc>
        <w:tc>
          <w:tcPr>
            <w:tcW w:w="979" w:type="dxa"/>
            <w:tcBorders>
              <w:top w:val="nil"/>
              <w:left w:val="nil"/>
              <w:bottom w:val="nil"/>
              <w:right w:val="nil"/>
            </w:tcBorders>
            <w:shd w:val="clear" w:color="auto" w:fill="auto"/>
            <w:vAlign w:val="center"/>
          </w:tcPr>
          <w:p w14:paraId="21CA4EF4">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vAlign w:val="center"/>
          </w:tcPr>
          <w:p w14:paraId="3CC07EC6">
            <w:pPr>
              <w:rPr>
                <w:rFonts w:hint="eastAsia" w:ascii="宋体" w:hAnsi="宋体" w:eastAsia="宋体" w:cs="宋体"/>
                <w:i w:val="0"/>
                <w:color w:val="000000"/>
                <w:sz w:val="18"/>
                <w:szCs w:val="18"/>
                <w:u w:val="none"/>
              </w:rPr>
            </w:pPr>
          </w:p>
        </w:tc>
        <w:tc>
          <w:tcPr>
            <w:tcW w:w="1372" w:type="dxa"/>
            <w:tcBorders>
              <w:top w:val="nil"/>
              <w:left w:val="nil"/>
              <w:bottom w:val="nil"/>
              <w:right w:val="nil"/>
            </w:tcBorders>
            <w:shd w:val="clear" w:color="auto" w:fill="auto"/>
            <w:vAlign w:val="center"/>
          </w:tcPr>
          <w:p w14:paraId="1FB146E6">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233557C1">
            <w:pPr>
              <w:rPr>
                <w:rFonts w:hint="eastAsia" w:ascii="宋体" w:hAnsi="宋体" w:eastAsia="宋体" w:cs="宋体"/>
                <w:i w:val="0"/>
                <w:color w:val="000000"/>
                <w:sz w:val="18"/>
                <w:szCs w:val="18"/>
                <w:u w:val="none"/>
              </w:rPr>
            </w:pPr>
          </w:p>
        </w:tc>
        <w:tc>
          <w:tcPr>
            <w:tcW w:w="804" w:type="dxa"/>
            <w:tcBorders>
              <w:top w:val="nil"/>
              <w:left w:val="nil"/>
              <w:bottom w:val="nil"/>
              <w:right w:val="nil"/>
            </w:tcBorders>
            <w:shd w:val="clear" w:color="auto" w:fill="auto"/>
            <w:vAlign w:val="center"/>
          </w:tcPr>
          <w:p w14:paraId="2F2EA565">
            <w:pPr>
              <w:rPr>
                <w:rFonts w:hint="eastAsia" w:ascii="宋体" w:hAnsi="宋体" w:eastAsia="宋体" w:cs="宋体"/>
                <w:i w:val="0"/>
                <w:color w:val="000000"/>
                <w:sz w:val="18"/>
                <w:szCs w:val="18"/>
                <w:u w:val="none"/>
              </w:rPr>
            </w:pPr>
          </w:p>
        </w:tc>
        <w:tc>
          <w:tcPr>
            <w:tcW w:w="707" w:type="dxa"/>
            <w:tcBorders>
              <w:top w:val="nil"/>
              <w:left w:val="nil"/>
              <w:bottom w:val="nil"/>
              <w:right w:val="nil"/>
            </w:tcBorders>
            <w:shd w:val="clear" w:color="auto" w:fill="auto"/>
            <w:vAlign w:val="center"/>
          </w:tcPr>
          <w:p w14:paraId="7D8BECE6">
            <w:pPr>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auto"/>
            <w:vAlign w:val="center"/>
          </w:tcPr>
          <w:p w14:paraId="12E79B75">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5CC1F985">
            <w:pPr>
              <w:rPr>
                <w:rFonts w:hint="eastAsia" w:ascii="宋体" w:hAnsi="宋体" w:eastAsia="宋体" w:cs="宋体"/>
                <w:i w:val="0"/>
                <w:color w:val="000000"/>
                <w:sz w:val="18"/>
                <w:szCs w:val="18"/>
                <w:u w:val="none"/>
              </w:rPr>
            </w:pPr>
          </w:p>
        </w:tc>
        <w:tc>
          <w:tcPr>
            <w:tcW w:w="369" w:type="dxa"/>
            <w:tcBorders>
              <w:top w:val="nil"/>
              <w:left w:val="nil"/>
              <w:bottom w:val="nil"/>
              <w:right w:val="nil"/>
            </w:tcBorders>
            <w:shd w:val="clear" w:color="auto" w:fill="auto"/>
            <w:vAlign w:val="center"/>
          </w:tcPr>
          <w:p w14:paraId="2AAF1A7E">
            <w:pPr>
              <w:rPr>
                <w:rFonts w:hint="eastAsia" w:ascii="宋体" w:hAnsi="宋体" w:eastAsia="宋体" w:cs="宋体"/>
                <w:i w:val="0"/>
                <w:color w:val="000000"/>
                <w:sz w:val="18"/>
                <w:szCs w:val="18"/>
                <w:u w:val="none"/>
              </w:rPr>
            </w:pPr>
          </w:p>
        </w:tc>
        <w:tc>
          <w:tcPr>
            <w:tcW w:w="1188" w:type="dxa"/>
            <w:tcBorders>
              <w:top w:val="nil"/>
              <w:left w:val="nil"/>
              <w:bottom w:val="nil"/>
              <w:right w:val="nil"/>
            </w:tcBorders>
            <w:shd w:val="clear" w:color="auto" w:fill="auto"/>
            <w:vAlign w:val="center"/>
          </w:tcPr>
          <w:p w14:paraId="49F45FBB">
            <w:pPr>
              <w:rPr>
                <w:rFonts w:hint="eastAsia" w:ascii="宋体" w:hAnsi="宋体" w:eastAsia="宋体" w:cs="宋体"/>
                <w:i w:val="0"/>
                <w:color w:val="000000"/>
                <w:sz w:val="18"/>
                <w:szCs w:val="18"/>
                <w:u w:val="none"/>
              </w:rPr>
            </w:pPr>
          </w:p>
        </w:tc>
      </w:tr>
      <w:tr w14:paraId="5683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1F766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EA1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E59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2650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51190024T000011651318-2024年专款01特定转移支付Z内容敏感</w:t>
            </w:r>
          </w:p>
        </w:tc>
      </w:tr>
      <w:tr w14:paraId="5C38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AE5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0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四川省巴中市人民检察院部门</w:t>
            </w:r>
          </w:p>
        </w:tc>
        <w:tc>
          <w:tcPr>
            <w:tcW w:w="803" w:type="dxa"/>
            <w:tcBorders>
              <w:top w:val="nil"/>
              <w:left w:val="nil"/>
              <w:bottom w:val="nil"/>
              <w:right w:val="nil"/>
            </w:tcBorders>
            <w:shd w:val="clear" w:color="auto" w:fill="auto"/>
            <w:vAlign w:val="center"/>
          </w:tcPr>
          <w:p w14:paraId="3596D71F">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AC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四川省巴中市人民检察院</w:t>
            </w:r>
          </w:p>
        </w:tc>
      </w:tr>
      <w:tr w14:paraId="2494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822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B2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D8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5DF42BB0">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52B8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0CDA">
            <w:pP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48F1">
            <w:pPr>
              <w:rPr>
                <w:rFonts w:hint="eastAsia" w:ascii="宋体" w:hAnsi="宋体" w:eastAsia="宋体" w:cs="宋体"/>
                <w:i w:val="0"/>
                <w:color w:val="000000"/>
                <w:sz w:val="18"/>
                <w:szCs w:val="18"/>
                <w:u w:val="none"/>
              </w:rPr>
            </w:pPr>
          </w:p>
        </w:tc>
        <w:tc>
          <w:tcPr>
            <w:tcW w:w="4155" w:type="dxa"/>
            <w:gridSpan w:val="5"/>
            <w:tcBorders>
              <w:top w:val="single" w:color="000000" w:sz="4" w:space="0"/>
              <w:left w:val="single" w:color="000000" w:sz="4" w:space="0"/>
              <w:bottom w:val="nil"/>
              <w:right w:val="single" w:color="000000" w:sz="4" w:space="0"/>
            </w:tcBorders>
            <w:shd w:val="clear" w:color="auto" w:fill="auto"/>
            <w:vAlign w:val="center"/>
          </w:tcPr>
          <w:p w14:paraId="1B4360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引导和支持基层检察机关开展业务工作，帮助提高办案和装备经费保障水平。引导地方加大对基层检察机关办案和装备资金的投入力度。引导基层检察机关加强经费保障，推动“四大检察”、“十大业务”全面协调充分发展。引导基层检察院开展服务大局、强化法律监督、助推社会治理等方面工作。</w:t>
            </w:r>
          </w:p>
        </w:tc>
        <w:tc>
          <w:tcPr>
            <w:tcW w:w="2729" w:type="dxa"/>
            <w:gridSpan w:val="4"/>
            <w:tcBorders>
              <w:top w:val="single" w:color="000000" w:sz="4" w:space="0"/>
              <w:left w:val="single" w:color="000000" w:sz="4" w:space="0"/>
              <w:bottom w:val="nil"/>
              <w:right w:val="single" w:color="000000" w:sz="4" w:space="0"/>
            </w:tcBorders>
            <w:shd w:val="clear" w:color="auto" w:fill="auto"/>
            <w:vAlign w:val="center"/>
          </w:tcPr>
          <w:p w14:paraId="2302D194">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按照预定的绩效目标、经费规定用途，对资金使用实施管理，全力促进各项检察工作有序推进，资金主要用于办案、扫黑除恶及业务装备购置，全年资金管理使用规范。</w:t>
            </w:r>
          </w:p>
        </w:tc>
      </w:tr>
      <w:tr w14:paraId="6A73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E2A3">
            <w:pP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auto"/>
            <w:vAlign w:val="center"/>
          </w:tcPr>
          <w:p w14:paraId="3CA320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84D3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预定的绩效目标、经费规定用途，对资金使用实施管理，全力促进各项检察工作有序推进，资金主要用于办案、扫黑除恶及业务装备购置，进一步加了了办案和装备资金的投入力度，提升了办案和装备经费保障水平，推动“四大检察”“十大业务”全面协调充分发展。</w:t>
            </w:r>
          </w:p>
        </w:tc>
      </w:tr>
      <w:tr w14:paraId="516C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48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27C17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2" w:type="dxa"/>
            <w:tcBorders>
              <w:top w:val="nil"/>
              <w:left w:val="single" w:color="000000" w:sz="4" w:space="0"/>
              <w:bottom w:val="single" w:color="000000" w:sz="4" w:space="0"/>
              <w:right w:val="single" w:color="000000" w:sz="4" w:space="0"/>
            </w:tcBorders>
            <w:shd w:val="clear" w:color="auto" w:fill="auto"/>
            <w:vAlign w:val="center"/>
          </w:tcPr>
          <w:p w14:paraId="199AA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80" w:type="dxa"/>
            <w:gridSpan w:val="3"/>
            <w:tcBorders>
              <w:top w:val="nil"/>
              <w:left w:val="single" w:color="000000" w:sz="4" w:space="0"/>
              <w:bottom w:val="single" w:color="000000" w:sz="4" w:space="0"/>
              <w:right w:val="single" w:color="000000" w:sz="4" w:space="0"/>
            </w:tcBorders>
            <w:shd w:val="clear" w:color="auto" w:fill="auto"/>
            <w:vAlign w:val="center"/>
          </w:tcPr>
          <w:p w14:paraId="76905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3" w:type="dxa"/>
            <w:tcBorders>
              <w:top w:val="nil"/>
              <w:left w:val="single" w:color="000000" w:sz="4" w:space="0"/>
              <w:bottom w:val="single" w:color="000000" w:sz="4" w:space="0"/>
              <w:right w:val="single" w:color="000000" w:sz="4" w:space="0"/>
            </w:tcBorders>
            <w:shd w:val="clear" w:color="auto" w:fill="auto"/>
            <w:vAlign w:val="center"/>
          </w:tcPr>
          <w:p w14:paraId="4AAEC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69CC9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nil"/>
              <w:left w:val="single" w:color="000000" w:sz="4" w:space="0"/>
              <w:bottom w:val="single" w:color="000000" w:sz="4" w:space="0"/>
              <w:right w:val="single" w:color="000000" w:sz="4" w:space="0"/>
            </w:tcBorders>
            <w:shd w:val="clear" w:color="auto" w:fill="auto"/>
            <w:vAlign w:val="center"/>
          </w:tcPr>
          <w:p w14:paraId="311DD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nil"/>
              <w:left w:val="single" w:color="000000" w:sz="4" w:space="0"/>
              <w:bottom w:val="single" w:color="000000" w:sz="4" w:space="0"/>
              <w:right w:val="single" w:color="000000" w:sz="4" w:space="0"/>
            </w:tcBorders>
            <w:shd w:val="clear" w:color="auto" w:fill="auto"/>
            <w:vAlign w:val="center"/>
          </w:tcPr>
          <w:p w14:paraId="0EA09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028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0090">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21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232.17</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83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2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C1682">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因为经费下达较晚，导致依托此资金开展的采购项目启动较晚，无法在本年度内完成，直接导致预算执行率低。</w:t>
            </w:r>
          </w:p>
        </w:tc>
      </w:tr>
      <w:tr w14:paraId="715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6E056">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8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232.17</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2B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F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8561">
            <w:pPr>
              <w:rPr>
                <w:rFonts w:hint="default" w:ascii="黑体" w:hAnsi="黑体" w:eastAsia="黑体" w:cs="黑体"/>
                <w:i w:val="0"/>
                <w:color w:val="000000"/>
                <w:sz w:val="18"/>
                <w:szCs w:val="18"/>
                <w:u w:val="none"/>
              </w:rPr>
            </w:pPr>
          </w:p>
        </w:tc>
      </w:tr>
      <w:tr w14:paraId="0591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2D31">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F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4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18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2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1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E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F4F5">
            <w:pPr>
              <w:rPr>
                <w:rFonts w:hint="default" w:ascii="黑体" w:hAnsi="黑体" w:eastAsia="黑体" w:cs="黑体"/>
                <w:i w:val="0"/>
                <w:color w:val="000000"/>
                <w:sz w:val="18"/>
                <w:szCs w:val="18"/>
                <w:u w:val="none"/>
              </w:rPr>
            </w:pPr>
          </w:p>
        </w:tc>
      </w:tr>
      <w:tr w14:paraId="6F3C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B1C0">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D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6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76A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C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C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9913">
            <w:pPr>
              <w:rPr>
                <w:rFonts w:hint="default" w:ascii="黑体" w:hAnsi="黑体" w:eastAsia="黑体" w:cs="黑体"/>
                <w:i w:val="0"/>
                <w:color w:val="000000"/>
                <w:sz w:val="18"/>
                <w:szCs w:val="18"/>
                <w:u w:val="none"/>
              </w:rPr>
            </w:pPr>
          </w:p>
        </w:tc>
      </w:tr>
      <w:tr w14:paraId="5252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31BD">
            <w:pPr>
              <w:jc w:val="center"/>
              <w:rPr>
                <w:rFonts w:hint="eastAsia" w:ascii="宋体" w:hAnsi="宋体" w:eastAsia="宋体" w:cs="宋体"/>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C9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0CA">
            <w:pPr>
              <w:jc w:val="center"/>
              <w:rPr>
                <w:rFonts w:hint="default" w:ascii="微软雅黑" w:hAnsi="微软雅黑" w:eastAsia="微软雅黑" w:cs="微软雅黑"/>
                <w:i w:val="0"/>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DABE">
            <w:pPr>
              <w:jc w:val="center"/>
              <w:rPr>
                <w:rFonts w:hint="default" w:ascii="微软雅黑" w:hAnsi="微软雅黑" w:eastAsia="微软雅黑" w:cs="微软雅黑"/>
                <w:i w:val="0"/>
                <w:color w:val="000000"/>
                <w:sz w:val="16"/>
                <w:szCs w:val="16"/>
                <w:u w:val="none"/>
              </w:rPr>
            </w:pP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D2354">
            <w:pPr>
              <w:jc w:val="center"/>
              <w:rPr>
                <w:rFonts w:hint="default" w:ascii="微软雅黑" w:hAnsi="微软雅黑" w:eastAsia="微软雅黑" w:cs="微软雅黑"/>
                <w:i w:val="0"/>
                <w:color w:val="000000"/>
                <w:sz w:val="16"/>
                <w:szCs w:val="16"/>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9A52">
            <w:pPr>
              <w:jc w:val="center"/>
              <w:rPr>
                <w:rFonts w:hint="default" w:ascii="微软雅黑" w:hAnsi="微软雅黑" w:eastAsia="微软雅黑" w:cs="微软雅黑"/>
                <w:i w:val="0"/>
                <w:color w:val="000000"/>
                <w:sz w:val="16"/>
                <w:szCs w:val="16"/>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7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5D2F">
            <w:pPr>
              <w:rPr>
                <w:rFonts w:hint="default" w:ascii="黑体" w:hAnsi="黑体" w:eastAsia="黑体" w:cs="黑体"/>
                <w:i w:val="0"/>
                <w:color w:val="000000"/>
                <w:sz w:val="18"/>
                <w:szCs w:val="18"/>
                <w:u w:val="none"/>
              </w:rPr>
            </w:pPr>
          </w:p>
        </w:tc>
      </w:tr>
      <w:tr w14:paraId="3E03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6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96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8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7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93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6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nil"/>
              <w:right w:val="single" w:color="000000" w:sz="4" w:space="0"/>
            </w:tcBorders>
            <w:shd w:val="clear" w:color="auto" w:fill="auto"/>
            <w:vAlign w:val="center"/>
          </w:tcPr>
          <w:p w14:paraId="0617D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1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C5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4AC76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283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60FC">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D7C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26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E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公益诉讼案件办理数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6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5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9FB7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1E3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11</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CA0D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672F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DC8">
            <w:pPr>
              <w:jc w:val="center"/>
              <w:rPr>
                <w:rFonts w:hint="default" w:ascii="微软雅黑" w:hAnsi="微软雅黑" w:eastAsia="微软雅黑" w:cs="微软雅黑"/>
                <w:i w:val="0"/>
                <w:color w:val="000000"/>
                <w:sz w:val="16"/>
                <w:szCs w:val="16"/>
                <w:u w:val="none"/>
              </w:rPr>
            </w:pPr>
          </w:p>
        </w:tc>
      </w:tr>
      <w:tr w14:paraId="605A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06B3">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584E">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D021">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审查逮捕人数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5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2E3B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E5B">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8CF1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8D08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327">
            <w:pPr>
              <w:jc w:val="center"/>
              <w:rPr>
                <w:rFonts w:hint="default" w:ascii="微软雅黑" w:hAnsi="微软雅黑" w:eastAsia="微软雅黑" w:cs="微软雅黑"/>
                <w:i w:val="0"/>
                <w:color w:val="000000"/>
                <w:sz w:val="16"/>
                <w:szCs w:val="16"/>
                <w:u w:val="none"/>
              </w:rPr>
            </w:pPr>
          </w:p>
        </w:tc>
      </w:tr>
      <w:tr w14:paraId="3AAC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58DB">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8BB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79FA">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1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国家司法救助人数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6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2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055C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8B6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760F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31B7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62E5">
            <w:pPr>
              <w:jc w:val="center"/>
              <w:rPr>
                <w:rFonts w:hint="default" w:ascii="微软雅黑" w:hAnsi="微软雅黑" w:eastAsia="微软雅黑" w:cs="微软雅黑"/>
                <w:i w:val="0"/>
                <w:color w:val="000000"/>
                <w:sz w:val="16"/>
                <w:szCs w:val="16"/>
                <w:u w:val="none"/>
              </w:rPr>
            </w:pPr>
          </w:p>
        </w:tc>
      </w:tr>
      <w:tr w14:paraId="5B6F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D82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61C52">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C5B9">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2B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审查起诉人数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F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C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E032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D351">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549D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EF35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D32">
            <w:pPr>
              <w:jc w:val="center"/>
              <w:rPr>
                <w:rFonts w:hint="default" w:ascii="微软雅黑" w:hAnsi="微软雅黑" w:eastAsia="微软雅黑" w:cs="微软雅黑"/>
                <w:i w:val="0"/>
                <w:color w:val="000000"/>
                <w:sz w:val="16"/>
                <w:szCs w:val="16"/>
                <w:u w:val="none"/>
              </w:rPr>
            </w:pPr>
          </w:p>
        </w:tc>
      </w:tr>
      <w:tr w14:paraId="4CED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2BF5">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4092">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BEA3">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B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审查批准延长羁押人数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AFAD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B08">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60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296B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A4E7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84E">
            <w:pPr>
              <w:jc w:val="center"/>
              <w:rPr>
                <w:rFonts w:hint="default" w:ascii="微软雅黑" w:hAnsi="微软雅黑" w:eastAsia="微软雅黑" w:cs="微软雅黑"/>
                <w:i w:val="0"/>
                <w:color w:val="FF0000"/>
                <w:sz w:val="16"/>
                <w:szCs w:val="16"/>
                <w:u w:val="none"/>
              </w:rPr>
            </w:pPr>
          </w:p>
        </w:tc>
      </w:tr>
      <w:tr w14:paraId="364E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6F11">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03F7">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F9ED">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二审上诉案件办理数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6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5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510B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B064">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111</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EA35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A0C57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B43D">
            <w:pPr>
              <w:jc w:val="center"/>
              <w:rPr>
                <w:rFonts w:hint="default" w:ascii="微软雅黑" w:hAnsi="微软雅黑" w:eastAsia="微软雅黑" w:cs="微软雅黑"/>
                <w:i w:val="0"/>
                <w:color w:val="000000"/>
                <w:sz w:val="16"/>
                <w:szCs w:val="16"/>
                <w:u w:val="none"/>
              </w:rPr>
            </w:pPr>
          </w:p>
        </w:tc>
      </w:tr>
      <w:tr w14:paraId="7B20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EECF">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C2DB">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C1EF">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9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检察技术案件办理数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7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6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33CE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E3D1">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62B1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BBDA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37A">
            <w:pPr>
              <w:jc w:val="center"/>
              <w:rPr>
                <w:rFonts w:hint="default" w:ascii="微软雅黑" w:hAnsi="微软雅黑" w:eastAsia="微软雅黑" w:cs="微软雅黑"/>
                <w:i w:val="0"/>
                <w:color w:val="000000"/>
                <w:sz w:val="16"/>
                <w:szCs w:val="16"/>
                <w:u w:val="none"/>
              </w:rPr>
            </w:pPr>
          </w:p>
        </w:tc>
      </w:tr>
      <w:tr w14:paraId="49E2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25FF">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4D9B">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551D">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66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行政案件办理数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9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68DC8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3158">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8</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6CBA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1B80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275C">
            <w:pPr>
              <w:jc w:val="center"/>
              <w:rPr>
                <w:rFonts w:hint="default" w:ascii="微软雅黑" w:hAnsi="微软雅黑" w:eastAsia="微软雅黑" w:cs="微软雅黑"/>
                <w:i w:val="0"/>
                <w:color w:val="000000"/>
                <w:sz w:val="16"/>
                <w:szCs w:val="16"/>
                <w:u w:val="none"/>
              </w:rPr>
            </w:pPr>
          </w:p>
        </w:tc>
      </w:tr>
      <w:tr w14:paraId="1450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A7D4">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632C">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B132">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C2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刑事申诉案件办理数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F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A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69A2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E77">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23</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841A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3EF1B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34B">
            <w:pPr>
              <w:jc w:val="center"/>
              <w:rPr>
                <w:rFonts w:hint="default" w:ascii="微软雅黑" w:hAnsi="微软雅黑" w:eastAsia="微软雅黑" w:cs="微软雅黑"/>
                <w:i w:val="0"/>
                <w:color w:val="000000"/>
                <w:sz w:val="16"/>
                <w:szCs w:val="16"/>
                <w:u w:val="none"/>
              </w:rPr>
            </w:pPr>
          </w:p>
        </w:tc>
      </w:tr>
      <w:tr w14:paraId="124B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FD5E">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1020">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9BA0">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4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民事案件办理数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D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D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0910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3C38">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74</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5984E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B8CB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2488">
            <w:pPr>
              <w:jc w:val="center"/>
              <w:rPr>
                <w:rFonts w:hint="default" w:ascii="微软雅黑" w:hAnsi="微软雅黑" w:eastAsia="微软雅黑" w:cs="微软雅黑"/>
                <w:i w:val="0"/>
                <w:color w:val="000000"/>
                <w:sz w:val="16"/>
                <w:szCs w:val="16"/>
                <w:u w:val="none"/>
              </w:rPr>
            </w:pPr>
          </w:p>
        </w:tc>
      </w:tr>
      <w:tr w14:paraId="61EF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24A5E">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6091">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01D6">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0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各类信访案件办理数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8F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7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07FFF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3A2">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362</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F821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78D06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0ABD">
            <w:pPr>
              <w:jc w:val="center"/>
              <w:rPr>
                <w:rFonts w:hint="default" w:ascii="微软雅黑" w:hAnsi="微软雅黑" w:eastAsia="微软雅黑" w:cs="微软雅黑"/>
                <w:i w:val="0"/>
                <w:color w:val="000000"/>
                <w:sz w:val="16"/>
                <w:szCs w:val="16"/>
                <w:u w:val="none"/>
              </w:rPr>
            </w:pPr>
          </w:p>
        </w:tc>
      </w:tr>
      <w:tr w14:paraId="0891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D2EC">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1CA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D8DB">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4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审判活动违法监督数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3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3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622AD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42C7">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59E6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2F47E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BEE">
            <w:pPr>
              <w:jc w:val="center"/>
              <w:rPr>
                <w:rFonts w:hint="default" w:ascii="微软雅黑" w:hAnsi="微软雅黑" w:eastAsia="微软雅黑" w:cs="微软雅黑"/>
                <w:i w:val="0"/>
                <w:color w:val="000000"/>
                <w:sz w:val="16"/>
                <w:szCs w:val="16"/>
                <w:u w:val="none"/>
              </w:rPr>
            </w:pPr>
          </w:p>
        </w:tc>
      </w:tr>
      <w:tr w14:paraId="6B34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9A49C">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45E8">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15CD">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立案监督案件办理数</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F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E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CA2F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E540">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F663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BF35C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821">
            <w:pPr>
              <w:jc w:val="center"/>
              <w:rPr>
                <w:rFonts w:hint="default" w:ascii="微软雅黑" w:hAnsi="微软雅黑" w:eastAsia="微软雅黑" w:cs="微软雅黑"/>
                <w:i w:val="0"/>
                <w:color w:val="000000"/>
                <w:sz w:val="16"/>
                <w:szCs w:val="16"/>
                <w:u w:val="none"/>
              </w:rPr>
            </w:pPr>
          </w:p>
        </w:tc>
      </w:tr>
      <w:tr w14:paraId="2593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6B2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1593">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1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为人民群众提供便捷、高效、优质法律服务</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388CF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503E">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2934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E829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474B">
            <w:pPr>
              <w:jc w:val="center"/>
              <w:rPr>
                <w:rFonts w:hint="default" w:ascii="微软雅黑" w:hAnsi="微软雅黑" w:eastAsia="微软雅黑" w:cs="微软雅黑"/>
                <w:i w:val="0"/>
                <w:color w:val="000000"/>
                <w:sz w:val="16"/>
                <w:szCs w:val="16"/>
                <w:u w:val="none"/>
              </w:rPr>
            </w:pPr>
          </w:p>
        </w:tc>
      </w:tr>
      <w:tr w14:paraId="03A9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B3E9">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349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AE97">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6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购置装备合格率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E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7780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CB25">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20FA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639D2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D69">
            <w:pPr>
              <w:jc w:val="center"/>
              <w:rPr>
                <w:rFonts w:hint="default" w:ascii="微软雅黑" w:hAnsi="微软雅黑" w:eastAsia="微软雅黑" w:cs="微软雅黑"/>
                <w:i w:val="0"/>
                <w:color w:val="000000"/>
                <w:sz w:val="16"/>
                <w:szCs w:val="16"/>
                <w:u w:val="none"/>
              </w:rPr>
            </w:pPr>
          </w:p>
        </w:tc>
      </w:tr>
      <w:tr w14:paraId="4885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0EAA">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BDD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B31D">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案件办结率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1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A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1650E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B06F">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4FFC6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AA52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841">
            <w:pPr>
              <w:jc w:val="center"/>
              <w:rPr>
                <w:rFonts w:hint="default" w:ascii="微软雅黑" w:hAnsi="微软雅黑" w:eastAsia="微软雅黑" w:cs="微软雅黑"/>
                <w:i w:val="0"/>
                <w:color w:val="000000"/>
                <w:sz w:val="16"/>
                <w:szCs w:val="16"/>
                <w:u w:val="none"/>
              </w:rPr>
            </w:pPr>
          </w:p>
        </w:tc>
      </w:tr>
      <w:tr w14:paraId="5D65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F965">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3402">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2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购置装备到位率</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1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E8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43356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C4D">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2DC1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08362C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8469">
            <w:pPr>
              <w:jc w:val="center"/>
              <w:rPr>
                <w:rFonts w:hint="default" w:ascii="微软雅黑" w:hAnsi="微软雅黑" w:eastAsia="微软雅黑" w:cs="微软雅黑"/>
                <w:i w:val="0"/>
                <w:color w:val="000000"/>
                <w:sz w:val="16"/>
                <w:szCs w:val="16"/>
                <w:u w:val="none"/>
              </w:rPr>
            </w:pPr>
          </w:p>
        </w:tc>
      </w:tr>
      <w:tr w14:paraId="5DDB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1DA5">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C4C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41CA">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E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业务装备采购及时性</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1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2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79E8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BDD">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63E8FF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2442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868F">
            <w:pPr>
              <w:jc w:val="center"/>
              <w:rPr>
                <w:rFonts w:hint="default" w:ascii="微软雅黑" w:hAnsi="微软雅黑" w:eastAsia="微软雅黑" w:cs="微软雅黑"/>
                <w:i w:val="0"/>
                <w:color w:val="000000"/>
                <w:sz w:val="16"/>
                <w:szCs w:val="16"/>
                <w:u w:val="none"/>
              </w:rPr>
            </w:pPr>
          </w:p>
        </w:tc>
      </w:tr>
      <w:tr w14:paraId="7D23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E91D">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B1AD">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68D6">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资金下拨及时性</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4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C7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0DEBA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B6D">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192BF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C85A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8741">
            <w:pPr>
              <w:jc w:val="center"/>
              <w:rPr>
                <w:rFonts w:hint="default" w:ascii="微软雅黑" w:hAnsi="微软雅黑" w:eastAsia="微软雅黑" w:cs="微软雅黑"/>
                <w:i w:val="0"/>
                <w:color w:val="000000"/>
                <w:sz w:val="16"/>
                <w:szCs w:val="16"/>
                <w:u w:val="none"/>
              </w:rPr>
            </w:pPr>
          </w:p>
        </w:tc>
      </w:tr>
      <w:tr w14:paraId="38C4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092B">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7A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BD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9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化解社会矛盾，为经济社会发展提供良好环境</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D1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D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B42C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BAEE">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93183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7C0F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EF2">
            <w:pPr>
              <w:jc w:val="center"/>
              <w:rPr>
                <w:rFonts w:hint="default" w:ascii="微软雅黑" w:hAnsi="微软雅黑" w:eastAsia="微软雅黑" w:cs="微软雅黑"/>
                <w:i w:val="0"/>
                <w:color w:val="000000"/>
                <w:sz w:val="16"/>
                <w:szCs w:val="16"/>
                <w:u w:val="none"/>
              </w:rPr>
            </w:pPr>
          </w:p>
        </w:tc>
      </w:tr>
      <w:tr w14:paraId="2D7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8B38">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6A78">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2501">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5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监督人民法院审判活动、保障当事人合法权益</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E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A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1B47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6C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205E88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8A57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6C08">
            <w:pPr>
              <w:jc w:val="center"/>
              <w:rPr>
                <w:rFonts w:hint="default" w:ascii="微软雅黑" w:hAnsi="微软雅黑" w:eastAsia="微软雅黑" w:cs="微软雅黑"/>
                <w:i w:val="0"/>
                <w:color w:val="000000"/>
                <w:sz w:val="16"/>
                <w:szCs w:val="16"/>
                <w:u w:val="none"/>
              </w:rPr>
            </w:pPr>
          </w:p>
        </w:tc>
      </w:tr>
      <w:tr w14:paraId="5BE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2AA5">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FE5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231F">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8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促进改善办案基础设施和办案条件</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1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49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215EA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086">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176A1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3752B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11F1">
            <w:pPr>
              <w:jc w:val="center"/>
              <w:rPr>
                <w:rFonts w:hint="default" w:ascii="微软雅黑" w:hAnsi="微软雅黑" w:eastAsia="微软雅黑" w:cs="微软雅黑"/>
                <w:i w:val="0"/>
                <w:color w:val="000000"/>
                <w:sz w:val="16"/>
                <w:szCs w:val="16"/>
                <w:u w:val="none"/>
              </w:rPr>
            </w:pPr>
          </w:p>
        </w:tc>
      </w:tr>
      <w:tr w14:paraId="7607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2E11">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EE83">
            <w:pPr>
              <w:jc w:val="center"/>
              <w:rPr>
                <w:rFonts w:hint="eastAsia" w:ascii="宋体" w:hAnsi="宋体" w:eastAsia="宋体" w:cs="宋体"/>
                <w:i w:val="0"/>
                <w:color w:val="000000"/>
                <w:sz w:val="18"/>
                <w:szCs w:val="18"/>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3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对基层检察机关业务装备经费保障力度持续加强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2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38A67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BD2C">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6B45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2C9D1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239">
            <w:pPr>
              <w:jc w:val="center"/>
              <w:rPr>
                <w:rFonts w:hint="default" w:ascii="微软雅黑" w:hAnsi="微软雅黑" w:eastAsia="微软雅黑" w:cs="微软雅黑"/>
                <w:i w:val="0"/>
                <w:color w:val="000000"/>
                <w:sz w:val="16"/>
                <w:szCs w:val="16"/>
                <w:u w:val="none"/>
              </w:rPr>
            </w:pPr>
          </w:p>
        </w:tc>
      </w:tr>
      <w:tr w14:paraId="0941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2470">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FB84">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7608">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9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严格依法依规办理案件，持续推进司法规范化建设</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F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9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775FB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FA5A">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32FEF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567D5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D3AC">
            <w:pPr>
              <w:jc w:val="center"/>
              <w:rPr>
                <w:rFonts w:hint="default" w:ascii="微软雅黑" w:hAnsi="微软雅黑" w:eastAsia="微软雅黑" w:cs="微软雅黑"/>
                <w:i w:val="0"/>
                <w:color w:val="000000"/>
                <w:sz w:val="16"/>
                <w:szCs w:val="16"/>
                <w:u w:val="none"/>
              </w:rPr>
            </w:pPr>
          </w:p>
        </w:tc>
      </w:tr>
      <w:tr w14:paraId="2A04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6D59">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68F6">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6DEF">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4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对基层检察机关办案经费保障力度持续加强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E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AE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097030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168B">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ABE41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19312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712A">
            <w:pPr>
              <w:jc w:val="center"/>
              <w:rPr>
                <w:rFonts w:hint="default" w:ascii="微软雅黑" w:hAnsi="微软雅黑" w:eastAsia="微软雅黑" w:cs="微软雅黑"/>
                <w:i w:val="0"/>
                <w:color w:val="000000"/>
                <w:sz w:val="16"/>
                <w:szCs w:val="16"/>
                <w:u w:val="none"/>
              </w:rPr>
            </w:pPr>
          </w:p>
        </w:tc>
      </w:tr>
      <w:tr w14:paraId="46E9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5F3A">
            <w:pPr>
              <w:jc w:val="center"/>
              <w:rPr>
                <w:rFonts w:hint="eastAsia" w:ascii="宋体" w:hAnsi="宋体" w:eastAsia="宋体" w:cs="宋体"/>
                <w:i w:val="0"/>
                <w:color w:val="000000"/>
                <w:sz w:val="18"/>
                <w:szCs w:val="18"/>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FE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08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B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办案人员满意度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D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A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5D5153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883">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100</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74EAA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4F297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6647">
            <w:pPr>
              <w:jc w:val="center"/>
              <w:rPr>
                <w:rFonts w:hint="default" w:ascii="微软雅黑" w:hAnsi="微软雅黑" w:eastAsia="微软雅黑" w:cs="微软雅黑"/>
                <w:i w:val="0"/>
                <w:color w:val="000000"/>
                <w:sz w:val="16"/>
                <w:szCs w:val="16"/>
                <w:u w:val="none"/>
              </w:rPr>
            </w:pPr>
          </w:p>
        </w:tc>
      </w:tr>
      <w:tr w14:paraId="553B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CF7F">
            <w:pPr>
              <w:jc w:val="center"/>
              <w:rPr>
                <w:rFonts w:hint="eastAsia" w:ascii="宋体" w:hAnsi="宋体" w:eastAsia="宋体" w:cs="宋体"/>
                <w:i w:val="0"/>
                <w:color w:val="000000"/>
                <w:sz w:val="18"/>
                <w:szCs w:val="18"/>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5F35">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F2A8">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7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社会公众满意度</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6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07" w:type="dxa"/>
            <w:tcBorders>
              <w:top w:val="single" w:color="000000" w:sz="4" w:space="0"/>
              <w:left w:val="single" w:color="000000" w:sz="4" w:space="0"/>
              <w:bottom w:val="single" w:color="000000" w:sz="4" w:space="0"/>
              <w:right w:val="nil"/>
            </w:tcBorders>
            <w:shd w:val="clear" w:color="auto" w:fill="auto"/>
            <w:vAlign w:val="center"/>
          </w:tcPr>
          <w:p w14:paraId="16BBD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A98">
            <w:pPr>
              <w:keepNext w:val="0"/>
              <w:keepLines w:val="0"/>
              <w:widowControl/>
              <w:suppressLineNumbers w:val="0"/>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95</w:t>
            </w:r>
          </w:p>
        </w:tc>
        <w:tc>
          <w:tcPr>
            <w:tcW w:w="369" w:type="dxa"/>
            <w:tcBorders>
              <w:top w:val="single" w:color="000000" w:sz="4" w:space="0"/>
              <w:left w:val="nil"/>
              <w:bottom w:val="single" w:color="000000" w:sz="4" w:space="0"/>
              <w:right w:val="single" w:color="000000" w:sz="4" w:space="0"/>
            </w:tcBorders>
            <w:shd w:val="clear" w:color="auto" w:fill="auto"/>
            <w:vAlign w:val="center"/>
          </w:tcPr>
          <w:p w14:paraId="08DC5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69" w:type="dxa"/>
            <w:tcBorders>
              <w:top w:val="single" w:color="000000" w:sz="4" w:space="0"/>
              <w:left w:val="single" w:color="000000" w:sz="4" w:space="0"/>
              <w:bottom w:val="single" w:color="000000" w:sz="4" w:space="0"/>
              <w:right w:val="nil"/>
            </w:tcBorders>
            <w:shd w:val="clear" w:color="auto" w:fill="auto"/>
            <w:vAlign w:val="center"/>
          </w:tcPr>
          <w:p w14:paraId="7094C8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BEC">
            <w:pPr>
              <w:jc w:val="center"/>
              <w:rPr>
                <w:rFonts w:hint="default" w:ascii="微软雅黑" w:hAnsi="微软雅黑" w:eastAsia="微软雅黑" w:cs="微软雅黑"/>
                <w:i w:val="0"/>
                <w:color w:val="000000"/>
                <w:sz w:val="16"/>
                <w:szCs w:val="16"/>
                <w:u w:val="none"/>
              </w:rPr>
            </w:pPr>
          </w:p>
        </w:tc>
      </w:tr>
      <w:tr w14:paraId="7032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354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43CB0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69" w:type="dxa"/>
            <w:tcBorders>
              <w:top w:val="single" w:color="000000" w:sz="4" w:space="0"/>
              <w:left w:val="single" w:color="000000" w:sz="4" w:space="0"/>
              <w:bottom w:val="nil"/>
              <w:right w:val="single" w:color="000000" w:sz="4" w:space="0"/>
            </w:tcBorders>
            <w:shd w:val="clear" w:color="auto" w:fill="auto"/>
            <w:vAlign w:val="center"/>
          </w:tcPr>
          <w:p w14:paraId="174793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88" w:type="dxa"/>
            <w:tcBorders>
              <w:top w:val="nil"/>
              <w:left w:val="single" w:color="000000" w:sz="4" w:space="0"/>
              <w:bottom w:val="nil"/>
              <w:right w:val="single" w:color="000000" w:sz="4" w:space="0"/>
            </w:tcBorders>
            <w:shd w:val="clear" w:color="auto" w:fill="auto"/>
            <w:vAlign w:val="center"/>
          </w:tcPr>
          <w:p w14:paraId="0A5B46B4">
            <w:pPr>
              <w:rPr>
                <w:rFonts w:hint="eastAsia" w:ascii="宋体" w:hAnsi="宋体" w:eastAsia="宋体" w:cs="宋体"/>
                <w:i w:val="0"/>
                <w:color w:val="000000"/>
                <w:sz w:val="18"/>
                <w:szCs w:val="18"/>
                <w:u w:val="none"/>
              </w:rPr>
            </w:pPr>
          </w:p>
        </w:tc>
      </w:tr>
      <w:tr w14:paraId="1A50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1BEA8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A4CE6">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此项目自评得分90分。本项目目标明确、合理，并在实施过程中得到了有效执行，各项指标均已达到了预期要求，项目管理规范，成本控制良好。</w:t>
            </w:r>
          </w:p>
        </w:tc>
      </w:tr>
      <w:tr w14:paraId="0D38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7A9A0A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8F6B15">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预算执行率低。</w:t>
            </w:r>
          </w:p>
        </w:tc>
      </w:tr>
      <w:tr w14:paraId="643C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37" w:type="dxa"/>
            <w:tcBorders>
              <w:top w:val="single" w:color="000000" w:sz="4" w:space="0"/>
              <w:left w:val="single" w:color="000000" w:sz="4" w:space="0"/>
              <w:bottom w:val="single" w:color="000000" w:sz="4" w:space="0"/>
              <w:right w:val="nil"/>
            </w:tcBorders>
            <w:shd w:val="clear" w:color="auto" w:fill="auto"/>
            <w:vAlign w:val="center"/>
          </w:tcPr>
          <w:p w14:paraId="2CC89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F8898">
            <w:pPr>
              <w:keepNext w:val="0"/>
              <w:keepLines w:val="0"/>
              <w:widowControl/>
              <w:suppressLineNumbers w:val="0"/>
              <w:jc w:val="left"/>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加强统筹规划，做好资金下达前的规划，确保资金下达后能立即按照规划开展工作，提高预算执行进度。</w:t>
            </w:r>
          </w:p>
        </w:tc>
      </w:tr>
      <w:tr w14:paraId="63A6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50862">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w:t>
            </w:r>
          </w:p>
        </w:tc>
        <w:tc>
          <w:tcPr>
            <w:tcW w:w="4240" w:type="dxa"/>
            <w:gridSpan w:val="6"/>
            <w:tcBorders>
              <w:top w:val="nil"/>
              <w:left w:val="single" w:color="000000" w:sz="4" w:space="0"/>
              <w:bottom w:val="single" w:color="000000" w:sz="4" w:space="0"/>
              <w:right w:val="single" w:color="000000" w:sz="4" w:space="0"/>
            </w:tcBorders>
            <w:shd w:val="clear" w:color="auto" w:fill="auto"/>
            <w:vAlign w:val="center"/>
          </w:tcPr>
          <w:p w14:paraId="143C4B9E">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w:t>
            </w:r>
          </w:p>
        </w:tc>
      </w:tr>
    </w:tbl>
    <w:p w14:paraId="1E28FFBB">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A1A4D63">
      <w:pPr>
        <w:pStyle w:val="6"/>
        <w:rPr>
          <w:rFonts w:hint="eastAsia" w:ascii="Times New Roman" w:hAnsi="Times New Roman" w:cs="宋体"/>
          <w:color w:val="FF0000"/>
          <w:kern w:val="0"/>
          <w:sz w:val="32"/>
          <w:szCs w:val="32"/>
          <w:highlight w:val="yellow"/>
          <w:shd w:val="clear" w:color="auto" w:fill="FFFFFF"/>
          <w:lang w:val="zh-CN"/>
        </w:rPr>
      </w:pPr>
    </w:p>
    <w:p w14:paraId="6CF2A76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E84BCD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3" w:name="_Toc15396618"/>
      <w:bookmarkStart w:id="94" w:name="_Toc344654305"/>
      <w:r>
        <w:rPr>
          <w:rFonts w:hint="eastAsia" w:ascii="Times New Roman" w:hAnsi="Times New Roman" w:eastAsia="黑体"/>
          <w:color w:val="auto"/>
          <w:sz w:val="44"/>
          <w:szCs w:val="44"/>
          <w:highlight w:val="none"/>
        </w:rPr>
        <w:t>第五部分 附表</w:t>
      </w:r>
      <w:bookmarkEnd w:id="89"/>
      <w:bookmarkEnd w:id="93"/>
      <w:bookmarkEnd w:id="94"/>
      <w:bookmarkStart w:id="95" w:name="_Toc15396619"/>
    </w:p>
    <w:p w14:paraId="3C23DD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1A0AD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95"/>
    </w:p>
    <w:p w14:paraId="0E0F712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6" w:name="_Toc15396620"/>
      <w:r>
        <w:rPr>
          <w:rFonts w:hint="eastAsia" w:ascii="Times New Roman" w:hAnsi="Times New Roman" w:eastAsia="仿宋_GB2312" w:cs="仿宋_GB2312"/>
          <w:color w:val="auto"/>
          <w:sz w:val="32"/>
          <w:szCs w:val="32"/>
          <w:highlight w:val="none"/>
        </w:rPr>
        <w:t>二、收入决算表</w:t>
      </w:r>
      <w:bookmarkEnd w:id="96"/>
    </w:p>
    <w:p w14:paraId="511393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7" w:name="_Toc15396621"/>
      <w:r>
        <w:rPr>
          <w:rFonts w:hint="eastAsia" w:ascii="Times New Roman" w:hAnsi="Times New Roman" w:eastAsia="仿宋_GB2312" w:cs="仿宋_GB2312"/>
          <w:color w:val="auto"/>
          <w:sz w:val="32"/>
          <w:szCs w:val="32"/>
          <w:highlight w:val="none"/>
        </w:rPr>
        <w:t>三、支出决算表</w:t>
      </w:r>
      <w:bookmarkEnd w:id="97"/>
    </w:p>
    <w:p w14:paraId="5B32388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8" w:name="_Toc15396622"/>
      <w:r>
        <w:rPr>
          <w:rFonts w:hint="eastAsia" w:ascii="Times New Roman" w:hAnsi="Times New Roman" w:eastAsia="仿宋_GB2312" w:cs="仿宋_GB2312"/>
          <w:color w:val="auto"/>
          <w:sz w:val="32"/>
          <w:szCs w:val="32"/>
          <w:highlight w:val="none"/>
        </w:rPr>
        <w:t>四、财政拨款收入支出决算总表</w:t>
      </w:r>
      <w:bookmarkEnd w:id="98"/>
    </w:p>
    <w:p w14:paraId="1C26F4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9" w:name="_Toc15396623"/>
      <w:r>
        <w:rPr>
          <w:rFonts w:hint="eastAsia" w:ascii="Times New Roman" w:hAnsi="Times New Roman" w:eastAsia="仿宋_GB2312" w:cs="仿宋_GB2312"/>
          <w:color w:val="auto"/>
          <w:sz w:val="32"/>
          <w:szCs w:val="32"/>
          <w:highlight w:val="none"/>
        </w:rPr>
        <w:t>五、财政拨款支出决算明细表</w:t>
      </w:r>
      <w:bookmarkEnd w:id="99"/>
      <w:bookmarkStart w:id="100" w:name="_Toc15396624"/>
    </w:p>
    <w:p w14:paraId="13BB5CC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00"/>
    </w:p>
    <w:p w14:paraId="66B45F1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1" w:name="_Toc15396625"/>
      <w:r>
        <w:rPr>
          <w:rFonts w:hint="eastAsia" w:ascii="Times New Roman" w:hAnsi="Times New Roman" w:eastAsia="仿宋_GB2312" w:cs="仿宋_GB2312"/>
          <w:color w:val="auto"/>
          <w:sz w:val="32"/>
          <w:szCs w:val="32"/>
          <w:highlight w:val="none"/>
        </w:rPr>
        <w:t>七、一般公共预算财政拨款支出决算明细表</w:t>
      </w:r>
      <w:bookmarkEnd w:id="101"/>
    </w:p>
    <w:p w14:paraId="19A3B2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2" w:name="_Toc15396626"/>
      <w:r>
        <w:rPr>
          <w:rFonts w:hint="eastAsia" w:ascii="Times New Roman" w:hAnsi="Times New Roman" w:eastAsia="仿宋_GB2312" w:cs="仿宋_GB2312"/>
          <w:color w:val="auto"/>
          <w:sz w:val="32"/>
          <w:szCs w:val="32"/>
          <w:highlight w:val="none"/>
        </w:rPr>
        <w:t>八、一般公共预算财政拨款基本支出决算表</w:t>
      </w:r>
      <w:bookmarkEnd w:id="102"/>
    </w:p>
    <w:p w14:paraId="0E99AA4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3" w:name="_Toc15396627"/>
      <w:r>
        <w:rPr>
          <w:rFonts w:hint="eastAsia" w:ascii="Times New Roman" w:hAnsi="Times New Roman" w:eastAsia="仿宋_GB2312" w:cs="仿宋_GB2312"/>
          <w:color w:val="auto"/>
          <w:sz w:val="32"/>
          <w:szCs w:val="32"/>
          <w:highlight w:val="none"/>
        </w:rPr>
        <w:t>九、一般公共预算财政拨款项目支出决算表</w:t>
      </w:r>
      <w:bookmarkEnd w:id="103"/>
    </w:p>
    <w:p w14:paraId="5842F9C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4" w:name="_Toc15396628"/>
      <w:r>
        <w:rPr>
          <w:rFonts w:hint="eastAsia" w:ascii="Times New Roman" w:hAnsi="Times New Roman" w:eastAsia="仿宋_GB2312" w:cs="仿宋_GB2312"/>
          <w:color w:val="auto"/>
          <w:sz w:val="32"/>
          <w:szCs w:val="32"/>
          <w:highlight w:val="none"/>
        </w:rPr>
        <w:t>十、</w:t>
      </w:r>
      <w:bookmarkEnd w:id="104"/>
      <w:r>
        <w:rPr>
          <w:rFonts w:hint="eastAsia" w:ascii="Times New Roman" w:hAnsi="Times New Roman" w:eastAsia="仿宋_GB2312" w:cs="仿宋_GB2312"/>
          <w:color w:val="auto"/>
          <w:sz w:val="32"/>
          <w:szCs w:val="32"/>
          <w:highlight w:val="none"/>
        </w:rPr>
        <w:t>政府性基金预算财政拨款收入支出决算表</w:t>
      </w:r>
    </w:p>
    <w:p w14:paraId="672F2F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5" w:name="_Toc15396629"/>
      <w:r>
        <w:rPr>
          <w:rFonts w:hint="eastAsia" w:ascii="Times New Roman" w:hAnsi="Times New Roman" w:eastAsia="仿宋_GB2312" w:cs="仿宋_GB2312"/>
          <w:color w:val="auto"/>
          <w:sz w:val="32"/>
          <w:szCs w:val="32"/>
          <w:highlight w:val="none"/>
        </w:rPr>
        <w:t>十一、</w:t>
      </w:r>
      <w:bookmarkEnd w:id="10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4F6BD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6" w:name="_Toc15396630"/>
      <w:r>
        <w:rPr>
          <w:rFonts w:hint="eastAsia" w:ascii="Times New Roman" w:hAnsi="Times New Roman" w:eastAsia="仿宋_GB2312" w:cs="仿宋_GB2312"/>
          <w:color w:val="auto"/>
          <w:sz w:val="32"/>
          <w:szCs w:val="32"/>
          <w:highlight w:val="none"/>
        </w:rPr>
        <w:t>十二、</w:t>
      </w:r>
      <w:bookmarkEnd w:id="106"/>
      <w:r>
        <w:rPr>
          <w:rFonts w:hint="eastAsia" w:ascii="Times New Roman" w:hAnsi="Times New Roman" w:eastAsia="仿宋_GB2312" w:cs="仿宋_GB2312"/>
          <w:color w:val="auto"/>
          <w:sz w:val="32"/>
          <w:szCs w:val="32"/>
          <w:highlight w:val="none"/>
          <w:lang w:eastAsia="zh-CN"/>
        </w:rPr>
        <w:t>国有资本经营预算财政拨款支出决算表</w:t>
      </w:r>
    </w:p>
    <w:p w14:paraId="138F5E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07" w:name="_Toc15396631"/>
      <w:r>
        <w:rPr>
          <w:rFonts w:hint="eastAsia" w:ascii="Times New Roman" w:hAnsi="Times New Roman" w:eastAsia="仿宋_GB2312" w:cs="仿宋_GB2312"/>
          <w:color w:val="auto"/>
          <w:sz w:val="32"/>
          <w:szCs w:val="32"/>
          <w:highlight w:val="none"/>
        </w:rPr>
        <w:t>十三、</w:t>
      </w:r>
      <w:bookmarkEnd w:id="107"/>
      <w:r>
        <w:rPr>
          <w:rFonts w:hint="eastAsia" w:ascii="Times New Roman" w:hAnsi="Times New Roman" w:eastAsia="仿宋_GB2312" w:cs="仿宋_GB2312"/>
          <w:color w:val="auto"/>
          <w:sz w:val="32"/>
          <w:szCs w:val="32"/>
          <w:highlight w:val="none"/>
          <w:lang w:eastAsia="zh-CN"/>
        </w:rPr>
        <w:t>财政拨款“三公”经费支出决算表</w:t>
      </w:r>
    </w:p>
    <w:p w14:paraId="53DB2FBB">
      <w:pPr>
        <w:rPr>
          <w:rFonts w:hint="eastAsia" w:ascii="Times New Roman" w:hAnsi="Times New Roman"/>
          <w:lang w:eastAsia="zh-CN"/>
        </w:rPr>
      </w:pPr>
    </w:p>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5A70B0-7319-4116-8670-8F44D9FF98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2" w:fontKey="{DE0F249D-B1BC-4DB0-AA6B-CAF5E0E14C79}"/>
  </w:font>
  <w:font w:name="仿宋">
    <w:panose1 w:val="02010609060101010101"/>
    <w:charset w:val="86"/>
    <w:family w:val="modern"/>
    <w:pitch w:val="default"/>
    <w:sig w:usb0="800002BF" w:usb1="38CF7CFA" w:usb2="00000016" w:usb3="00000000" w:csb0="00040001" w:csb1="00000000"/>
    <w:embedRegular r:id="rId3" w:fontKey="{D57001A3-5510-4B3D-9307-DEA462099D43}"/>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C2702E2E-A318-4D4B-A014-09C20F49E5BC}"/>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0787F534-699C-4ADD-BF46-1E917AC73C08}"/>
  </w:font>
  <w:font w:name="微软雅黑">
    <w:panose1 w:val="020B0503020204020204"/>
    <w:charset w:val="86"/>
    <w:family w:val="auto"/>
    <w:pitch w:val="default"/>
    <w:sig w:usb0="80000287" w:usb1="280F3C52" w:usb2="00000016" w:usb3="00000000" w:csb0="0004001F" w:csb1="00000000"/>
    <w:embedRegular r:id="rId6" w:fontKey="{206E6178-C03D-4943-A593-407D1900C239}"/>
  </w:font>
  <w:font w:name="楷体_GB2312">
    <w:panose1 w:val="02010609030101010101"/>
    <w:charset w:val="86"/>
    <w:family w:val="auto"/>
    <w:pitch w:val="default"/>
    <w:sig w:usb0="00000001" w:usb1="080E0000" w:usb2="00000000" w:usb3="00000000" w:csb0="00040000" w:csb1="00000000"/>
    <w:embedRegular r:id="rId7" w:fontKey="{53032563-0571-4663-9B85-CC09F3EDA66F}"/>
  </w:font>
  <w:font w:name="方正楷体_GBK">
    <w:panose1 w:val="03000509000000000000"/>
    <w:charset w:val="86"/>
    <w:family w:val="auto"/>
    <w:pitch w:val="default"/>
    <w:sig w:usb0="00000001" w:usb1="080E0000" w:usb2="00000000" w:usb3="00000000" w:csb0="00040000" w:csb1="00000000"/>
    <w:embedRegular r:id="rId8" w:fontKey="{7CDD6D10-E9B4-477E-9C92-28C8F80E4208}"/>
  </w:font>
  <w:font w:name="方正公文小标宋">
    <w:panose1 w:val="02000500000000000000"/>
    <w:charset w:val="86"/>
    <w:family w:val="auto"/>
    <w:pitch w:val="default"/>
    <w:sig w:usb0="A00002BF" w:usb1="38CF7CFA" w:usb2="00000016" w:usb3="00000000" w:csb0="00040001" w:csb1="00000000"/>
    <w:embedRegular r:id="rId9" w:fontKey="{94BBD764-446E-4ABA-92EA-C835F416DB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AEF1">
    <w:pPr>
      <w:pStyle w:val="11"/>
      <w:jc w:val="center"/>
    </w:pPr>
  </w:p>
  <w:p w14:paraId="2DECC86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459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E73B9">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FE73B9">
                    <w:pPr>
                      <w:pStyle w:val="11"/>
                    </w:pPr>
                  </w:p>
                </w:txbxContent>
              </v:textbox>
            </v:shape>
          </w:pict>
        </mc:Fallback>
      </mc:AlternateContent>
    </w:r>
  </w:p>
  <w:p w14:paraId="54ACB80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B873">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FB00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2FB002">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8E3E0">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18E3E0">
                    <w:pPr>
                      <w:pStyle w:val="11"/>
                    </w:pPr>
                  </w:p>
                </w:txbxContent>
              </v:textbox>
            </v:shape>
          </w:pict>
        </mc:Fallback>
      </mc:AlternateContent>
    </w:r>
  </w:p>
  <w:p w14:paraId="3A4FC1F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7AC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A57F">
    <w:pPr>
      <w:pStyle w:val="12"/>
      <w:pBdr>
        <w:bottom w:val="none" w:color="auto" w:sz="0" w:space="1"/>
      </w:pBdr>
      <w:tabs>
        <w:tab w:val="left" w:pos="4783"/>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E4D6"/>
    <w:multiLevelType w:val="singleLevel"/>
    <w:tmpl w:val="927BE4D6"/>
    <w:lvl w:ilvl="0" w:tentative="0">
      <w:start w:val="2"/>
      <w:numFmt w:val="chineseCounting"/>
      <w:suff w:val="nothing"/>
      <w:lvlText w:val="（%1）"/>
      <w:lvlJc w:val="left"/>
      <w:rPr>
        <w:rFonts w:hint="eastAsia"/>
      </w:rPr>
    </w:lvl>
  </w:abstractNum>
  <w:abstractNum w:abstractNumId="1">
    <w:nsid w:val="777EE783"/>
    <w:multiLevelType w:val="singleLevel"/>
    <w:tmpl w:val="777EE783"/>
    <w:lvl w:ilvl="0" w:tentative="0">
      <w:start w:val="3"/>
      <w:numFmt w:val="chineseCounting"/>
      <w:suff w:val="nothing"/>
      <w:lvlText w:val="（%1）"/>
      <w:lvlJc w:val="left"/>
      <w:rPr>
        <w:rFonts w:hint="eastAsia"/>
      </w:rPr>
    </w:lvl>
  </w:abstractNum>
  <w:abstractNum w:abstractNumId="2">
    <w:nsid w:val="7F3A3CC8"/>
    <w:multiLevelType w:val="singleLevel"/>
    <w:tmpl w:val="7F3A3CC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3957A1"/>
    <w:rsid w:val="09867E8F"/>
    <w:rsid w:val="0A2032A3"/>
    <w:rsid w:val="0CA8290A"/>
    <w:rsid w:val="0D35B1ED"/>
    <w:rsid w:val="0DDCCC8A"/>
    <w:rsid w:val="0E254B6B"/>
    <w:rsid w:val="0F98263C"/>
    <w:rsid w:val="101860EC"/>
    <w:rsid w:val="101F47CC"/>
    <w:rsid w:val="10C055FF"/>
    <w:rsid w:val="11694EBD"/>
    <w:rsid w:val="11772AA4"/>
    <w:rsid w:val="118107EC"/>
    <w:rsid w:val="12E24EE2"/>
    <w:rsid w:val="13D50BC4"/>
    <w:rsid w:val="14B17F78"/>
    <w:rsid w:val="15F1D059"/>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3DF017"/>
    <w:rsid w:val="3E740A63"/>
    <w:rsid w:val="3E78745D"/>
    <w:rsid w:val="3ECF5C8A"/>
    <w:rsid w:val="3EE17838"/>
    <w:rsid w:val="3F55381A"/>
    <w:rsid w:val="3F7F7599"/>
    <w:rsid w:val="3FF4CAE0"/>
    <w:rsid w:val="3FF7B227"/>
    <w:rsid w:val="44E268DA"/>
    <w:rsid w:val="450D13D7"/>
    <w:rsid w:val="45506656"/>
    <w:rsid w:val="486A6C7A"/>
    <w:rsid w:val="4A627F82"/>
    <w:rsid w:val="4B0E749A"/>
    <w:rsid w:val="4B2477C4"/>
    <w:rsid w:val="4B4F25DA"/>
    <w:rsid w:val="4B891F50"/>
    <w:rsid w:val="4BE068DB"/>
    <w:rsid w:val="4CFB237A"/>
    <w:rsid w:val="4D577224"/>
    <w:rsid w:val="4DBF1CEB"/>
    <w:rsid w:val="4DF0007C"/>
    <w:rsid w:val="4EAB630A"/>
    <w:rsid w:val="4ECE2238"/>
    <w:rsid w:val="4F833267"/>
    <w:rsid w:val="4FD7617E"/>
    <w:rsid w:val="4FE9BD67"/>
    <w:rsid w:val="4FFB052F"/>
    <w:rsid w:val="537E6D0A"/>
    <w:rsid w:val="53F74C96"/>
    <w:rsid w:val="55170BA8"/>
    <w:rsid w:val="553218C9"/>
    <w:rsid w:val="55FBB7E7"/>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3D2B6C"/>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273B1B"/>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BFEC468F"/>
    <w:rsid w:val="C7BEF3A4"/>
    <w:rsid w:val="CCFD093C"/>
    <w:rsid w:val="CF6FC6F3"/>
    <w:rsid w:val="CFD3D3D7"/>
    <w:rsid w:val="CFDF1009"/>
    <w:rsid w:val="D7D7B16A"/>
    <w:rsid w:val="D7EE2C14"/>
    <w:rsid w:val="D8D6DB89"/>
    <w:rsid w:val="DB6F4CAB"/>
    <w:rsid w:val="DB777682"/>
    <w:rsid w:val="DBFFAE25"/>
    <w:rsid w:val="DD1FB521"/>
    <w:rsid w:val="DD4E35D0"/>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2BF5E46"/>
    <w:rsid w:val="F36FB518"/>
    <w:rsid w:val="F3DE1A04"/>
    <w:rsid w:val="F3F722E5"/>
    <w:rsid w:val="F4FBCD07"/>
    <w:rsid w:val="F6FE95EA"/>
    <w:rsid w:val="FA5F1E70"/>
    <w:rsid w:val="FA5FDB97"/>
    <w:rsid w:val="FB7F486A"/>
    <w:rsid w:val="FBDC7729"/>
    <w:rsid w:val="FBFF5B2E"/>
    <w:rsid w:val="FD7FFE2B"/>
    <w:rsid w:val="FDEE196B"/>
    <w:rsid w:val="FDFE6575"/>
    <w:rsid w:val="FEDFDDC2"/>
    <w:rsid w:val="FEED32F6"/>
    <w:rsid w:val="FEF781DD"/>
    <w:rsid w:val="FEFA2582"/>
    <w:rsid w:val="FEFEEAA8"/>
    <w:rsid w:val="FF3F7E3F"/>
    <w:rsid w:val="FF7B93AE"/>
    <w:rsid w:val="FF7FB603"/>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HTML Address"/>
    <w:basedOn w:val="1"/>
    <w:qFormat/>
    <w:uiPriority w:val="0"/>
    <w:rPr>
      <w:i/>
      <w:iCs/>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media/uos/BEA6-BBCE/&#21508;&#31181;&#36164;&#26009;/&#26816;&#23519;&#38498;/2025&#26126;&#32454;/&#24052;&#20013;&#24066;&#20154;&#27665;&#26816;&#23519;&#38498;24&#24180;&#20915;&#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收入、支出决算总计变动情况图</a:t>
            </a:r>
          </a:p>
        </c:rich>
      </c:tx>
      <c:layout>
        <c:manualLayout>
          <c:xMode val="edge"/>
          <c:yMode val="edge"/>
          <c:x val="0.302909384786342"/>
          <c:y val="0.0358337314859054"/>
        </c:manualLayout>
      </c:layout>
      <c:overlay val="0"/>
      <c:spPr>
        <a:noFill/>
        <a:ln>
          <a:noFill/>
        </a:ln>
        <a:effectLst/>
      </c:spPr>
    </c:title>
    <c:autoTitleDeleted val="0"/>
    <c:plotArea>
      <c:layout/>
      <c:barChart>
        <c:barDir val="col"/>
        <c:grouping val="clustered"/>
        <c:varyColors val="0"/>
        <c:ser>
          <c:idx val="0"/>
          <c:order val="0"/>
          <c:tx>
            <c:strRef>
              <c:f>[图.xlsx]Sheet1!$I$3</c:f>
              <c:strCache>
                <c:ptCount val="1"/>
                <c:pt idx="0">
                  <c:v>收入总计</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[图.xlsx]Sheet1!$J$1:$K$2</c:f>
              <c:multiLvlStrCache>
                <c:ptCount val="2"/>
                <c:lvl>
                  <c:pt idx="0">
                    <c:v>2023年</c:v>
                  </c:pt>
                  <c:pt idx="1">
                    <c:v>2024年</c:v>
                  </c:pt>
                </c:lvl>
                <c:lvl/>
              </c:multiLvlStrCache>
            </c:multiLvlStrRef>
          </c:cat>
          <c:val>
            <c:numRef>
              <c:f>[图.xlsx]Sheet1!$J$3:$K$3</c:f>
              <c:numCache>
                <c:formatCode>General</c:formatCode>
                <c:ptCount val="2"/>
                <c:pt idx="0">
                  <c:v>2902.29</c:v>
                </c:pt>
                <c:pt idx="1">
                  <c:v>2998.17</c:v>
                </c:pt>
              </c:numCache>
            </c:numRef>
          </c:val>
        </c:ser>
        <c:ser>
          <c:idx val="1"/>
          <c:order val="1"/>
          <c:tx>
            <c:strRef>
              <c:f>[图.xlsx]Sheet1!$I$4</c:f>
              <c:strCache>
                <c:ptCount val="1"/>
                <c:pt idx="0">
                  <c:v>支出总计</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[图.xlsx]Sheet1!$J$1:$K$2</c:f>
              <c:multiLvlStrCache>
                <c:ptCount val="2"/>
                <c:lvl>
                  <c:pt idx="0">
                    <c:v>2023年</c:v>
                  </c:pt>
                  <c:pt idx="1">
                    <c:v>2024年</c:v>
                  </c:pt>
                </c:lvl>
                <c:lvl/>
              </c:multiLvlStrCache>
            </c:multiLvlStrRef>
          </c:cat>
          <c:val>
            <c:numRef>
              <c:f>[图.xlsx]Sheet1!$J$4:$K$4</c:f>
              <c:numCache>
                <c:formatCode>General</c:formatCode>
                <c:ptCount val="2"/>
                <c:pt idx="0">
                  <c:v>2902.29</c:v>
                </c:pt>
                <c:pt idx="1">
                  <c:v>2998.17</c:v>
                </c:pt>
              </c:numCache>
            </c:numRef>
          </c:val>
        </c:ser>
        <c:dLbls>
          <c:showLegendKey val="0"/>
          <c:showVal val="1"/>
          <c:showCatName val="0"/>
          <c:showSerName val="0"/>
          <c:showPercent val="0"/>
          <c:showBubbleSize val="0"/>
        </c:dLbls>
        <c:gapWidth val="246"/>
        <c:overlap val="-28"/>
        <c:axId val="135803910"/>
        <c:axId val="550441284"/>
      </c:barChart>
      <c:catAx>
        <c:axId val="135803910"/>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50441284"/>
        <c:crosses val="autoZero"/>
        <c:auto val="1"/>
        <c:lblAlgn val="ctr"/>
        <c:lblOffset val="100"/>
        <c:noMultiLvlLbl val="0"/>
      </c:catAx>
      <c:valAx>
        <c:axId val="550441284"/>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3580391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fa3038e6-1212-4830-9319-d018ecbcb95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[图.xlsx]Sheet1!$A$173</c:f>
              <c:strCache>
                <c:ptCount val="1"/>
                <c:pt idx="0">
                  <c:v>一般公共预算财政拨款收入</c:v>
                </c:pt>
              </c:strCache>
            </c:strRef>
          </c:cat>
          <c:val>
            <c:numRef>
              <c:f>[图.xlsx]Sheet1!$B$173</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c44f59-a625-4f06-bfb1-bda2940d07c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支出决算结构图</a:t>
            </a:r>
            <a:endParaRPr lang="en-US" altLang="zh-CN"/>
          </a:p>
        </c:rich>
      </c:tx>
      <c:layout>
        <c:manualLayout>
          <c:xMode val="edge"/>
          <c:yMode val="edge"/>
          <c:x val="0.366728062097092"/>
          <c:y val="0.0391203703703704"/>
        </c:manualLayout>
      </c:layout>
      <c:overlay val="0"/>
      <c:spPr>
        <a:noFill/>
        <a:ln>
          <a:noFill/>
        </a:ln>
        <a:effectLst/>
      </c:spPr>
    </c:title>
    <c:autoTitleDeleted val="0"/>
    <c:plotArea>
      <c:layout/>
      <c:pieChart>
        <c:varyColors val="1"/>
        <c:ser>
          <c:idx val="0"/>
          <c:order val="0"/>
          <c:spPr>
            <a:scene3d>
              <a:camera prst="orthographicFront"/>
              <a:lightRig rig="threePt" dir="t"/>
            </a:scene3d>
            <a:sp3d contourW="9525"/>
          </c:spPr>
          <c:explosion val="0"/>
          <c:dPt>
            <c:idx val="0"/>
            <c:bubble3D val="0"/>
            <c:spPr>
              <a:solidFill>
                <a:schemeClr val="accent1"/>
              </a:solidFill>
              <a:ln w="19050">
                <a:solidFill>
                  <a:schemeClr val="bg1"/>
                </a:solidFill>
              </a:ln>
              <a:effectLst/>
              <a:scene3d>
                <a:camera prst="orthographicFront"/>
                <a:lightRig rig="threePt" dir="t"/>
              </a:scene3d>
              <a:sp3d contourW="9525"/>
            </c:spPr>
          </c:dPt>
          <c:dPt>
            <c:idx val="1"/>
            <c:bubble3D val="0"/>
            <c:spPr>
              <a:solidFill>
                <a:schemeClr val="accent2"/>
              </a:solidFill>
              <a:ln w="19050">
                <a:solidFill>
                  <a:schemeClr val="bg1"/>
                </a:solidFill>
              </a:ln>
              <a:effectLst/>
              <a:scene3d>
                <a:camera prst="orthographicFront"/>
                <a:lightRig rig="threePt" dir="t"/>
              </a:scene3d>
              <a:sp3d contourW="95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[图.xlsx]Sheet1!$J$34:$J$35</c:f>
              <c:strCache>
                <c:ptCount val="2"/>
                <c:pt idx="0">
                  <c:v>基本支出</c:v>
                </c:pt>
                <c:pt idx="1">
                  <c:v>项目支出</c:v>
                </c:pt>
              </c:strCache>
            </c:strRef>
          </c:cat>
          <c:val>
            <c:numRef>
              <c:f>[图.xlsx]Sheet1!$K$34:$K$35</c:f>
              <c:numCache>
                <c:formatCode>General</c:formatCode>
                <c:ptCount val="2"/>
                <c:pt idx="0">
                  <c:v>2574.35</c:v>
                </c:pt>
                <c:pt idx="1">
                  <c:v>423.81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6cdfd57-d693-4be5-b78f-841a5566763e}"/>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[图.xlsx]Sheet1!$A$179</c:f>
              <c:strCache>
                <c:ptCount val="1"/>
                <c:pt idx="0">
                  <c:v>财政拨款收入</c:v>
                </c:pt>
              </c:strCache>
            </c:strRef>
          </c:tx>
          <c:spPr>
            <a:solidFill>
              <a:schemeClr val="accent1"/>
            </a:solidFill>
            <a:ln>
              <a:noFill/>
            </a:ln>
            <a:effectLst/>
          </c:spPr>
          <c:invertIfNegative val="0"/>
          <c:dLbls>
            <c:delete val="1"/>
          </c:dLbls>
          <c:cat>
            <c:strRef>
              <c:f>[图.xlsx]Sheet1!$B$178:$C$178</c:f>
              <c:strCache>
                <c:ptCount val="2"/>
                <c:pt idx="0">
                  <c:v>2023年</c:v>
                </c:pt>
                <c:pt idx="1">
                  <c:v>2024年</c:v>
                </c:pt>
              </c:strCache>
            </c:strRef>
          </c:cat>
          <c:val>
            <c:numRef>
              <c:f>[图.xlsx]Sheet1!$B$179:$C$179</c:f>
              <c:numCache>
                <c:formatCode>General</c:formatCode>
                <c:ptCount val="2"/>
                <c:pt idx="0">
                  <c:v>2902.29</c:v>
                </c:pt>
                <c:pt idx="1">
                  <c:v>2998.17</c:v>
                </c:pt>
              </c:numCache>
            </c:numRef>
          </c:val>
        </c:ser>
        <c:ser>
          <c:idx val="1"/>
          <c:order val="1"/>
          <c:tx>
            <c:strRef>
              <c:f>[图.xlsx]Sheet1!$A$180</c:f>
              <c:strCache>
                <c:ptCount val="1"/>
                <c:pt idx="0">
                  <c:v>财政拨款支出</c:v>
                </c:pt>
              </c:strCache>
            </c:strRef>
          </c:tx>
          <c:spPr>
            <a:solidFill>
              <a:schemeClr val="accent2"/>
            </a:solidFill>
            <a:ln>
              <a:noFill/>
            </a:ln>
            <a:effectLst/>
          </c:spPr>
          <c:invertIfNegative val="0"/>
          <c:dLbls>
            <c:delete val="1"/>
          </c:dLbls>
          <c:cat>
            <c:strRef>
              <c:f>[图.xlsx]Sheet1!$B$178:$C$178</c:f>
              <c:strCache>
                <c:ptCount val="2"/>
                <c:pt idx="0">
                  <c:v>2023年</c:v>
                </c:pt>
                <c:pt idx="1">
                  <c:v>2024年</c:v>
                </c:pt>
              </c:strCache>
            </c:strRef>
          </c:cat>
          <c:val>
            <c:numRef>
              <c:f>[图.xlsx]Sheet1!$B$180:$C$180</c:f>
              <c:numCache>
                <c:formatCode>General</c:formatCode>
                <c:ptCount val="2"/>
                <c:pt idx="0">
                  <c:v>2902.29</c:v>
                </c:pt>
                <c:pt idx="1">
                  <c:v>2998.17</c:v>
                </c:pt>
              </c:numCache>
            </c:numRef>
          </c:val>
        </c:ser>
        <c:dLbls>
          <c:showLegendKey val="0"/>
          <c:showVal val="0"/>
          <c:showCatName val="0"/>
          <c:showSerName val="0"/>
          <c:showPercent val="0"/>
          <c:showBubbleSize val="0"/>
        </c:dLbls>
        <c:gapWidth val="150"/>
        <c:overlap val="0"/>
        <c:axId val="446685673"/>
        <c:axId val="269476493"/>
      </c:barChart>
      <c:catAx>
        <c:axId val="4466856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476493"/>
        <c:crosses val="autoZero"/>
        <c:auto val="1"/>
        <c:lblAlgn val="ctr"/>
        <c:lblOffset val="100"/>
        <c:noMultiLvlLbl val="0"/>
      </c:catAx>
      <c:valAx>
        <c:axId val="2694764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668567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110d85-4ef8-45e3-8c81-d2ea55e225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[图.xlsx]Sheet1!$A$173</c:f>
              <c:strCache>
                <c:ptCount val="1"/>
                <c:pt idx="0">
                  <c:v>一般公共预算财政拨款收入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[图.xlsx]Sheet1!$B$172:$C$172</c:f>
              <c:strCache>
                <c:ptCount val="2"/>
                <c:pt idx="0">
                  <c:v>2023年</c:v>
                </c:pt>
                <c:pt idx="1">
                  <c:v>2024年</c:v>
                </c:pt>
              </c:strCache>
            </c:strRef>
          </c:cat>
          <c:val>
            <c:numRef>
              <c:f>[图.xlsx]Sheet1!$B$173:$C$173</c:f>
              <c:numCache>
                <c:formatCode>General</c:formatCode>
                <c:ptCount val="2"/>
                <c:pt idx="0">
                  <c:v>2902.29</c:v>
                </c:pt>
                <c:pt idx="1">
                  <c:v>2998.17</c:v>
                </c:pt>
              </c:numCache>
            </c:numRef>
          </c:val>
        </c:ser>
        <c:dLbls>
          <c:showLegendKey val="0"/>
          <c:showVal val="1"/>
          <c:showCatName val="0"/>
          <c:showSerName val="0"/>
          <c:showPercent val="0"/>
          <c:showBubbleSize val="0"/>
        </c:dLbls>
        <c:gapWidth val="219"/>
        <c:overlap val="-27"/>
        <c:axId val="851472690"/>
        <c:axId val="475238568"/>
      </c:barChart>
      <c:catAx>
        <c:axId val="8514726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5238568"/>
        <c:crosses val="autoZero"/>
        <c:auto val="1"/>
        <c:lblAlgn val="ctr"/>
        <c:lblOffset val="100"/>
        <c:noMultiLvlLbl val="0"/>
      </c:catAx>
      <c:valAx>
        <c:axId val="475238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472690"/>
        <c:crosses val="autoZero"/>
        <c:crossBetween val="between"/>
      </c:valAx>
      <c:spPr>
        <a:noFill/>
        <a:ln>
          <a:noFill/>
        </a:ln>
        <a:effectLst/>
      </c:spPr>
    </c:plotArea>
    <c:plotVisOnly val="1"/>
    <c:dispBlanksAs val="gap"/>
    <c:showDLblsOverMax val="0"/>
    <c:extLst>
      <c:ext uri="{0b15fc19-7d7d-44ad-8c2d-2c3a37ce22c3}">
        <chartProps xmlns="https://web.wps.cn/et/2018/main" chartId="{bf223907-d52a-4287-bae6-68c79d8fa7f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[图.xlsx]Sheet1!$A$195:$A$199</c:f>
              <c:strCache>
                <c:ptCount val="5"/>
                <c:pt idx="0">
                  <c:v>一般公共服务支出</c:v>
                </c:pt>
                <c:pt idx="1">
                  <c:v>公共安全支出</c:v>
                </c:pt>
                <c:pt idx="2">
                  <c:v>社会保障和就业支出</c:v>
                </c:pt>
                <c:pt idx="3">
                  <c:v>卫生健康支出</c:v>
                </c:pt>
                <c:pt idx="4">
                  <c:v>住房保障支出</c:v>
                </c:pt>
              </c:strCache>
            </c:strRef>
          </c:cat>
          <c:val>
            <c:numRef>
              <c:f>[图.xlsx]Sheet1!$B$195:$B$199</c:f>
              <c:numCache>
                <c:formatCode>General</c:formatCode>
                <c:ptCount val="5"/>
                <c:pt idx="0">
                  <c:v>6.16</c:v>
                </c:pt>
                <c:pt idx="1">
                  <c:v>2532.07</c:v>
                </c:pt>
                <c:pt idx="2">
                  <c:v>186.36</c:v>
                </c:pt>
                <c:pt idx="3">
                  <c:v>93.72</c:v>
                </c:pt>
                <c:pt idx="4">
                  <c:v>179.86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014623-649b-4774-ba85-90dc04b1b2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6">
                  <a:shade val="65000"/>
                </a:schemeClr>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chemeClr val="accent6">
                  <a:tint val="65000"/>
                </a:schemeClr>
              </a:solidFill>
              <a:ln w="19050">
                <a:solidFill>
                  <a:schemeClr val="lt1"/>
                </a:solidFill>
              </a:ln>
              <a:effectLst/>
            </c:spPr>
          </c:dPt>
          <c:dLbls>
            <c:dLbl>
              <c:idx val="0"/>
              <c:delete val="1"/>
            </c:dLbl>
            <c:dLbl>
              <c:idx val="1"/>
              <c:layout>
                <c:manualLayout>
                  <c:x val="0.240828566843529"/>
                  <c:y val="-0.08247464324019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53103988486714"/>
                  <c:y val="0.008346909676782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[图.xlsx]Sheet1!$A$209:$A$211</c:f>
              <c:strCache>
                <c:ptCount val="3"/>
                <c:pt idx="0">
                  <c:v>因公出国（境）费</c:v>
                </c:pt>
                <c:pt idx="1">
                  <c:v>公务用车购置及运行维护费</c:v>
                </c:pt>
                <c:pt idx="2">
                  <c:v>公务接待费</c:v>
                </c:pt>
              </c:strCache>
            </c:strRef>
          </c:cat>
          <c:val>
            <c:numRef>
              <c:f>[图.xlsx]Sheet1!$B$209:$B$211</c:f>
              <c:numCache>
                <c:formatCode>General</c:formatCode>
                <c:ptCount val="3"/>
                <c:pt idx="0">
                  <c:v>0</c:v>
                </c:pt>
                <c:pt idx="1">
                  <c:v>38.78</c:v>
                </c:pt>
                <c:pt idx="2">
                  <c:v>2.26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41a08cd-80c6-4156-890c-d44288831a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9974</Words>
  <Characters>10655</Characters>
  <Lines>61</Lines>
  <Paragraphs>17</Paragraphs>
  <TotalTime>13</TotalTime>
  <ScaleCrop>false</ScaleCrop>
  <LinksUpToDate>false</LinksUpToDate>
  <CharactersWithSpaces>10775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2020-08-12T01:49:00Z</dcterms:created>
  <dc:creator>曹颖</dc:creator>
  <cp:lastModifiedBy>岳PC端</cp:lastModifiedBy>
  <cp:lastPrinted>2025-09-29T16:19:00Z</cp:lastPrinted>
  <dcterms:modified xsi:type="dcterms:W3CDTF">2025-11-06T04:28:42Z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eyJoZGlkIjoiMjFlOTlkOWY2YWFiMjNiNTI1ZGEyOWJmNTZiNzZjZTEiLCJ1c2VySWQiOiIxNTMxMDU2NzUxIn0=</vt:lpwstr>
  </property>
</Properties>
</file>