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1EB0D">
      <w:pPr>
        <w:jc w:val="center"/>
        <w:rPr>
          <w:rFonts w:hint="default" w:ascii="Times New Roman" w:hAnsi="Times New Roman" w:eastAsia="黑体" w:cs="Times New Roman"/>
          <w:color w:val="000000"/>
        </w:rPr>
      </w:pPr>
      <w:bookmarkStart w:id="0" w:name="YS040100"/>
    </w:p>
    <w:p w14:paraId="5AD1B2B3">
      <w:pPr>
        <w:jc w:val="center"/>
        <w:rPr>
          <w:rFonts w:hint="default" w:ascii="Times New Roman" w:hAnsi="Times New Roman" w:eastAsia="黑体" w:cs="Times New Roman"/>
          <w:color w:val="000000"/>
        </w:rPr>
      </w:pPr>
    </w:p>
    <w:p w14:paraId="5F1FBBC3">
      <w:pPr>
        <w:jc w:val="center"/>
        <w:rPr>
          <w:rFonts w:hint="default" w:ascii="Times New Roman" w:hAnsi="Times New Roman" w:eastAsia="黑体" w:cs="Times New Roman"/>
          <w:color w:val="000000"/>
        </w:rPr>
      </w:pPr>
    </w:p>
    <w:bookmarkEnd w:id="0"/>
    <w:p w14:paraId="4EE1146F">
      <w:pPr>
        <w:jc w:val="center"/>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w:t>
      </w:r>
      <w:r>
        <w:rPr>
          <w:rFonts w:hint="default" w:ascii="Times New Roman" w:hAnsi="Times New Roman" w:eastAsia="方正小标宋_GBK" w:cs="Times New Roman"/>
          <w:sz w:val="44"/>
          <w:szCs w:val="44"/>
        </w:rPr>
        <w:t>4</w:t>
      </w:r>
      <w:r>
        <w:rPr>
          <w:rFonts w:hint="default" w:ascii="Times New Roman" w:hAnsi="Times New Roman" w:eastAsia="方正小标宋_GBK" w:cs="Times New Roman"/>
          <w:color w:val="000000"/>
          <w:sz w:val="44"/>
          <w:szCs w:val="44"/>
        </w:rPr>
        <w:t>年度部门决算报表说明</w:t>
      </w:r>
    </w:p>
    <w:p w14:paraId="7681442B">
      <w:pPr>
        <w:jc w:val="center"/>
        <w:rPr>
          <w:rFonts w:hint="default" w:ascii="Times New Roman" w:hAnsi="Times New Roman" w:eastAsia="仿宋_GB2312" w:cs="Times New Roman"/>
          <w:color w:val="000000"/>
          <w:sz w:val="32"/>
          <w:szCs w:val="32"/>
        </w:rPr>
      </w:pPr>
    </w:p>
    <w:p w14:paraId="462200E5">
      <w:pPr>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一、决算信息来源说明</w:t>
      </w:r>
    </w:p>
    <w:p w14:paraId="64993F48">
      <w:pPr>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14:paraId="76AC9B50">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（一）本套决算主表数据主要依据本单位会计账簿总账及明细账数据填列，预算数据依据本单位预、决算批复文件及预算调整文件填列。</w:t>
      </w:r>
    </w:p>
    <w:p w14:paraId="58BD2E5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（二）本套决算附表数据主要依据本单位会计账簿、资产、人事台账及相关资料填列。</w:t>
      </w:r>
    </w:p>
    <w:p w14:paraId="04785664">
      <w:pPr>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二、决算编制基本情况</w:t>
      </w:r>
    </w:p>
    <w:p w14:paraId="53E2843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本单位为四川省巴中市人民检察院所属一级预算单位，单位性质为行政单位，决算编报类型为单户表，按照政府会计</w:t>
      </w:r>
      <w:r>
        <w:rPr>
          <w:rFonts w:hint="default" w:ascii="Times New Roman" w:hAnsi="Times New Roman" w:eastAsia="仿宋_GB2312" w:cs="Times New Roman"/>
          <w:sz w:val="32"/>
          <w:szCs w:val="32"/>
          <w:lang w:eastAsia="zh-CN"/>
        </w:rPr>
        <w:t>准则</w:t>
      </w:r>
      <w:r>
        <w:rPr>
          <w:rFonts w:hint="default" w:ascii="Times New Roman" w:hAnsi="Times New Roman" w:eastAsia="仿宋_GB2312" w:cs="Times New Roman"/>
          <w:sz w:val="32"/>
          <w:szCs w:val="32"/>
        </w:rPr>
        <w:t>制度填报决算数据。</w:t>
      </w:r>
    </w:p>
    <w:p w14:paraId="1C3A69A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纳入本套决算编制范围的独立核算单位共1个，较上年无增减。</w:t>
      </w:r>
    </w:p>
    <w:p w14:paraId="1777DC3A">
      <w:pPr>
        <w:ind w:firstLine="707" w:firstLineChars="221"/>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三、基础数据核对情况</w:t>
      </w:r>
    </w:p>
    <w:p w14:paraId="6DE1E15C">
      <w:pPr>
        <w:ind w:firstLine="709"/>
        <w:outlineLvl w:val="1"/>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（一）财政资金对账情况。</w:t>
      </w:r>
    </w:p>
    <w:p w14:paraId="7A003E5C">
      <w:pPr>
        <w:ind w:firstLine="709"/>
        <w:outlineLvl w:val="2"/>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1．财政拨款核对情况。</w:t>
      </w:r>
    </w:p>
    <w:p w14:paraId="7F6E5555">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（1）单位本年度实际收到的</w:t>
      </w:r>
      <w:r>
        <w:rPr>
          <w:rFonts w:hint="default" w:ascii="Times New Roman" w:hAnsi="Times New Roman" w:eastAsia="仿宋_GB2312" w:cs="Times New Roman"/>
          <w:bCs/>
          <w:color w:val="000000"/>
          <w:sz w:val="32"/>
          <w:szCs w:val="32"/>
        </w:rPr>
        <w:t>一般</w:t>
      </w:r>
      <w:r>
        <w:rPr>
          <w:rFonts w:hint="default" w:ascii="Times New Roman" w:hAnsi="Times New Roman" w:eastAsia="仿宋_GB2312" w:cs="Times New Roman"/>
          <w:color w:val="000000"/>
          <w:sz w:val="32"/>
          <w:szCs w:val="32"/>
        </w:rPr>
        <w:t>公共预算财政拨款收入</w:t>
      </w:r>
      <w:r>
        <w:rPr>
          <w:rFonts w:hint="default" w:ascii="Times New Roman" w:hAnsi="Times New Roman" w:eastAsia="仿宋_GB2312" w:cs="Times New Roman"/>
          <w:sz w:val="32"/>
          <w:szCs w:val="32"/>
          <w:u w:val="single"/>
          <w:lang w:val="en-US" w:eastAsia="zh-CN"/>
        </w:rPr>
        <w:t>2998.17</w:t>
      </w:r>
      <w:r>
        <w:rPr>
          <w:rFonts w:hint="default" w:ascii="Times New Roman" w:hAnsi="Times New Roman" w:eastAsia="仿宋_GB2312" w:cs="Times New Roman"/>
          <w:color w:val="000000"/>
          <w:sz w:val="32"/>
          <w:szCs w:val="32"/>
        </w:rPr>
        <w:t>万元，财政部门拨款对账单</w:t>
      </w:r>
      <w:r>
        <w:rPr>
          <w:rFonts w:hint="default" w:ascii="Times New Roman" w:hAnsi="Times New Roman" w:eastAsia="仿宋_GB2312" w:cs="Times New Roman"/>
          <w:sz w:val="32"/>
          <w:szCs w:val="32"/>
          <w:u w:val="single"/>
          <w:lang w:val="en-US" w:eastAsia="zh-CN"/>
        </w:rPr>
        <w:t>2998.17</w:t>
      </w:r>
      <w:r>
        <w:rPr>
          <w:rFonts w:hint="default" w:ascii="Times New Roman" w:hAnsi="Times New Roman" w:eastAsia="仿宋_GB2312" w:cs="Times New Roman"/>
          <w:color w:val="000000"/>
          <w:sz w:val="32"/>
          <w:szCs w:val="32"/>
        </w:rPr>
        <w:t>万元，无差额。</w:t>
      </w:r>
    </w:p>
    <w:p w14:paraId="2F5A60F1">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（2）单位本年度无政府性基金预算财政拨款收入。</w:t>
      </w:r>
    </w:p>
    <w:p w14:paraId="590772BC">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（3）单位本年度无国有资本经营预算财政拨款收入。</w:t>
      </w:r>
    </w:p>
    <w:p w14:paraId="1C63C7BF">
      <w:pPr>
        <w:ind w:firstLine="709"/>
        <w:outlineLvl w:val="2"/>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2．其他需要说明的情况。</w:t>
      </w:r>
    </w:p>
    <w:p w14:paraId="7956FD03">
      <w:pPr>
        <w:ind w:firstLine="709"/>
        <w:outlineLvl w:val="1"/>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（二）与上年指标核对情况。</w:t>
      </w:r>
    </w:p>
    <w:p w14:paraId="0492A399">
      <w:pPr>
        <w:ind w:firstLine="70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highlight w:val="none"/>
        </w:rPr>
        <w:t>全口径、</w:t>
      </w:r>
      <w:r>
        <w:rPr>
          <w:rFonts w:hint="default" w:ascii="Times New Roman" w:hAnsi="Times New Roman" w:eastAsia="仿宋_GB2312" w:cs="Times New Roman"/>
          <w:bCs/>
          <w:color w:val="000000"/>
          <w:sz w:val="32"/>
          <w:szCs w:val="32"/>
          <w:highlight w:val="none"/>
        </w:rPr>
        <w:t>一般</w:t>
      </w:r>
      <w:r>
        <w:rPr>
          <w:rFonts w:hint="default" w:ascii="Times New Roman" w:hAnsi="Times New Roman" w:eastAsia="仿宋_GB2312" w:cs="Times New Roman"/>
          <w:color w:val="000000"/>
          <w:sz w:val="32"/>
          <w:szCs w:val="32"/>
          <w:highlight w:val="none"/>
        </w:rPr>
        <w:t>公共预算财政拨款和政府性基金预算财政拨款的结转和结余资金本年年初数与上年年末数一致。</w:t>
      </w:r>
      <w:r>
        <w:rPr>
          <w:rFonts w:hint="default" w:ascii="Times New Roman" w:hAnsi="Times New Roman" w:eastAsia="仿宋_GB2312" w:cs="Times New Roman"/>
          <w:color w:val="000000"/>
          <w:sz w:val="32"/>
          <w:szCs w:val="32"/>
        </w:rPr>
        <w:t>2．主要指标上下年变动幅度超过</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000000"/>
          <w:sz w:val="32"/>
          <w:szCs w:val="32"/>
        </w:rPr>
        <w:t>，其中机构人员指标上下年有变动的</w:t>
      </w:r>
      <w:r>
        <w:rPr>
          <w:rFonts w:hint="default" w:ascii="Times New Roman" w:hAnsi="Times New Roman" w:eastAsia="仿宋_GB2312" w:cs="Times New Roman"/>
          <w:color w:val="000000"/>
          <w:sz w:val="32"/>
          <w:szCs w:val="32"/>
          <w:lang w:eastAsia="zh-CN"/>
        </w:rPr>
        <w:t>情况说明。</w:t>
      </w:r>
    </w:p>
    <w:p w14:paraId="3BD25B7C">
      <w:pPr>
        <w:ind w:firstLine="70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年度收支情况中</w:t>
      </w:r>
      <w:r>
        <w:rPr>
          <w:rFonts w:hint="default" w:ascii="Times New Roman" w:hAnsi="Times New Roman" w:eastAsia="仿宋_GB2312" w:cs="Times New Roman"/>
          <w:color w:val="000000"/>
          <w:sz w:val="32"/>
          <w:szCs w:val="32"/>
          <w:highlight w:val="none"/>
          <w:lang w:eastAsia="zh-CN"/>
        </w:rPr>
        <w:t>，人员经费支出较上年增长</w:t>
      </w:r>
      <w:r>
        <w:rPr>
          <w:rFonts w:hint="default" w:ascii="Times New Roman" w:hAnsi="Times New Roman" w:eastAsia="仿宋_GB2312" w:cs="Times New Roman"/>
          <w:color w:val="000000"/>
          <w:sz w:val="32"/>
          <w:szCs w:val="32"/>
          <w:highlight w:val="none"/>
          <w:lang w:val="en-US" w:eastAsia="zh-CN"/>
        </w:rPr>
        <w:t>11.81%，</w:t>
      </w:r>
      <w:r>
        <w:rPr>
          <w:rFonts w:hint="default" w:ascii="Times New Roman" w:hAnsi="Times New Roman" w:eastAsia="仿宋_GB2312" w:cs="Times New Roman"/>
          <w:color w:val="000000"/>
          <w:sz w:val="32"/>
          <w:szCs w:val="32"/>
          <w:highlight w:val="none"/>
        </w:rPr>
        <w:t>变动原因是：四川省巴中市人民检察院</w:t>
      </w:r>
      <w:r>
        <w:rPr>
          <w:rFonts w:hint="default" w:ascii="Times New Roman" w:hAnsi="Times New Roman" w:eastAsia="仿宋_GB2312" w:cs="Times New Roman"/>
          <w:color w:val="000000"/>
          <w:sz w:val="32"/>
          <w:szCs w:val="32"/>
          <w:highlight w:val="none"/>
          <w:lang w:eastAsia="zh-CN"/>
        </w:rPr>
        <w:t>在</w:t>
      </w:r>
      <w:r>
        <w:rPr>
          <w:rFonts w:hint="default" w:ascii="Times New Roman" w:hAnsi="Times New Roman" w:eastAsia="仿宋_GB2312" w:cs="Times New Roman"/>
          <w:color w:val="000000"/>
          <w:sz w:val="32"/>
          <w:szCs w:val="32"/>
          <w:highlight w:val="none"/>
          <w:lang w:val="en-US" w:eastAsia="zh-CN"/>
        </w:rPr>
        <w:t>2024年</w:t>
      </w:r>
      <w:r>
        <w:rPr>
          <w:rFonts w:hint="default" w:ascii="Times New Roman" w:hAnsi="Times New Roman" w:eastAsia="仿宋_GB2312" w:cs="Times New Roman"/>
          <w:color w:val="000000"/>
          <w:sz w:val="32"/>
          <w:szCs w:val="32"/>
          <w:highlight w:val="none"/>
        </w:rPr>
        <w:t>发放</w:t>
      </w:r>
      <w:r>
        <w:rPr>
          <w:rFonts w:hint="default" w:ascii="Times New Roman" w:hAnsi="Times New Roman" w:eastAsia="仿宋_GB2312" w:cs="Times New Roman"/>
          <w:color w:val="000000"/>
          <w:sz w:val="32"/>
          <w:szCs w:val="32"/>
          <w:highlight w:val="none"/>
          <w:lang w:val="en-US" w:eastAsia="zh-CN"/>
        </w:rPr>
        <w:t>当</w:t>
      </w:r>
      <w:r>
        <w:rPr>
          <w:rFonts w:hint="default" w:ascii="Times New Roman" w:hAnsi="Times New Roman" w:eastAsia="仿宋_GB2312" w:cs="Times New Roman"/>
          <w:color w:val="000000"/>
          <w:sz w:val="32"/>
          <w:szCs w:val="32"/>
          <w:highlight w:val="none"/>
          <w:lang w:val="en" w:eastAsia="zh-CN"/>
        </w:rPr>
        <w:t>年</w:t>
      </w:r>
      <w:r>
        <w:rPr>
          <w:rFonts w:hint="default" w:ascii="Times New Roman" w:hAnsi="Times New Roman" w:eastAsia="仿宋_GB2312" w:cs="Times New Roman"/>
          <w:color w:val="000000"/>
          <w:sz w:val="32"/>
          <w:szCs w:val="32"/>
          <w:highlight w:val="none"/>
          <w:lang w:val="en-US" w:eastAsia="zh-CN"/>
        </w:rPr>
        <w:t>1-9月60%部分司改绩效</w:t>
      </w:r>
      <w:r>
        <w:rPr>
          <w:rFonts w:hint="default" w:ascii="Times New Roman" w:hAnsi="Times New Roman" w:eastAsia="仿宋_GB2312" w:cs="Times New Roman"/>
          <w:color w:val="000000"/>
          <w:sz w:val="32"/>
          <w:szCs w:val="32"/>
          <w:highlight w:val="none"/>
        </w:rPr>
        <w:t>，故人员经费增加。</w:t>
      </w:r>
    </w:p>
    <w:p w14:paraId="7E7F5BE3">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lang w:val="en-US"/>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年度收支情况中</w:t>
      </w:r>
      <w:r>
        <w:rPr>
          <w:rFonts w:hint="default" w:ascii="Times New Roman" w:hAnsi="Times New Roman" w:eastAsia="仿宋_GB2312" w:cs="Times New Roman"/>
          <w:color w:val="000000"/>
          <w:sz w:val="32"/>
          <w:szCs w:val="32"/>
          <w:highlight w:val="none"/>
          <w:lang w:eastAsia="zh-CN"/>
        </w:rPr>
        <w:t>，项目支出较上年减少</w:t>
      </w:r>
      <w:r>
        <w:rPr>
          <w:rFonts w:hint="default" w:ascii="Times New Roman" w:hAnsi="Times New Roman" w:eastAsia="仿宋_GB2312" w:cs="Times New Roman"/>
          <w:color w:val="000000"/>
          <w:sz w:val="32"/>
          <w:szCs w:val="32"/>
          <w:highlight w:val="none"/>
          <w:lang w:val="en-US" w:eastAsia="zh-CN"/>
        </w:rPr>
        <w:t>18.07%,</w:t>
      </w:r>
      <w:r>
        <w:rPr>
          <w:rFonts w:hint="default" w:ascii="Times New Roman" w:hAnsi="Times New Roman" w:eastAsia="仿宋_GB2312" w:cs="Times New Roman"/>
          <w:color w:val="000000"/>
          <w:sz w:val="32"/>
          <w:szCs w:val="32"/>
          <w:highlight w:val="none"/>
        </w:rPr>
        <w:t>变动原因是：</w:t>
      </w:r>
      <w:r>
        <w:rPr>
          <w:rFonts w:hint="default" w:ascii="Times New Roman" w:hAnsi="Times New Roman" w:eastAsia="仿宋_GB2312" w:cs="Times New Roman"/>
          <w:color w:val="000000"/>
          <w:sz w:val="32"/>
          <w:szCs w:val="32"/>
          <w:highlight w:val="none"/>
          <w:lang w:val="en-US" w:eastAsia="zh-CN"/>
        </w:rPr>
        <w:t>四川省巴中市人民检察院电子数据实验室采购项目当年采购流程未完成，采购金额未支付。</w:t>
      </w:r>
    </w:p>
    <w:p w14:paraId="0FFEA2F5">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）补充资料中，公务接待费</w:t>
      </w:r>
      <w:r>
        <w:rPr>
          <w:rFonts w:hint="default" w:ascii="Times New Roman" w:hAnsi="Times New Roman" w:eastAsia="仿宋_GB2312" w:cs="Times New Roman"/>
          <w:color w:val="000000"/>
          <w:sz w:val="32"/>
          <w:szCs w:val="32"/>
          <w:highlight w:val="none"/>
        </w:rPr>
        <w:t>较上年</w:t>
      </w:r>
      <w:r>
        <w:rPr>
          <w:rFonts w:hint="default" w:ascii="Times New Roman" w:hAnsi="Times New Roman" w:eastAsia="仿宋_GB2312" w:cs="Times New Roman"/>
          <w:color w:val="000000"/>
          <w:sz w:val="32"/>
          <w:szCs w:val="32"/>
          <w:highlight w:val="none"/>
          <w:lang w:eastAsia="zh-CN"/>
        </w:rPr>
        <w:t>增加</w:t>
      </w:r>
      <w:r>
        <w:rPr>
          <w:rFonts w:hint="default" w:ascii="Times New Roman" w:hAnsi="Times New Roman" w:eastAsia="仿宋_GB2312" w:cs="Times New Roman"/>
          <w:color w:val="000000"/>
          <w:sz w:val="32"/>
          <w:szCs w:val="32"/>
          <w:highlight w:val="none"/>
          <w:lang w:val="en-US" w:eastAsia="zh-CN"/>
        </w:rPr>
        <w:t>32.52</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变动</w:t>
      </w:r>
      <w:r>
        <w:rPr>
          <w:rFonts w:hint="default" w:ascii="Times New Roman" w:hAnsi="Times New Roman" w:eastAsia="仿宋_GB2312" w:cs="Times New Roman"/>
          <w:color w:val="000000"/>
          <w:sz w:val="32"/>
          <w:szCs w:val="32"/>
          <w:highlight w:val="none"/>
        </w:rPr>
        <w:t>原因是：</w:t>
      </w:r>
      <w:r>
        <w:rPr>
          <w:rFonts w:hint="default" w:ascii="Times New Roman" w:hAnsi="Times New Roman" w:eastAsia="仿宋_GB2312" w:cs="Times New Roman"/>
          <w:color w:val="000000"/>
          <w:sz w:val="32"/>
          <w:szCs w:val="32"/>
          <w:highlight w:val="none"/>
          <w:lang w:val="en-US" w:eastAsia="zh-CN"/>
        </w:rPr>
        <w:t>四川省巴中市人民检察院业务招待费根据实际支出列支。</w:t>
      </w:r>
    </w:p>
    <w:p w14:paraId="34D7B357">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）补充资料中，年初预算数本年支出合计与本年收入合计较上年增加</w:t>
      </w:r>
      <w:r>
        <w:rPr>
          <w:rFonts w:hint="default" w:ascii="Times New Roman" w:hAnsi="Times New Roman" w:eastAsia="仿宋_GB2312" w:cs="Times New Roman"/>
          <w:color w:val="000000"/>
          <w:sz w:val="32"/>
          <w:szCs w:val="32"/>
          <w:highlight w:val="none"/>
          <w:lang w:val="en-US" w:eastAsia="zh-CN"/>
        </w:rPr>
        <w:t>13.15%，</w:t>
      </w:r>
      <w:r>
        <w:rPr>
          <w:rFonts w:hint="default" w:ascii="Times New Roman" w:hAnsi="Times New Roman" w:eastAsia="仿宋_GB2312" w:cs="Times New Roman"/>
          <w:color w:val="000000"/>
          <w:sz w:val="32"/>
          <w:szCs w:val="32"/>
          <w:highlight w:val="none"/>
          <w:lang w:eastAsia="zh-CN"/>
        </w:rPr>
        <w:t>变动</w:t>
      </w:r>
      <w:r>
        <w:rPr>
          <w:rFonts w:hint="default" w:ascii="Times New Roman" w:hAnsi="Times New Roman" w:eastAsia="仿宋_GB2312" w:cs="Times New Roman"/>
          <w:color w:val="000000"/>
          <w:sz w:val="32"/>
          <w:szCs w:val="32"/>
          <w:highlight w:val="none"/>
        </w:rPr>
        <w:t>原因是：</w:t>
      </w:r>
      <w:r>
        <w:rPr>
          <w:rFonts w:hint="default" w:ascii="Times New Roman" w:hAnsi="Times New Roman" w:eastAsia="仿宋_GB2312" w:cs="Times New Roman"/>
          <w:color w:val="000000"/>
          <w:sz w:val="32"/>
          <w:szCs w:val="32"/>
          <w:highlight w:val="none"/>
          <w:lang w:val="en-US" w:eastAsia="zh-CN"/>
        </w:rPr>
        <w:t>四川省巴中市人民检察院人员工资普调增资，人员经费增加。</w:t>
      </w:r>
    </w:p>
    <w:p w14:paraId="2E916BC4">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CN"/>
        </w:rPr>
        <w:t>）补充资料中，会议费较上年减少</w:t>
      </w:r>
      <w:r>
        <w:rPr>
          <w:rFonts w:hint="default" w:ascii="Times New Roman" w:hAnsi="Times New Roman" w:eastAsia="仿宋_GB2312" w:cs="Times New Roman"/>
          <w:color w:val="000000"/>
          <w:sz w:val="32"/>
          <w:szCs w:val="32"/>
          <w:highlight w:val="none"/>
          <w:lang w:val="en-US" w:eastAsia="zh-CN"/>
        </w:rPr>
        <w:t>65%，</w:t>
      </w:r>
      <w:r>
        <w:rPr>
          <w:rFonts w:hint="default" w:ascii="Times New Roman" w:hAnsi="Times New Roman" w:eastAsia="仿宋_GB2312" w:cs="Times New Roman"/>
          <w:color w:val="000000"/>
          <w:sz w:val="32"/>
          <w:szCs w:val="32"/>
          <w:highlight w:val="none"/>
          <w:lang w:eastAsia="zh-CN"/>
        </w:rPr>
        <w:t>变动</w:t>
      </w:r>
      <w:r>
        <w:rPr>
          <w:rFonts w:hint="default" w:ascii="Times New Roman" w:hAnsi="Times New Roman" w:eastAsia="仿宋_GB2312" w:cs="Times New Roman"/>
          <w:color w:val="000000"/>
          <w:sz w:val="32"/>
          <w:szCs w:val="32"/>
          <w:highlight w:val="none"/>
        </w:rPr>
        <w:t>原因是：</w:t>
      </w:r>
      <w:r>
        <w:rPr>
          <w:rFonts w:hint="default" w:ascii="Times New Roman" w:hAnsi="Times New Roman" w:eastAsia="仿宋_GB2312" w:cs="Times New Roman"/>
          <w:color w:val="000000"/>
          <w:sz w:val="32"/>
          <w:szCs w:val="32"/>
          <w:highlight w:val="none"/>
          <w:lang w:val="en-US" w:eastAsia="zh-CN"/>
        </w:rPr>
        <w:t>四川省巴中市人民检察院压减一般性支出，会议活动减少，故费用降低。</w:t>
      </w:r>
    </w:p>
    <w:p w14:paraId="20B11A22">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eastAsia="zh-CN"/>
        </w:rPr>
        <w:t>）补充资料中，车辆数量较上年增加</w:t>
      </w:r>
      <w:r>
        <w:rPr>
          <w:rFonts w:hint="default" w:ascii="Times New Roman" w:hAnsi="Times New Roman" w:eastAsia="仿宋_GB2312" w:cs="Times New Roman"/>
          <w:color w:val="000000"/>
          <w:sz w:val="32"/>
          <w:szCs w:val="32"/>
          <w:highlight w:val="none"/>
          <w:lang w:val="en-US" w:eastAsia="zh-CN"/>
        </w:rPr>
        <w:t>11.11%，</w:t>
      </w:r>
      <w:r>
        <w:rPr>
          <w:rFonts w:hint="default" w:ascii="Times New Roman" w:hAnsi="Times New Roman" w:eastAsia="仿宋_GB2312" w:cs="Times New Roman"/>
          <w:color w:val="000000"/>
          <w:sz w:val="32"/>
          <w:szCs w:val="32"/>
          <w:highlight w:val="none"/>
          <w:lang w:eastAsia="zh-CN"/>
        </w:rPr>
        <w:t>变动</w:t>
      </w:r>
      <w:r>
        <w:rPr>
          <w:rFonts w:hint="default" w:ascii="Times New Roman" w:hAnsi="Times New Roman" w:eastAsia="仿宋_GB2312" w:cs="Times New Roman"/>
          <w:color w:val="000000"/>
          <w:sz w:val="32"/>
          <w:szCs w:val="32"/>
          <w:highlight w:val="none"/>
        </w:rPr>
        <w:t>原因是：</w:t>
      </w:r>
      <w:r>
        <w:rPr>
          <w:rFonts w:hint="default" w:ascii="Times New Roman" w:hAnsi="Times New Roman" w:eastAsia="仿宋_GB2312" w:cs="Times New Roman"/>
          <w:color w:val="000000"/>
          <w:sz w:val="32"/>
          <w:szCs w:val="32"/>
          <w:highlight w:val="none"/>
          <w:lang w:val="en-US" w:eastAsia="zh-CN"/>
        </w:rPr>
        <w:t>四川省巴中市人民检察院2024年新购置特种专业技术用车一辆。</w:t>
      </w:r>
    </w:p>
    <w:p w14:paraId="61931900">
      <w:pPr>
        <w:ind w:firstLine="70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eastAsia="zh-CN"/>
        </w:rPr>
        <w:t>）补充资料中，全年预算数本年支出合计与本年收入合计较上年增加</w:t>
      </w:r>
      <w:r>
        <w:rPr>
          <w:rFonts w:hint="default" w:ascii="Times New Roman" w:hAnsi="Times New Roman" w:eastAsia="仿宋_GB2312" w:cs="Times New Roman"/>
          <w:color w:val="000000"/>
          <w:sz w:val="32"/>
          <w:szCs w:val="32"/>
          <w:highlight w:val="none"/>
          <w:lang w:val="en-US" w:eastAsia="zh-CN"/>
        </w:rPr>
        <w:t>10.9%，</w:t>
      </w:r>
      <w:r>
        <w:rPr>
          <w:rFonts w:hint="default" w:ascii="Times New Roman" w:hAnsi="Times New Roman" w:eastAsia="仿宋_GB2312" w:cs="Times New Roman"/>
          <w:color w:val="000000"/>
          <w:sz w:val="32"/>
          <w:szCs w:val="32"/>
          <w:highlight w:val="none"/>
          <w:lang w:eastAsia="zh-CN"/>
        </w:rPr>
        <w:t>变动</w:t>
      </w:r>
      <w:r>
        <w:rPr>
          <w:rFonts w:hint="default" w:ascii="Times New Roman" w:hAnsi="Times New Roman" w:eastAsia="仿宋_GB2312" w:cs="Times New Roman"/>
          <w:color w:val="000000"/>
          <w:sz w:val="32"/>
          <w:szCs w:val="32"/>
          <w:highlight w:val="none"/>
        </w:rPr>
        <w:t>原因是：</w:t>
      </w:r>
      <w:r>
        <w:rPr>
          <w:rFonts w:hint="default" w:ascii="Times New Roman" w:hAnsi="Times New Roman" w:eastAsia="仿宋_GB2312" w:cs="Times New Roman"/>
          <w:color w:val="000000"/>
          <w:sz w:val="32"/>
          <w:szCs w:val="32"/>
          <w:highlight w:val="none"/>
          <w:lang w:val="en-US" w:eastAsia="zh-CN"/>
        </w:rPr>
        <w:t>四川省巴中市人民检察院</w:t>
      </w:r>
      <w:r>
        <w:rPr>
          <w:rFonts w:hint="default" w:ascii="Times New Roman" w:hAnsi="Times New Roman" w:eastAsia="仿宋_GB2312" w:cs="Times New Roman"/>
          <w:color w:val="000000"/>
          <w:sz w:val="32"/>
          <w:szCs w:val="32"/>
          <w:highlight w:val="none"/>
          <w:lang w:eastAsia="zh-CN"/>
        </w:rPr>
        <w:t>在</w:t>
      </w:r>
      <w:r>
        <w:rPr>
          <w:rFonts w:hint="default" w:ascii="Times New Roman" w:hAnsi="Times New Roman" w:eastAsia="仿宋_GB2312" w:cs="Times New Roman"/>
          <w:color w:val="000000"/>
          <w:sz w:val="32"/>
          <w:szCs w:val="32"/>
          <w:highlight w:val="none"/>
          <w:lang w:val="en-US" w:eastAsia="zh-CN"/>
        </w:rPr>
        <w:t>2024年</w:t>
      </w:r>
      <w:r>
        <w:rPr>
          <w:rFonts w:hint="default" w:ascii="Times New Roman" w:hAnsi="Times New Roman" w:eastAsia="仿宋_GB2312" w:cs="Times New Roman"/>
          <w:color w:val="000000"/>
          <w:sz w:val="32"/>
          <w:szCs w:val="32"/>
          <w:highlight w:val="none"/>
        </w:rPr>
        <w:t>发放</w:t>
      </w:r>
      <w:r>
        <w:rPr>
          <w:rFonts w:hint="default" w:ascii="Times New Roman" w:hAnsi="Times New Roman" w:eastAsia="仿宋_GB2312" w:cs="Times New Roman"/>
          <w:color w:val="000000"/>
          <w:sz w:val="32"/>
          <w:szCs w:val="32"/>
          <w:highlight w:val="none"/>
          <w:lang w:val="en-US" w:eastAsia="zh-CN"/>
        </w:rPr>
        <w:t>当</w:t>
      </w:r>
      <w:r>
        <w:rPr>
          <w:rFonts w:hint="default" w:ascii="Times New Roman" w:hAnsi="Times New Roman" w:eastAsia="仿宋_GB2312" w:cs="Times New Roman"/>
          <w:color w:val="000000"/>
          <w:sz w:val="32"/>
          <w:szCs w:val="32"/>
          <w:highlight w:val="none"/>
          <w:lang w:val="en" w:eastAsia="zh-CN"/>
        </w:rPr>
        <w:t>年</w:t>
      </w:r>
      <w:r>
        <w:rPr>
          <w:rFonts w:hint="default" w:ascii="Times New Roman" w:hAnsi="Times New Roman" w:eastAsia="仿宋_GB2312" w:cs="Times New Roman"/>
          <w:color w:val="000000"/>
          <w:sz w:val="32"/>
          <w:szCs w:val="32"/>
          <w:highlight w:val="none"/>
          <w:lang w:val="en-US" w:eastAsia="zh-CN"/>
        </w:rPr>
        <w:t>1-9月60%部分司改绩效</w:t>
      </w:r>
      <w:r>
        <w:rPr>
          <w:rFonts w:hint="default" w:ascii="Times New Roman" w:hAnsi="Times New Roman" w:eastAsia="仿宋_GB2312" w:cs="Times New Roman"/>
          <w:color w:val="000000"/>
          <w:sz w:val="32"/>
          <w:szCs w:val="32"/>
          <w:highlight w:val="none"/>
        </w:rPr>
        <w:t>，故人员经费增加。</w:t>
      </w:r>
    </w:p>
    <w:p w14:paraId="29F09CC4">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年末机构人员情况</w:t>
      </w:r>
      <w:r>
        <w:rPr>
          <w:rFonts w:hint="default" w:ascii="Times New Roman" w:hAnsi="Times New Roman" w:eastAsia="仿宋_GB2312" w:cs="Times New Roman"/>
          <w:color w:val="000000"/>
          <w:sz w:val="32"/>
          <w:szCs w:val="32"/>
          <w:highlight w:val="none"/>
          <w:lang w:eastAsia="zh-CN"/>
        </w:rPr>
        <w:t>中，</w:t>
      </w:r>
      <w:r>
        <w:rPr>
          <w:rFonts w:hint="default" w:ascii="Times New Roman" w:hAnsi="Times New Roman" w:eastAsia="仿宋_GB2312" w:cs="Times New Roman"/>
          <w:color w:val="000000"/>
          <w:sz w:val="32"/>
          <w:szCs w:val="32"/>
          <w:highlight w:val="none"/>
          <w:lang w:val="en-US" w:eastAsia="zh-CN"/>
        </w:rPr>
        <w:t>单位发放离退休费的人数较上年增加100%，</w:t>
      </w:r>
      <w:r>
        <w:rPr>
          <w:rFonts w:hint="default" w:ascii="Times New Roman" w:hAnsi="Times New Roman" w:eastAsia="仿宋_GB2312" w:cs="Times New Roman"/>
          <w:color w:val="000000"/>
          <w:sz w:val="32"/>
          <w:szCs w:val="32"/>
          <w:highlight w:val="none"/>
          <w:lang w:eastAsia="zh-CN"/>
        </w:rPr>
        <w:t>变动</w:t>
      </w:r>
      <w:r>
        <w:rPr>
          <w:rFonts w:hint="default" w:ascii="Times New Roman" w:hAnsi="Times New Roman" w:eastAsia="仿宋_GB2312" w:cs="Times New Roman"/>
          <w:color w:val="000000"/>
          <w:sz w:val="32"/>
          <w:szCs w:val="32"/>
          <w:highlight w:val="none"/>
        </w:rPr>
        <w:t>原因是：</w:t>
      </w:r>
      <w:r>
        <w:rPr>
          <w:rFonts w:hint="default" w:ascii="Times New Roman" w:hAnsi="Times New Roman" w:eastAsia="仿宋_GB2312" w:cs="Times New Roman"/>
          <w:color w:val="000000"/>
          <w:sz w:val="32"/>
          <w:szCs w:val="32"/>
          <w:highlight w:val="none"/>
          <w:lang w:val="en-US" w:eastAsia="zh-CN"/>
        </w:rPr>
        <w:t>四川省巴中市人民检察院本年增加退休人员1人。</w:t>
      </w:r>
    </w:p>
    <w:p w14:paraId="4465D2F0">
      <w:pPr>
        <w:ind w:firstLine="70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eastAsia="zh-CN"/>
        </w:rPr>
        <w:t>）年末机构人员情况中，</w:t>
      </w:r>
      <w:r>
        <w:rPr>
          <w:rFonts w:hint="default" w:ascii="Times New Roman" w:hAnsi="Times New Roman" w:eastAsia="仿宋_GB2312" w:cs="Times New Roman"/>
          <w:color w:val="000000"/>
          <w:sz w:val="32"/>
          <w:szCs w:val="32"/>
          <w:highlight w:val="none"/>
        </w:rPr>
        <w:t>年末实有人数、在职人员、行政人员指标发生变动，原因是：本年调入</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人，调出</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人</w:t>
      </w:r>
      <w:r>
        <w:rPr>
          <w:rFonts w:hint="default" w:ascii="Times New Roman" w:hAnsi="Times New Roman" w:eastAsia="仿宋_GB2312" w:cs="Times New Roman"/>
          <w:color w:val="000000"/>
          <w:sz w:val="32"/>
          <w:szCs w:val="32"/>
          <w:highlight w:val="none"/>
          <w:lang w:eastAsia="zh-CN"/>
        </w:rPr>
        <w:t>。</w:t>
      </w:r>
    </w:p>
    <w:p w14:paraId="211DE39B">
      <w:pPr>
        <w:ind w:firstLine="709"/>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四、报表审核情况</w:t>
      </w:r>
    </w:p>
    <w:p w14:paraId="687D39E3">
      <w:pPr>
        <w:ind w:firstLine="709"/>
        <w:outlineLvl w:val="2"/>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1．审核公式。</w:t>
      </w:r>
    </w:p>
    <w:p w14:paraId="04536255">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审核公式共提示</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条。其中：</w:t>
      </w:r>
    </w:p>
    <w:p w14:paraId="6AFAD01A">
      <w:pPr>
        <w:ind w:firstLine="70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（1）表间公式共</w:t>
      </w: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rPr>
        <w:tab/>
      </w:r>
      <w:r>
        <w:rPr>
          <w:rFonts w:hint="default" w:ascii="Times New Roman" w:hAnsi="Times New Roman" w:eastAsia="仿宋_GB2312" w:cs="Times New Roman"/>
          <w:b/>
          <w:bCs/>
          <w:color w:val="000000"/>
          <w:sz w:val="32"/>
          <w:szCs w:val="32"/>
        </w:rPr>
        <w:t>　</w:t>
      </w:r>
      <w:r>
        <w:rPr>
          <w:rFonts w:hint="default" w:ascii="Times New Roman" w:hAnsi="Times New Roman" w:eastAsia="仿宋_GB2312" w:cs="Times New Roman"/>
          <w:b/>
          <w:bCs/>
          <w:color w:val="000000"/>
          <w:sz w:val="32"/>
          <w:szCs w:val="32"/>
        </w:rPr>
        <w:tab/>
      </w:r>
      <w:r>
        <w:rPr>
          <w:rFonts w:hint="default" w:ascii="Times New Roman" w:hAnsi="Times New Roman" w:eastAsia="仿宋_GB2312" w:cs="Times New Roman"/>
          <w:b/>
          <w:bCs/>
          <w:color w:val="000000"/>
          <w:sz w:val="32"/>
          <w:szCs w:val="32"/>
        </w:rPr>
        <w:t>　</w:t>
      </w:r>
    </w:p>
    <w:p w14:paraId="668B2C8C">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A1830公式，提示内容财决08_</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表商品和服务支出中“其他”所占比重超过30%，需说明具体构成保留原因是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食堂支出</w:t>
      </w:r>
      <w:r>
        <w:rPr>
          <w:rFonts w:hint="default" w:ascii="Times New Roman" w:hAnsi="Times New Roman" w:eastAsia="仿宋_GB2312" w:cs="Times New Roman"/>
          <w:color w:val="000000"/>
          <w:sz w:val="32"/>
          <w:szCs w:val="32"/>
          <w:highlight w:val="none"/>
          <w:lang w:val="en-US" w:eastAsia="zh-CN"/>
        </w:rPr>
        <w:t>49.83万元，宣传支出32.35万元</w:t>
      </w:r>
    </w:p>
    <w:p w14:paraId="28382B73">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（2）表内公式共</w:t>
      </w:r>
      <w:r>
        <w:rPr>
          <w:rFonts w:hint="default" w:ascii="Times New Roman" w:hAnsi="Times New Roman" w:eastAsia="仿宋_GB2312" w:cs="Times New Roman"/>
          <w:b/>
          <w:bCs/>
          <w:color w:val="000000"/>
          <w:sz w:val="32"/>
          <w:szCs w:val="32"/>
          <w:lang w:val="en-US" w:eastAsia="zh-CN"/>
        </w:rPr>
        <w:t>0</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rPr>
        <w:tab/>
      </w:r>
      <w:r>
        <w:rPr>
          <w:rFonts w:hint="default" w:ascii="Times New Roman" w:hAnsi="Times New Roman" w:eastAsia="仿宋_GB2312" w:cs="Times New Roman"/>
          <w:b/>
          <w:bCs/>
          <w:color w:val="000000"/>
          <w:sz w:val="32"/>
          <w:szCs w:val="32"/>
        </w:rPr>
        <w:tab/>
      </w:r>
      <w:r>
        <w:rPr>
          <w:rFonts w:hint="default" w:ascii="Times New Roman" w:hAnsi="Times New Roman" w:eastAsia="仿宋_GB2312" w:cs="Times New Roman"/>
          <w:b/>
          <w:bCs/>
          <w:color w:val="000000"/>
          <w:sz w:val="32"/>
          <w:szCs w:val="32"/>
        </w:rPr>
        <w:t>　</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　</w:t>
      </w:r>
    </w:p>
    <w:p w14:paraId="74F5B7B6">
      <w:pPr>
        <w:ind w:firstLine="709"/>
        <w:outlineLvl w:val="2"/>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2．审核模板。</w:t>
      </w:r>
    </w:p>
    <w:p w14:paraId="4A9E168A">
      <w:pPr>
        <w:ind w:firstLine="70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无</w:t>
      </w:r>
      <w:r>
        <w:rPr>
          <w:rFonts w:hint="default" w:ascii="Times New Roman" w:hAnsi="Times New Roman" w:eastAsia="仿宋_GB2312" w:cs="Times New Roman"/>
          <w:color w:val="000000"/>
          <w:sz w:val="32"/>
          <w:szCs w:val="32"/>
        </w:rPr>
        <w:t>提示内容</w:t>
      </w:r>
      <w:r>
        <w:rPr>
          <w:rFonts w:hint="default" w:ascii="Times New Roman" w:hAnsi="Times New Roman" w:eastAsia="仿宋_GB2312" w:cs="Times New Roman"/>
          <w:sz w:val="32"/>
          <w:szCs w:val="32"/>
        </w:rPr>
        <w:t>。</w:t>
      </w:r>
    </w:p>
    <w:p w14:paraId="2A7BEC1C">
      <w:pPr>
        <w:ind w:firstLine="709"/>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五、决算数据其他需要说明的情况</w:t>
      </w:r>
    </w:p>
    <w:p w14:paraId="7C5028D3">
      <w:pPr>
        <w:ind w:firstLine="70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“收入决算表”中无</w:t>
      </w:r>
      <w:r>
        <w:rPr>
          <w:rFonts w:hint="default" w:ascii="Times New Roman" w:hAnsi="Times New Roman" w:eastAsia="仿宋_GB2312" w:cs="Times New Roman"/>
          <w:spacing w:val="6"/>
          <w:sz w:val="32"/>
          <w:szCs w:val="32"/>
        </w:rPr>
        <w:t>其他收入</w:t>
      </w:r>
      <w:r>
        <w:rPr>
          <w:rFonts w:hint="default" w:ascii="Times New Roman" w:hAnsi="Times New Roman" w:eastAsia="仿宋_GB2312" w:cs="Times New Roman"/>
          <w:sz w:val="32"/>
          <w:szCs w:val="32"/>
        </w:rPr>
        <w:t>。</w:t>
      </w:r>
    </w:p>
    <w:p w14:paraId="0F233A95">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2.年末结转结余为0万元</w:t>
      </w:r>
      <w:r>
        <w:rPr>
          <w:rFonts w:hint="default" w:ascii="Times New Roman" w:hAnsi="Times New Roman" w:eastAsia="仿宋_GB2312" w:cs="Times New Roman"/>
          <w:color w:val="000000"/>
          <w:sz w:val="32"/>
          <w:szCs w:val="32"/>
        </w:rPr>
        <w:t>。</w:t>
      </w:r>
    </w:p>
    <w:p w14:paraId="741A66D2">
      <w:pPr>
        <w:ind w:firstLine="70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“项目支出决算明细表”</w:t>
      </w:r>
      <w:bookmarkStart w:id="1" w:name="_GoBack"/>
      <w:bookmarkEnd w:id="1"/>
      <w:r>
        <w:rPr>
          <w:rFonts w:hint="default" w:ascii="Times New Roman" w:hAnsi="Times New Roman" w:eastAsia="仿宋_GB2312" w:cs="Times New Roman"/>
          <w:color w:val="000000"/>
          <w:sz w:val="32"/>
          <w:szCs w:val="32"/>
        </w:rPr>
        <w:t>中</w:t>
      </w:r>
      <w:r>
        <w:rPr>
          <w:rFonts w:hint="default" w:ascii="Times New Roman" w:hAnsi="Times New Roman" w:eastAsia="仿宋_GB2312" w:cs="Times New Roman"/>
          <w:color w:val="000000"/>
          <w:sz w:val="32"/>
          <w:szCs w:val="32"/>
          <w:lang w:eastAsia="zh-CN"/>
        </w:rPr>
        <w:t>未</w:t>
      </w:r>
      <w:r>
        <w:rPr>
          <w:rFonts w:hint="default" w:ascii="Times New Roman" w:hAnsi="Times New Roman" w:eastAsia="仿宋_GB2312" w:cs="Times New Roman"/>
          <w:color w:val="000000"/>
          <w:sz w:val="32"/>
          <w:szCs w:val="32"/>
        </w:rPr>
        <w:t>列支“工资福利支出”和“对个人和家庭的补助”的依据及说明。</w:t>
      </w:r>
    </w:p>
    <w:p w14:paraId="7D2EEFC6">
      <w:pPr>
        <w:snapToGrid w:val="0"/>
        <w:spacing w:line="52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sz w:val="32"/>
          <w:szCs w:val="32"/>
          <w:lang w:val="en-US" w:eastAsia="zh-CN"/>
        </w:rPr>
        <w:t>三公”经费总额为41.04，其中：公务用车运行维护费38.78万元，公务接待费2.26万元。完成年初预算数的100%，较上年决算数下降0.16%，主要原因是：本年厉行精简节约。公务用车保有量为10辆，较上年增加1辆。无因公出国（境）团情况。公务接待37批次、289人。未动用上年结转资金用于三公经费。</w:t>
      </w:r>
    </w:p>
    <w:p w14:paraId="468DC246">
      <w:pPr>
        <w:ind w:firstLine="70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5.</w:t>
      </w:r>
      <w:r>
        <w:rPr>
          <w:rFonts w:hint="default" w:ascii="Times New Roman" w:hAnsi="Times New Roman" w:eastAsia="仿宋_GB2312" w:cs="Times New Roman"/>
          <w:sz w:val="32"/>
          <w:szCs w:val="32"/>
          <w:lang w:val="en-US" w:eastAsia="zh-CN"/>
        </w:rPr>
        <w:t>2024年机关运行经费为389.1万元，较上年减少9.63%</w:t>
      </w:r>
      <w:r>
        <w:rPr>
          <w:rFonts w:hint="default" w:ascii="Times New Roman" w:hAnsi="Times New Roman" w:eastAsia="仿宋_GB2312" w:cs="Times New Roman"/>
          <w:sz w:val="32"/>
          <w:szCs w:val="32"/>
          <w:highlight w:val="none"/>
          <w:lang w:val="en-US" w:eastAsia="zh-CN"/>
        </w:rPr>
        <w:t>，变动原因是：公务交通补贴较上年有所减少。</w:t>
      </w:r>
    </w:p>
    <w:p w14:paraId="37809684">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6.政府采购支出合计</w:t>
      </w:r>
      <w:r>
        <w:rPr>
          <w:rFonts w:hint="default" w:ascii="Times New Roman" w:hAnsi="Times New Roman" w:eastAsia="仿宋_GB2312" w:cs="Times New Roman"/>
          <w:sz w:val="32"/>
          <w:szCs w:val="32"/>
          <w:highlight w:val="none"/>
          <w:lang w:val="en-US" w:eastAsia="zh-CN"/>
        </w:rPr>
        <w:t>80.4</w:t>
      </w:r>
      <w:r>
        <w:rPr>
          <w:rFonts w:hint="default" w:ascii="Times New Roman" w:hAnsi="Times New Roman" w:eastAsia="仿宋_GB2312" w:cs="Times New Roman"/>
          <w:sz w:val="32"/>
          <w:szCs w:val="32"/>
          <w:lang w:val="en-US" w:eastAsia="zh-CN"/>
        </w:rPr>
        <w:t>万元，均为采购货物支出。其中：</w:t>
      </w:r>
    </w:p>
    <w:p w14:paraId="71315157">
      <w:pPr>
        <w:keepNext w:val="0"/>
        <w:keepLines w:val="0"/>
        <w:widowControl/>
        <w:suppressLineNumbers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巴中市人民检察院办公办案设备采购项目为公开招标，采购规模12.73万元，本年支出12.73万元；巴中市人民检察院12309检察服务中心功能布局完善改造项目为公开招标，采购规模6.05万元，本年支出6.05万元；四川巴中市人民检察院执法执勤车辆采购项目为公开招标，采购规模25万元，本年支出25万元；巴中市人民检察院认罪认罚采购项目为公开招标，采购规模14.57万元，本年支出14.57万元；巴中市人民检察院驻监狱看守所监察室监控系统防火墙及监控储存设备采购项目为询价，采购规模6.25万元，本年支出6.25万元；巴中市人民检察院检察门户网站建设项目为公开招标，采购规模15.8万元，本年支出15.8万元。</w:t>
      </w:r>
    </w:p>
    <w:p w14:paraId="6CA0A9A7">
      <w:pPr>
        <w:ind w:firstLine="70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sz w:val="32"/>
          <w:szCs w:val="32"/>
          <w:lang w:val="en-US" w:eastAsia="zh-CN"/>
        </w:rPr>
        <w:t>收入支出决算总表”中年初预算数为2746.4万元，全年预算数为3219.36万元，追加预算472.96万元，均为财政拨款预算。其中：人员经费追加预算306.33万元，公用经费减少27万元，特定目标类项目经费追加193.58万元。</w:t>
      </w:r>
    </w:p>
    <w:p w14:paraId="34C235A6">
      <w:pPr>
        <w:ind w:firstLine="709"/>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rPr>
        <w:t>人员经费追加预算的原因是：</w:t>
      </w:r>
      <w:r>
        <w:rPr>
          <w:rFonts w:hint="default" w:ascii="Times New Roman" w:hAnsi="Times New Roman" w:eastAsia="仿宋_GB2312" w:cs="Times New Roman"/>
          <w:sz w:val="32"/>
          <w:szCs w:val="32"/>
          <w:lang w:eastAsia="zh-CN"/>
        </w:rPr>
        <w:t>追加</w:t>
      </w:r>
      <w:r>
        <w:rPr>
          <w:rFonts w:hint="default" w:ascii="Times New Roman" w:hAnsi="Times New Roman" w:eastAsia="仿宋_GB2312" w:cs="Times New Roman"/>
          <w:sz w:val="32"/>
          <w:szCs w:val="32"/>
        </w:rPr>
        <w:t>目标绩效奖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离退休人员生活补助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职工正常晋档晋级、</w:t>
      </w:r>
      <w:r>
        <w:rPr>
          <w:rFonts w:hint="default" w:ascii="Times New Roman" w:hAnsi="Times New Roman" w:eastAsia="仿宋_GB2312" w:cs="Times New Roman"/>
          <w:sz w:val="32"/>
          <w:szCs w:val="32"/>
          <w:lang w:eastAsia="zh-CN"/>
        </w:rPr>
        <w:t>人员变动、干部职工丧葬及一次性抚恤等经费</w:t>
      </w:r>
      <w:r>
        <w:rPr>
          <w:rFonts w:hint="default" w:ascii="Times New Roman" w:hAnsi="Times New Roman" w:eastAsia="仿宋_GB2312" w:cs="Times New Roman"/>
          <w:sz w:val="32"/>
          <w:szCs w:val="32"/>
        </w:rPr>
        <w:t>等。文件依据有：</w:t>
      </w:r>
      <w:r>
        <w:rPr>
          <w:rFonts w:hint="default" w:ascii="Times New Roman" w:hAnsi="Times New Roman" w:eastAsia="仿宋_GB2312" w:cs="Times New Roman"/>
          <w:sz w:val="32"/>
          <w:szCs w:val="32"/>
          <w:lang w:eastAsia="zh-CN"/>
        </w:rPr>
        <w:t>机关单位转岗工资核定报批表，审批编号：</w:t>
      </w:r>
      <w:r>
        <w:rPr>
          <w:rFonts w:hint="default" w:ascii="Times New Roman" w:hAnsi="Times New Roman" w:eastAsia="仿宋_GB2312" w:cs="Times New Roman"/>
          <w:sz w:val="32"/>
          <w:szCs w:val="32"/>
          <w:lang w:val="en-US" w:eastAsia="zh-CN"/>
        </w:rPr>
        <w:t>241100370001、机</w:t>
      </w:r>
      <w:r>
        <w:rPr>
          <w:rFonts w:hint="default" w:ascii="Times New Roman" w:hAnsi="Times New Roman" w:eastAsia="仿宋_GB2312" w:cs="Times New Roman"/>
          <w:color w:val="000000"/>
          <w:sz w:val="32"/>
          <w:szCs w:val="32"/>
          <w:lang w:val="en-US" w:eastAsia="zh-CN"/>
        </w:rPr>
        <w:t>关单位法官检察官职级变动报批表，审批编号：24110823001、机关单位转正定级报批表，审批编号：241100460002</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w:t>
      </w:r>
    </w:p>
    <w:p w14:paraId="43C3B7F4">
      <w:pPr>
        <w:ind w:firstLine="70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特定目标类项目经费</w:t>
      </w:r>
      <w:r>
        <w:rPr>
          <w:rFonts w:hint="default" w:ascii="Times New Roman" w:hAnsi="Times New Roman" w:eastAsia="仿宋_GB2312" w:cs="Times New Roman"/>
          <w:sz w:val="32"/>
          <w:szCs w:val="32"/>
        </w:rPr>
        <w:t>追加的原因是：政法转移支付资金追加</w:t>
      </w:r>
      <w:r>
        <w:rPr>
          <w:rFonts w:hint="default" w:ascii="Times New Roman" w:hAnsi="Times New Roman" w:eastAsia="仿宋_GB2312" w:cs="Times New Roman"/>
          <w:sz w:val="32"/>
          <w:szCs w:val="32"/>
          <w:lang w:val="en-US" w:eastAsia="zh-CN"/>
        </w:rPr>
        <w:t>245.37</w:t>
      </w:r>
      <w:r>
        <w:rPr>
          <w:rFonts w:hint="default" w:ascii="Times New Roman" w:hAnsi="Times New Roman" w:eastAsia="仿宋_GB2312" w:cs="Times New Roman"/>
          <w:sz w:val="32"/>
          <w:szCs w:val="32"/>
        </w:rPr>
        <w:t>万元，主要用于办理职务犯罪、刑事、民事等案件产生的各项业务费用</w:t>
      </w:r>
      <w:r>
        <w:rPr>
          <w:rFonts w:hint="default" w:ascii="Times New Roman" w:hAnsi="Times New Roman" w:eastAsia="仿宋_GB2312" w:cs="Times New Roman"/>
          <w:sz w:val="32"/>
          <w:szCs w:val="32"/>
          <w:lang w:eastAsia="zh-CN"/>
        </w:rPr>
        <w:t>。</w:t>
      </w:r>
    </w:p>
    <w:p w14:paraId="5DE3B241">
      <w:pPr>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8.</w:t>
      </w:r>
      <w:r>
        <w:rPr>
          <w:rFonts w:hint="default" w:ascii="Times New Roman" w:hAnsi="Times New Roman" w:eastAsia="仿宋_GB2312" w:cs="Times New Roman"/>
          <w:bCs/>
          <w:sz w:val="32"/>
          <w:szCs w:val="32"/>
          <w:lang w:eastAsia="zh-CN"/>
        </w:rPr>
        <w:t>无</w:t>
      </w:r>
      <w:r>
        <w:rPr>
          <w:rFonts w:hint="default" w:ascii="Times New Roman" w:hAnsi="Times New Roman" w:eastAsia="仿宋_GB2312" w:cs="Times New Roman"/>
          <w:bCs/>
          <w:sz w:val="32"/>
          <w:szCs w:val="32"/>
        </w:rPr>
        <w:t>中央单位财政拨款结转和结余情况</w:t>
      </w:r>
      <w:r>
        <w:rPr>
          <w:rFonts w:hint="default" w:ascii="Times New Roman" w:hAnsi="Times New Roman" w:eastAsia="仿宋_GB2312" w:cs="Times New Roman"/>
          <w:bCs/>
          <w:sz w:val="32"/>
          <w:szCs w:val="32"/>
          <w:lang w:eastAsia="zh-CN"/>
        </w:rPr>
        <w:t>。</w:t>
      </w:r>
    </w:p>
    <w:p w14:paraId="0A621D20">
      <w:pPr>
        <w:ind w:firstLine="709"/>
        <w:rPr>
          <w:rFonts w:hint="default" w:ascii="Times New Roman" w:hAnsi="Times New Roman" w:eastAsia="仿宋_GB2312" w:cs="Times New Roman"/>
          <w:dstrike/>
          <w:sz w:val="32"/>
          <w:szCs w:val="32"/>
        </w:rPr>
      </w:pPr>
      <w:r>
        <w:rPr>
          <w:rFonts w:hint="default" w:ascii="Times New Roman" w:hAnsi="Times New Roman" w:eastAsia="仿宋_GB2312" w:cs="Times New Roman"/>
          <w:bCs/>
          <w:sz w:val="32"/>
          <w:szCs w:val="32"/>
        </w:rPr>
        <w:t>9.无</w:t>
      </w:r>
      <w:r>
        <w:rPr>
          <w:rFonts w:hint="default" w:ascii="Times New Roman" w:hAnsi="Times New Roman" w:eastAsia="仿宋_GB2312" w:cs="Times New Roman"/>
          <w:sz w:val="32"/>
          <w:szCs w:val="32"/>
        </w:rPr>
        <w:t>其他需要说明的问题。</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A296">
    <w:pPr>
      <w:pStyle w:val="5"/>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4</w:t>
    </w:r>
    <w:r>
      <w:rPr>
        <w:rFonts w:ascii="Arial" w:hAnsi="Arial" w:cs="Arial"/>
        <w:sz w:val="24"/>
        <w:szCs w:val="24"/>
      </w:rPr>
      <w:fldChar w:fldCharType="end"/>
    </w:r>
  </w:p>
  <w:p w14:paraId="11AE9C1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36B06"/>
    <w:rsid w:val="00050D34"/>
    <w:rsid w:val="00086770"/>
    <w:rsid w:val="000A1A07"/>
    <w:rsid w:val="00193A54"/>
    <w:rsid w:val="001A527B"/>
    <w:rsid w:val="001C6505"/>
    <w:rsid w:val="001E73A1"/>
    <w:rsid w:val="002353E9"/>
    <w:rsid w:val="0029469C"/>
    <w:rsid w:val="002C0140"/>
    <w:rsid w:val="002C28E9"/>
    <w:rsid w:val="002C4129"/>
    <w:rsid w:val="002C6963"/>
    <w:rsid w:val="002E4CEA"/>
    <w:rsid w:val="00354517"/>
    <w:rsid w:val="00372EDE"/>
    <w:rsid w:val="003877C3"/>
    <w:rsid w:val="003B4408"/>
    <w:rsid w:val="003D6500"/>
    <w:rsid w:val="004151B4"/>
    <w:rsid w:val="00436090"/>
    <w:rsid w:val="004366EC"/>
    <w:rsid w:val="004577B8"/>
    <w:rsid w:val="00460985"/>
    <w:rsid w:val="00464BD0"/>
    <w:rsid w:val="00490B0B"/>
    <w:rsid w:val="0049377D"/>
    <w:rsid w:val="004E2856"/>
    <w:rsid w:val="00516F46"/>
    <w:rsid w:val="005177D3"/>
    <w:rsid w:val="00522486"/>
    <w:rsid w:val="005502D5"/>
    <w:rsid w:val="00550CE5"/>
    <w:rsid w:val="00552DFE"/>
    <w:rsid w:val="00563C37"/>
    <w:rsid w:val="00576055"/>
    <w:rsid w:val="005A2C4E"/>
    <w:rsid w:val="00601750"/>
    <w:rsid w:val="006210EA"/>
    <w:rsid w:val="006231DE"/>
    <w:rsid w:val="00623848"/>
    <w:rsid w:val="00635D75"/>
    <w:rsid w:val="00652931"/>
    <w:rsid w:val="00667EBC"/>
    <w:rsid w:val="0068308D"/>
    <w:rsid w:val="00690124"/>
    <w:rsid w:val="006B17A2"/>
    <w:rsid w:val="006C56A0"/>
    <w:rsid w:val="007329D4"/>
    <w:rsid w:val="00756599"/>
    <w:rsid w:val="00760F51"/>
    <w:rsid w:val="00763FDF"/>
    <w:rsid w:val="00791311"/>
    <w:rsid w:val="007C00B5"/>
    <w:rsid w:val="007E22E5"/>
    <w:rsid w:val="00822C60"/>
    <w:rsid w:val="0084124D"/>
    <w:rsid w:val="00854404"/>
    <w:rsid w:val="00893458"/>
    <w:rsid w:val="008B4CF8"/>
    <w:rsid w:val="008D1A61"/>
    <w:rsid w:val="008E5B2B"/>
    <w:rsid w:val="008F0670"/>
    <w:rsid w:val="00900A00"/>
    <w:rsid w:val="0091534A"/>
    <w:rsid w:val="0092488D"/>
    <w:rsid w:val="009804BF"/>
    <w:rsid w:val="00987D7E"/>
    <w:rsid w:val="0099544E"/>
    <w:rsid w:val="009A6117"/>
    <w:rsid w:val="009B49B0"/>
    <w:rsid w:val="009E77A1"/>
    <w:rsid w:val="009F6BB8"/>
    <w:rsid w:val="00A04699"/>
    <w:rsid w:val="00A44869"/>
    <w:rsid w:val="00A5042F"/>
    <w:rsid w:val="00A757B2"/>
    <w:rsid w:val="00AC75BA"/>
    <w:rsid w:val="00AE3866"/>
    <w:rsid w:val="00AF40A1"/>
    <w:rsid w:val="00B1177B"/>
    <w:rsid w:val="00B56BD5"/>
    <w:rsid w:val="00B668FF"/>
    <w:rsid w:val="00B964AC"/>
    <w:rsid w:val="00BB0B4D"/>
    <w:rsid w:val="00BD46AF"/>
    <w:rsid w:val="00BD6CD3"/>
    <w:rsid w:val="00C178BE"/>
    <w:rsid w:val="00C57D86"/>
    <w:rsid w:val="00CD4D48"/>
    <w:rsid w:val="00D0214E"/>
    <w:rsid w:val="00D6129B"/>
    <w:rsid w:val="00D6432C"/>
    <w:rsid w:val="00D67E65"/>
    <w:rsid w:val="00D701CF"/>
    <w:rsid w:val="00D95004"/>
    <w:rsid w:val="00DA1F66"/>
    <w:rsid w:val="00DA4E30"/>
    <w:rsid w:val="00DD2DF5"/>
    <w:rsid w:val="00DE5E34"/>
    <w:rsid w:val="00E1090A"/>
    <w:rsid w:val="00E158EF"/>
    <w:rsid w:val="00E220D8"/>
    <w:rsid w:val="00E2797E"/>
    <w:rsid w:val="00E329F1"/>
    <w:rsid w:val="00EB18AC"/>
    <w:rsid w:val="00EE0CEF"/>
    <w:rsid w:val="00F462AF"/>
    <w:rsid w:val="00F52C05"/>
    <w:rsid w:val="00F864D3"/>
    <w:rsid w:val="00FA44FE"/>
    <w:rsid w:val="00FA5E02"/>
    <w:rsid w:val="00FC360F"/>
    <w:rsid w:val="00FE6666"/>
    <w:rsid w:val="00FE784B"/>
    <w:rsid w:val="02EB59EF"/>
    <w:rsid w:val="07345A00"/>
    <w:rsid w:val="0E5F15F8"/>
    <w:rsid w:val="0E8D72FF"/>
    <w:rsid w:val="11D51D34"/>
    <w:rsid w:val="12863EF6"/>
    <w:rsid w:val="13525498"/>
    <w:rsid w:val="16C17BBA"/>
    <w:rsid w:val="17784E74"/>
    <w:rsid w:val="1A757130"/>
    <w:rsid w:val="224C2753"/>
    <w:rsid w:val="22657E82"/>
    <w:rsid w:val="24207529"/>
    <w:rsid w:val="24790FA9"/>
    <w:rsid w:val="26263902"/>
    <w:rsid w:val="27152366"/>
    <w:rsid w:val="2C4227BF"/>
    <w:rsid w:val="2E2E7358"/>
    <w:rsid w:val="30A047F9"/>
    <w:rsid w:val="34D963E2"/>
    <w:rsid w:val="35BD5D3A"/>
    <w:rsid w:val="36264FB8"/>
    <w:rsid w:val="38007442"/>
    <w:rsid w:val="3AAE3851"/>
    <w:rsid w:val="3AD74D7A"/>
    <w:rsid w:val="3E7E13AF"/>
    <w:rsid w:val="3FBF918B"/>
    <w:rsid w:val="3FEEE2C4"/>
    <w:rsid w:val="42A33A00"/>
    <w:rsid w:val="45844C17"/>
    <w:rsid w:val="49201FD2"/>
    <w:rsid w:val="4BA312B6"/>
    <w:rsid w:val="4EE429A3"/>
    <w:rsid w:val="4FD96448"/>
    <w:rsid w:val="59A02E3A"/>
    <w:rsid w:val="5BDF5F82"/>
    <w:rsid w:val="5D521C1E"/>
    <w:rsid w:val="5FE378E6"/>
    <w:rsid w:val="5FFBB720"/>
    <w:rsid w:val="616FF5FC"/>
    <w:rsid w:val="637B6C0A"/>
    <w:rsid w:val="67EBE366"/>
    <w:rsid w:val="69EFB6E9"/>
    <w:rsid w:val="6DFE6354"/>
    <w:rsid w:val="6EDB1FE3"/>
    <w:rsid w:val="6F771A28"/>
    <w:rsid w:val="708C53AC"/>
    <w:rsid w:val="70D53E34"/>
    <w:rsid w:val="717BAB0F"/>
    <w:rsid w:val="71E762EE"/>
    <w:rsid w:val="736F3637"/>
    <w:rsid w:val="75C9917C"/>
    <w:rsid w:val="75DDBE17"/>
    <w:rsid w:val="765724D8"/>
    <w:rsid w:val="77CFB6EC"/>
    <w:rsid w:val="790F6562"/>
    <w:rsid w:val="7C73188D"/>
    <w:rsid w:val="7E7FB8C5"/>
    <w:rsid w:val="7F3E9941"/>
    <w:rsid w:val="7F7F8228"/>
    <w:rsid w:val="7F7FA877"/>
    <w:rsid w:val="7FD63E24"/>
    <w:rsid w:val="AFFB364E"/>
    <w:rsid w:val="B5FE55AC"/>
    <w:rsid w:val="BEFF3688"/>
    <w:rsid w:val="D75B8F40"/>
    <w:rsid w:val="DFDBB6D6"/>
    <w:rsid w:val="EDE96DCD"/>
    <w:rsid w:val="EF7DF369"/>
    <w:rsid w:val="F37C7A99"/>
    <w:rsid w:val="FACFDEDC"/>
    <w:rsid w:val="FBEF0C27"/>
    <w:rsid w:val="FCDFEE72"/>
    <w:rsid w:val="FEDD04C9"/>
    <w:rsid w:val="FF2F8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alloon Text"/>
    <w:basedOn w:val="1"/>
    <w:link w:val="11"/>
    <w:qFormat/>
    <w:uiPriority w:val="0"/>
    <w:rPr>
      <w:rFonts w:cs="Times New Roman"/>
      <w:sz w:val="18"/>
      <w:szCs w:val="18"/>
    </w:rPr>
  </w:style>
  <w:style w:type="paragraph" w:styleId="5">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9">
    <w:name w:val="FollowedHyperlink"/>
    <w:semiHidden/>
    <w:qFormat/>
    <w:uiPriority w:val="99"/>
    <w:rPr>
      <w:color w:val="800080"/>
      <w:u w:val="single"/>
    </w:rPr>
  </w:style>
  <w:style w:type="character" w:styleId="10">
    <w:name w:val="Hyperlink"/>
    <w:semiHidden/>
    <w:qFormat/>
    <w:uiPriority w:val="99"/>
    <w:rPr>
      <w:color w:val="0000FF"/>
      <w:u w:val="single"/>
    </w:rPr>
  </w:style>
  <w:style w:type="character" w:customStyle="1" w:styleId="11">
    <w:name w:val="批注框文本 字符"/>
    <w:link w:val="4"/>
    <w:qFormat/>
    <w:uiPriority w:val="0"/>
    <w:rPr>
      <w:rFonts w:ascii="Calibri" w:hAnsi="Calibri"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kern w:val="0"/>
      <w:sz w:val="18"/>
      <w:szCs w:val="18"/>
    </w:rPr>
  </w:style>
  <w:style w:type="character" w:customStyle="1" w:styleId="13">
    <w:name w:val="页眉 字符"/>
    <w:link w:val="6"/>
    <w:qFormat/>
    <w:locked/>
    <w:uiPriority w:val="99"/>
    <w:rPr>
      <w:rFonts w:ascii="Times New Roman" w:hAnsi="Times New Roman" w:eastAsia="宋体" w:cs="Times New Roman"/>
      <w:kern w:val="0"/>
      <w:sz w:val="18"/>
      <w:szCs w:val="18"/>
    </w:rPr>
  </w:style>
  <w:style w:type="character" w:customStyle="1" w:styleId="14">
    <w:name w:val="页眉 Char"/>
    <w:semiHidden/>
    <w:qFormat/>
    <w:uiPriority w:val="99"/>
    <w:rPr>
      <w:rFonts w:ascii="Calibri" w:hAnsi="Calibri" w:eastAsia="宋体" w:cs="Calibri"/>
      <w:sz w:val="18"/>
      <w:szCs w:val="18"/>
    </w:rPr>
  </w:style>
  <w:style w:type="character" w:customStyle="1" w:styleId="15">
    <w:name w:val="apple-converted-space"/>
    <w:qFormat/>
    <w:uiPriority w:val="99"/>
  </w:style>
  <w:style w:type="character" w:customStyle="1" w:styleId="16">
    <w:name w:val="页脚 Char"/>
    <w:semiHidden/>
    <w:qFormat/>
    <w:uiPriority w:val="99"/>
    <w:rPr>
      <w:rFonts w:ascii="Calibri" w:hAnsi="Calibri" w:eastAsia="宋体" w:cs="Calibri"/>
      <w:sz w:val="18"/>
      <w:szCs w:val="18"/>
    </w:rPr>
  </w:style>
  <w:style w:type="character" w:customStyle="1" w:styleId="17">
    <w:name w:val="批注框文本 Char"/>
    <w:semiHidden/>
    <w:qFormat/>
    <w:uiPriority w:val="99"/>
    <w:rPr>
      <w:rFonts w:ascii="Calibri" w:hAnsi="Calibri" w:eastAsia="宋体" w:cs="Calibri"/>
      <w:sz w:val="18"/>
      <w:szCs w:val="18"/>
    </w:rPr>
  </w:style>
  <w:style w:type="paragraph" w:customStyle="1" w:styleId="18">
    <w:name w:val="_Style 17"/>
    <w:semiHidden/>
    <w:uiPriority w:val="99"/>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2067</Words>
  <Characters>2304</Characters>
  <Lines>11</Lines>
  <Paragraphs>3</Paragraphs>
  <TotalTime>0</TotalTime>
  <ScaleCrop>false</ScaleCrop>
  <LinksUpToDate>false</LinksUpToDate>
  <CharactersWithSpaces>2314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2022-01-01T23:02:00Z</dcterms:created>
  <dc:creator>闻吉</dc:creator>
  <cp:lastModifiedBy>岳PC端</cp:lastModifiedBy>
  <cp:lastPrinted>2025-02-08T10:24:00Z</cp:lastPrinted>
  <dcterms:modified xsi:type="dcterms:W3CDTF">2025-06-18T03:29:34Z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9276474B27F842B2AE1DBCB34B3170E2_13</vt:lpwstr>
  </property>
  <property fmtid="{D5CDD505-2E9C-101B-9397-08002B2CF9AE}" pid="4" name="KSOTemplateDocerSaveRecord">
    <vt:lpwstr>eyJoZGlkIjoiMjFlOTlkOWY2YWFiMjNiNTI1ZGEyOWJmNTZiNzZjZTEiLCJ1c2VySWQiOiIxNTMxMDU2NzUxIn0=</vt:lpwstr>
  </property>
</Properties>
</file>