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7CAF9">
      <w:pPr>
        <w:snapToGrid w:val="0"/>
        <w:ind w:firstLine="720" w:firstLineChars="200"/>
        <w:jc w:val="center"/>
        <w:rPr>
          <w:rFonts w:hint="eastAsia" w:ascii="华文中宋" w:hAnsi="华文中宋" w:eastAsia="华文中宋"/>
          <w:sz w:val="36"/>
          <w:szCs w:val="36"/>
          <w:highlight w:val="none"/>
        </w:rPr>
      </w:pPr>
      <w:bookmarkStart w:id="0" w:name="YS060100"/>
      <w:bookmarkStart w:id="1" w:name="第七部分部门决算分析报告撰写提纲"/>
    </w:p>
    <w:p w14:paraId="1420BA2C">
      <w:pPr>
        <w:snapToGrid w:val="0"/>
        <w:jc w:val="center"/>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202</w:t>
      </w:r>
      <w:r>
        <w:rPr>
          <w:rFonts w:hint="eastAsia" w:ascii="方正小标宋_GBK" w:hAnsi="方正小标宋_GBK" w:eastAsia="方正小标宋_GBK" w:cs="方正小标宋_GBK"/>
          <w:sz w:val="44"/>
          <w:szCs w:val="44"/>
          <w:highlight w:val="none"/>
          <w:lang w:val="en-US" w:eastAsia="zh-CN"/>
        </w:rPr>
        <w:t>4</w:t>
      </w:r>
      <w:r>
        <w:rPr>
          <w:rFonts w:hint="eastAsia" w:ascii="方正小标宋_GBK" w:hAnsi="方正小标宋_GBK" w:eastAsia="方正小标宋_GBK" w:cs="方正小标宋_GBK"/>
          <w:sz w:val="44"/>
          <w:szCs w:val="44"/>
          <w:highlight w:val="none"/>
        </w:rPr>
        <w:t>年度部门决算分析报告</w:t>
      </w:r>
    </w:p>
    <w:bookmarkEnd w:id="0"/>
    <w:p w14:paraId="48346797">
      <w:pPr>
        <w:snapToGrid w:val="0"/>
        <w:ind w:firstLine="880" w:firstLineChars="200"/>
        <w:rPr>
          <w:rFonts w:hint="eastAsia" w:ascii="方正小标宋_GBK" w:hAnsi="方正小标宋_GBK" w:eastAsia="方正小标宋_GBK" w:cs="方正小标宋_GBK"/>
          <w:sz w:val="44"/>
          <w:szCs w:val="44"/>
          <w:highlight w:val="none"/>
        </w:rPr>
      </w:pPr>
    </w:p>
    <w:p w14:paraId="45B26D85">
      <w:pPr>
        <w:snapToGrid w:val="0"/>
        <w:spacing w:line="520" w:lineRule="exact"/>
        <w:ind w:firstLine="640" w:firstLineChars="200"/>
        <w:rPr>
          <w:rFonts w:hint="eastAsia" w:ascii="黑体" w:hAnsi="黑体" w:eastAsia="黑体"/>
          <w:sz w:val="32"/>
          <w:szCs w:val="32"/>
          <w:highlight w:val="none"/>
        </w:rPr>
      </w:pPr>
      <w:bookmarkStart w:id="2" w:name="YS060101"/>
      <w:r>
        <w:rPr>
          <w:rFonts w:hint="eastAsia" w:ascii="黑体" w:hAnsi="黑体" w:eastAsia="黑体"/>
          <w:sz w:val="32"/>
          <w:szCs w:val="32"/>
          <w:highlight w:val="none"/>
        </w:rPr>
        <w:t>一、单位情况</w:t>
      </w:r>
    </w:p>
    <w:bookmarkEnd w:id="2"/>
    <w:p w14:paraId="1FA8AACD">
      <w:p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（一）基本情况。</w:t>
      </w:r>
    </w:p>
    <w:p w14:paraId="5340798B">
      <w:pPr>
        <w:snapToGrid w:val="0"/>
        <w:spacing w:line="520" w:lineRule="exact"/>
        <w:ind w:firstLine="643" w:firstLineChars="200"/>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rPr>
        <w:t>1．主要职能</w:t>
      </w:r>
    </w:p>
    <w:p w14:paraId="2E84A67F">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依法</w:t>
      </w:r>
      <w:r>
        <w:rPr>
          <w:rFonts w:hint="default" w:ascii="仿宋_GB2312" w:hAnsi="仿宋" w:eastAsia="仿宋_GB2312" w:cs="Times New Roman"/>
          <w:sz w:val="32"/>
          <w:szCs w:val="32"/>
          <w:lang w:eastAsia="zh-CN"/>
        </w:rPr>
        <w:t>对</w:t>
      </w:r>
      <w:r>
        <w:rPr>
          <w:rFonts w:hint="default" w:ascii="仿宋_GB2312" w:hAnsi="仿宋" w:eastAsia="仿宋_GB2312" w:cs="Times New Roman"/>
          <w:sz w:val="32"/>
          <w:szCs w:val="32"/>
        </w:rPr>
        <w:t>巴中市人民代表大会及其常务委员会负责并报告工作。</w:t>
      </w:r>
    </w:p>
    <w:p w14:paraId="1FFB9EF3">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领导全市检察机关的工作，按照高检、省院确定的工作方针，部署全市检察工作任务。</w:t>
      </w:r>
    </w:p>
    <w:p w14:paraId="3BC58BD6">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全市检察机关文电、会务、机要、档案、保密等工作。组织协调全市检察机关重要工作部署、重大决策的贯彻实施。承担综合性绩效考核相关工作。起草审核相关文件文稿，处理检察信息，负责领导批办事项督查工作。负责人大代表、政协委员联络工作和特约检察员的联系工作，组织指导人民监督员工作。</w:t>
      </w:r>
    </w:p>
    <w:p w14:paraId="3F076A2F">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对巴中市监察委员会移送职务犯罪案件的审查逮捕、审查起诉、出庭支持公诉、抗诉，开展相关审判监督以及相关案件的补充侦查。负责对破坏社会主义市场经济秩序犯罪案件的审查逮捕、审查起诉、出庭支持公诉、抗诉，开展相关立案监督、侦查监督、审判监督以及相关案件的补充侦查。</w:t>
      </w:r>
    </w:p>
    <w:p w14:paraId="5929EB02">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负责对第4项职能之外的刑事案件的审查逮捕、审查起诉、出庭支持公诉、抗诉，开展相关立案监督、侦查监督、审判监督以及相关案件的补充侦查。办理相关刑事申诉案件。</w:t>
      </w:r>
    </w:p>
    <w:p w14:paraId="36CA83AB">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对监狱、看守所、社区矫正机构等执法活动的监督，对刑事判决、裁定执行、强制医疗执行、羁押和办案期限的监督，羁押必要性审查。办理罪犯又犯罪案件。负责对司法工作人员利用职权实施的非法拘禁、刑讯逼供、非法搜查等14项侵犯公民权利、损害司法公正犯罪，以及按照刑事诉讼法规定需要人民检察院直接受理的其他重大犯罪案件的侦查。</w:t>
      </w:r>
    </w:p>
    <w:p w14:paraId="7664B164">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办理申请监督和提请抗诉的民事、行政案件的审查、抗诉。承办对巴中市中级人民法院民事、行政诉讼活动的法律监督，对审判监督程序以外的其他民事、行政审判程序中审判人员的违法行为提出检察建议，对民事执行、行政执法活动实行法律监督。开展民事支持起诉工作。办理民事、行政申诉案件。</w:t>
      </w:r>
    </w:p>
    <w:p w14:paraId="3927A06F">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办理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巴中市中级人民法院开庭审理的公益诉讼案件，派员出席法庭，依照有关规定提出检察建议。办理公益诉讼申诉案件。</w:t>
      </w:r>
    </w:p>
    <w:p w14:paraId="10149DEA">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负责对未成年人犯罪和侵害未成年人犯罪案件的审查逮捕、审查起诉、出庭支持公诉、抗诉，开展相关立案监督、侦查监督、审判监督以及相关案件的补充侦查。开展未成年人司法保护和预防未成年人犯罪工作。</w:t>
      </w:r>
    </w:p>
    <w:p w14:paraId="19833602">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负责受理控告和申诉。承办国家赔偿案件和国家司法救助案件。</w:t>
      </w:r>
    </w:p>
    <w:p w14:paraId="180CCBAE">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法律政策、检察基础理论、检察应用理论、法治建设等方面的调查研究工作。对征求意见的立法、地方立法草案进行研究，提出修改意见和建议。负责检察委员会、检察官协会、专家咨询委员会的日常工作。编辑有关检察刊物。负责司法体制改革综合协调相关工作。</w:t>
      </w:r>
    </w:p>
    <w:p w14:paraId="4D8CBD91">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12</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案件的统一受理流转、办案流程监控、涉案财物管理、法律文书监管、案件信息公开，统一组织办案质量评查、业务考评和业务统计分析研判等工作。负责接待律师等诉讼参与人依法行使诉讼权利。负责业务信息化需求统筹，指导全市检察机关统一业务应用系统的应用。</w:t>
      </w:r>
    </w:p>
    <w:p w14:paraId="6FBE222F">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制定实施全市检察机关财务和装备规划，编制巴中市人民检察院支出规划和部门预决算，负责本级财务管理、国有资产管理、车辆管理、政府采购等工作，负责机关安保等工作。</w:t>
      </w:r>
    </w:p>
    <w:p w14:paraId="4CDB550A">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14</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承担对全市检察机关执行法律、法规和最高人民检察院、四川省人民检察院、巴中市人民检察院的规定、决定等情况进行督察。承担内部审计工作。承担党组巡察工作领导小组日常工作。</w:t>
      </w:r>
    </w:p>
    <w:p w14:paraId="1F81EACD">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15</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指导全市检察技术工作，组织全市检察机关重大技术疑难案件会检。制定全市检察机关技术工作计划和业务规章制度。依职权组织全市检察技术人员的业务培训和职称评定。受理和承办各类案件的现场勘验、检验鉴定和技术性证据审查。负责全市检察信息化和智慧检察的总体规划和统筹推进。承担相关软件研制、开发、推广和维护。负责全市检察机关通信网络系统管理和维护，承担三级专线网、检察工作网、互联网等网络的建设、维护和管理。</w:t>
      </w:r>
    </w:p>
    <w:p w14:paraId="0554EB85">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16</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负责全市检察机关思想政治工作、新闻宣传、舆论引导、组织人事、教育培训、离退休干部、司法警察等工作。</w:t>
      </w:r>
    </w:p>
    <w:p w14:paraId="6BA6D123">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17</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协同市委主管部门管理和考核县、区人民检察院的检察长；协同县级党委管理和考核县、区人民检察院副检察长及政治处主任；报经省人民检察院检察长提请省人民代表大会常务委员会批准任免本院检察长；提请市人民代表大会常务委员会批准或不批准县、区人民检察院检察长的任免；提请市人民代表大会常务委员会任免本院的副检察长、检察委员会委员、检察员。</w:t>
      </w:r>
    </w:p>
    <w:p w14:paraId="27345CC7">
      <w:pPr>
        <w:snapToGrid w:val="0"/>
        <w:spacing w:line="520" w:lineRule="exact"/>
        <w:ind w:firstLine="640" w:firstLineChars="200"/>
        <w:rPr>
          <w:rFonts w:hint="eastAsia"/>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18</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rPr>
        <w:t>负责其它应当由市人民检察院承办的事项。</w:t>
      </w:r>
    </w:p>
    <w:p w14:paraId="2CF795CB">
      <w:pPr>
        <w:snapToGrid w:val="0"/>
        <w:spacing w:line="520" w:lineRule="exact"/>
        <w:ind w:firstLine="643" w:firstLineChars="200"/>
        <w:rPr>
          <w:rFonts w:hint="eastAsia" w:ascii="仿宋_GB2312" w:hAnsi="仿宋" w:eastAsia="仿宋_GB2312" w:cs="Times New Roman"/>
          <w:b/>
          <w:bCs/>
          <w:sz w:val="32"/>
          <w:szCs w:val="32"/>
          <w:highlight w:val="none"/>
        </w:rPr>
      </w:pPr>
      <w:r>
        <w:rPr>
          <w:rFonts w:hint="eastAsia" w:ascii="仿宋_GB2312" w:hAnsi="仿宋" w:eastAsia="仿宋_GB2312" w:cs="Times New Roman"/>
          <w:b/>
          <w:bCs/>
          <w:sz w:val="32"/>
          <w:szCs w:val="32"/>
          <w:highlight w:val="none"/>
        </w:rPr>
        <w:t>2．机构情况</w:t>
      </w:r>
    </w:p>
    <w:p w14:paraId="7A3070EC">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年，市检察院独立核算机构1个，独立编制机构2个，其中：行政机构1个，事业机构1个，较上年均无增减变化</w:t>
      </w:r>
      <w:r>
        <w:rPr>
          <w:rFonts w:hint="eastAsia" w:ascii="仿宋_GB2312" w:hAnsi="仿宋" w:eastAsia="仿宋_GB2312" w:cs="Times New Roman"/>
          <w:sz w:val="32"/>
          <w:szCs w:val="32"/>
          <w:lang w:eastAsia="zh-CN"/>
        </w:rPr>
        <w:t>。</w:t>
      </w:r>
    </w:p>
    <w:p w14:paraId="34A35378">
      <w:pPr>
        <w:snapToGrid w:val="0"/>
        <w:spacing w:line="520" w:lineRule="exact"/>
        <w:ind w:firstLine="643" w:firstLineChars="200"/>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sz w:val="32"/>
          <w:szCs w:val="32"/>
          <w:highlight w:val="none"/>
          <w:lang w:val="en-US" w:eastAsia="zh-CN"/>
        </w:rPr>
        <w:t>3.</w:t>
      </w:r>
      <w:r>
        <w:rPr>
          <w:rFonts w:hint="eastAsia" w:ascii="仿宋_GB2312" w:hAnsi="仿宋" w:eastAsia="仿宋_GB2312" w:cs="Times New Roman"/>
          <w:b/>
          <w:bCs/>
          <w:sz w:val="32"/>
          <w:szCs w:val="32"/>
          <w:highlight w:val="none"/>
        </w:rPr>
        <w:t>人员情况</w:t>
      </w:r>
      <w:r>
        <w:rPr>
          <w:rFonts w:hint="eastAsia" w:ascii="仿宋_GB2312" w:hAnsi="仿宋" w:eastAsia="仿宋_GB2312" w:cs="Times New Roman"/>
          <w:b/>
          <w:bCs/>
          <w:sz w:val="32"/>
          <w:szCs w:val="32"/>
          <w:highlight w:val="none"/>
          <w:lang w:val="en-US" w:eastAsia="zh-CN"/>
        </w:rPr>
        <w:t xml:space="preserve"> </w:t>
      </w:r>
    </w:p>
    <w:p w14:paraId="15E848E7">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年，年末实有人数</w:t>
      </w:r>
      <w:r>
        <w:rPr>
          <w:rFonts w:hint="eastAsia" w:ascii="仿宋_GB2312" w:hAnsi="仿宋" w:eastAsia="仿宋_GB2312" w:cs="Times New Roman"/>
          <w:sz w:val="32"/>
          <w:szCs w:val="32"/>
          <w:lang w:val="en-US" w:eastAsia="zh-CN"/>
        </w:rPr>
        <w:t>79</w:t>
      </w:r>
      <w:r>
        <w:rPr>
          <w:rFonts w:hint="eastAsia" w:ascii="仿宋_GB2312" w:hAnsi="仿宋" w:eastAsia="仿宋_GB2312" w:cs="Times New Roman"/>
          <w:sz w:val="32"/>
          <w:szCs w:val="32"/>
        </w:rPr>
        <w:t>人，较上年减少</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人，原因是</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人调出，</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人调入。</w:t>
      </w:r>
    </w:p>
    <w:p w14:paraId="01F0F427">
      <w:pPr>
        <w:snapToGrid w:val="0"/>
        <w:spacing w:line="520" w:lineRule="exact"/>
        <w:ind w:firstLine="643" w:firstLineChars="200"/>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sz w:val="32"/>
          <w:szCs w:val="32"/>
          <w:highlight w:val="none"/>
          <w:lang w:val="en-US" w:eastAsia="zh-CN"/>
        </w:rPr>
        <w:t>4.当年取得的主要事业成效。</w:t>
      </w:r>
    </w:p>
    <w:p w14:paraId="09263C40">
      <w:pPr>
        <w:snapToGrid w:val="0"/>
        <w:spacing w:line="520" w:lineRule="exact"/>
        <w:ind w:firstLine="640" w:firstLineChars="200"/>
        <w:rPr>
          <w:rFonts w:hint="default" w:ascii="仿宋_GB2312" w:hAnsi="仿宋" w:eastAsia="仿宋_GB2312" w:cs="Times New Roman"/>
          <w:sz w:val="32"/>
          <w:szCs w:val="32"/>
        </w:rPr>
      </w:pPr>
      <w:bookmarkStart w:id="3" w:name="YS060102"/>
      <w:r>
        <w:rPr>
          <w:rFonts w:hint="default" w:ascii="仿宋_GB2312" w:hAnsi="仿宋" w:eastAsia="仿宋_GB2312" w:cs="Times New Roman"/>
          <w:sz w:val="32"/>
          <w:szCs w:val="32"/>
        </w:rPr>
        <w:t>2024年，</w:t>
      </w:r>
      <w:r>
        <w:rPr>
          <w:rFonts w:hint="eastAsia" w:ascii="仿宋_GB2312" w:hAnsi="仿宋" w:eastAsia="仿宋_GB2312" w:cs="Times New Roman"/>
          <w:sz w:val="32"/>
          <w:szCs w:val="32"/>
          <w:lang w:eastAsia="zh-CN"/>
        </w:rPr>
        <w:t>巴中市人民检察院</w:t>
      </w:r>
      <w:r>
        <w:rPr>
          <w:rFonts w:hint="default" w:ascii="仿宋_GB2312" w:hAnsi="仿宋" w:eastAsia="仿宋_GB2312" w:cs="Times New Roman"/>
          <w:sz w:val="32"/>
          <w:szCs w:val="32"/>
        </w:rPr>
        <w:t>在市委和省检察院的坚强领导下，坚持以习近平新时代中国特色社会主义思想为指导，深入践行习近平法治思想，认真落实中央、省委、市委和上级检察机关各项</w:t>
      </w:r>
      <w:r>
        <w:rPr>
          <w:rFonts w:hint="eastAsia" w:ascii="仿宋_GB2312" w:hAnsi="仿宋" w:eastAsia="仿宋_GB2312" w:cs="Times New Roman"/>
          <w:sz w:val="32"/>
          <w:szCs w:val="32"/>
        </w:rPr>
        <w:t>决策</w:t>
      </w:r>
      <w:r>
        <w:rPr>
          <w:rFonts w:hint="default" w:ascii="仿宋_GB2312" w:hAnsi="仿宋" w:eastAsia="仿宋_GB2312" w:cs="Times New Roman"/>
          <w:sz w:val="32"/>
          <w:szCs w:val="32"/>
        </w:rPr>
        <w:t>部署，坚持从政治上着眼、从法治上着力，以</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三个善于</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引领</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高质效办好每一个案件</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的检察实践，</w:t>
      </w:r>
      <w:r>
        <w:rPr>
          <w:rFonts w:hint="eastAsia" w:ascii="仿宋_GB2312" w:hAnsi="仿宋" w:eastAsia="仿宋_GB2312" w:cs="Times New Roman"/>
          <w:sz w:val="32"/>
          <w:szCs w:val="32"/>
        </w:rPr>
        <w:t>各项检察工作取得新的成效，为全市经济社会发展提供了坚强法治保障。</w:t>
      </w:r>
    </w:p>
    <w:p w14:paraId="32DB07EC">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聚焦中心</w:t>
      </w:r>
      <w:r>
        <w:rPr>
          <w:rFonts w:hint="default" w:ascii="仿宋_GB2312" w:hAnsi="仿宋" w:eastAsia="仿宋_GB2312" w:cs="Times New Roman"/>
          <w:sz w:val="32"/>
          <w:szCs w:val="32"/>
        </w:rPr>
        <w:t>大局，以检察之力</w:t>
      </w:r>
      <w:r>
        <w:rPr>
          <w:rFonts w:hint="eastAsia" w:ascii="仿宋_GB2312" w:hAnsi="仿宋" w:eastAsia="仿宋_GB2312" w:cs="Times New Roman"/>
          <w:sz w:val="32"/>
          <w:szCs w:val="32"/>
        </w:rPr>
        <w:t>助推全市</w:t>
      </w:r>
      <w:r>
        <w:rPr>
          <w:rFonts w:hint="default" w:ascii="仿宋_GB2312" w:hAnsi="仿宋" w:eastAsia="仿宋_GB2312" w:cs="Times New Roman"/>
          <w:sz w:val="32"/>
          <w:szCs w:val="32"/>
        </w:rPr>
        <w:t>高质量发展</w:t>
      </w:r>
    </w:p>
    <w:p w14:paraId="24A9E484">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坚持</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党的中心工作推动到哪里，检察</w:t>
      </w:r>
      <w:r>
        <w:rPr>
          <w:rFonts w:hint="eastAsia" w:ascii="仿宋_GB2312" w:hAnsi="仿宋" w:eastAsia="仿宋_GB2312" w:cs="Times New Roman"/>
          <w:sz w:val="32"/>
          <w:szCs w:val="32"/>
        </w:rPr>
        <w:t>履职</w:t>
      </w:r>
      <w:r>
        <w:rPr>
          <w:rFonts w:hint="default" w:ascii="仿宋_GB2312" w:hAnsi="仿宋" w:eastAsia="仿宋_GB2312" w:cs="Times New Roman"/>
          <w:sz w:val="32"/>
          <w:szCs w:val="32"/>
        </w:rPr>
        <w:t>就跟进到哪里</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，以高质效</w:t>
      </w:r>
      <w:r>
        <w:rPr>
          <w:rFonts w:hint="eastAsia" w:ascii="仿宋_GB2312" w:hAnsi="仿宋" w:eastAsia="仿宋_GB2312" w:cs="Times New Roman"/>
          <w:sz w:val="32"/>
          <w:szCs w:val="32"/>
        </w:rPr>
        <w:t>办案</w:t>
      </w:r>
      <w:r>
        <w:rPr>
          <w:rFonts w:hint="default" w:ascii="仿宋_GB2312" w:hAnsi="仿宋" w:eastAsia="仿宋_GB2312" w:cs="Times New Roman"/>
          <w:sz w:val="32"/>
          <w:szCs w:val="32"/>
        </w:rPr>
        <w:t>护航巴中</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一市四区三地</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建设。</w:t>
      </w:r>
    </w:p>
    <w:p w14:paraId="7F67FD71">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全力维护安全稳定。贯彻总体国家安全观，</w:t>
      </w:r>
      <w:r>
        <w:rPr>
          <w:rFonts w:hint="eastAsia" w:ascii="仿宋_GB2312" w:hAnsi="仿宋" w:eastAsia="仿宋_GB2312" w:cs="Times New Roman"/>
          <w:sz w:val="32"/>
          <w:szCs w:val="32"/>
        </w:rPr>
        <w:t>严厉打击</w:t>
      </w:r>
      <w:r>
        <w:rPr>
          <w:rFonts w:hint="default" w:ascii="仿宋_GB2312" w:hAnsi="仿宋" w:eastAsia="仿宋_GB2312" w:cs="Times New Roman"/>
          <w:sz w:val="32"/>
          <w:szCs w:val="32"/>
        </w:rPr>
        <w:t>危害国家安全、政治安全、公共安全和人民群众生命财产安全的犯罪，推进更高水平的平安巴中建设，批捕</w:t>
      </w:r>
      <w:r>
        <w:rPr>
          <w:rFonts w:hint="eastAsia" w:ascii="仿宋_GB2312" w:hAnsi="仿宋" w:eastAsia="仿宋_GB2312" w:cs="Times New Roman"/>
          <w:sz w:val="32"/>
          <w:szCs w:val="32"/>
        </w:rPr>
        <w:t>310</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420</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，同比上升22.8%和44.1%；</w:t>
      </w:r>
      <w:r>
        <w:rPr>
          <w:rFonts w:hint="default" w:ascii="仿宋_GB2312" w:hAnsi="仿宋" w:eastAsia="仿宋_GB2312" w:cs="Times New Roman"/>
          <w:sz w:val="32"/>
          <w:szCs w:val="32"/>
        </w:rPr>
        <w:t>起诉</w:t>
      </w:r>
      <w:r>
        <w:rPr>
          <w:rFonts w:hint="eastAsia" w:ascii="仿宋_GB2312" w:hAnsi="仿宋" w:eastAsia="仿宋_GB2312" w:cs="Times New Roman"/>
          <w:sz w:val="32"/>
          <w:szCs w:val="32"/>
        </w:rPr>
        <w:t>697</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802</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，同比下降</w:t>
      </w:r>
      <w:r>
        <w:rPr>
          <w:rFonts w:hint="default" w:ascii="仿宋_GB2312" w:hAnsi="仿宋" w:eastAsia="仿宋_GB2312" w:cs="Times New Roman"/>
          <w:sz w:val="32"/>
          <w:szCs w:val="32"/>
        </w:rPr>
        <w:t>24.8%</w:t>
      </w:r>
      <w:r>
        <w:rPr>
          <w:rFonts w:hint="eastAsia" w:ascii="仿宋_GB2312" w:hAnsi="仿宋" w:eastAsia="仿宋_GB2312" w:cs="Times New Roman"/>
          <w:sz w:val="32"/>
          <w:szCs w:val="32"/>
        </w:rPr>
        <w:t>和</w:t>
      </w:r>
      <w:r>
        <w:rPr>
          <w:rFonts w:hint="default" w:ascii="仿宋_GB2312" w:hAnsi="仿宋" w:eastAsia="仿宋_GB2312" w:cs="Times New Roman"/>
          <w:sz w:val="32"/>
          <w:szCs w:val="32"/>
        </w:rPr>
        <w:t>24.5%</w:t>
      </w:r>
      <w:r>
        <w:rPr>
          <w:rFonts w:hint="eastAsia" w:ascii="仿宋_GB2312" w:hAnsi="仿宋" w:eastAsia="仿宋_GB2312" w:cs="Times New Roman"/>
          <w:sz w:val="32"/>
          <w:szCs w:val="32"/>
        </w:rPr>
        <w:t>，遏制了犯罪上升势头。重拳惩治</w:t>
      </w:r>
      <w:r>
        <w:rPr>
          <w:rFonts w:hint="default" w:ascii="仿宋_GB2312" w:hAnsi="仿宋" w:eastAsia="仿宋_GB2312" w:cs="Times New Roman"/>
          <w:sz w:val="32"/>
          <w:szCs w:val="32"/>
        </w:rPr>
        <w:t>毒品犯罪，批捕</w:t>
      </w:r>
      <w:r>
        <w:rPr>
          <w:rFonts w:hint="eastAsia" w:ascii="仿宋_GB2312" w:hAnsi="仿宋" w:eastAsia="仿宋_GB2312" w:cs="Times New Roman"/>
          <w:sz w:val="32"/>
          <w:szCs w:val="32"/>
        </w:rPr>
        <w:t>15</w:t>
      </w:r>
      <w:r>
        <w:rPr>
          <w:rFonts w:hint="default" w:ascii="仿宋_GB2312" w:hAnsi="仿宋" w:eastAsia="仿宋_GB2312" w:cs="Times New Roman"/>
          <w:sz w:val="32"/>
          <w:szCs w:val="32"/>
        </w:rPr>
        <w:t>人，起诉</w:t>
      </w:r>
      <w:r>
        <w:rPr>
          <w:rFonts w:hint="eastAsia" w:ascii="仿宋_GB2312" w:hAnsi="仿宋" w:eastAsia="仿宋_GB2312" w:cs="Times New Roman"/>
          <w:sz w:val="32"/>
          <w:szCs w:val="32"/>
        </w:rPr>
        <w:t>16</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。常态化</w:t>
      </w:r>
      <w:r>
        <w:rPr>
          <w:rFonts w:hint="default" w:ascii="仿宋_GB2312" w:hAnsi="仿宋" w:eastAsia="仿宋_GB2312" w:cs="Times New Roman"/>
          <w:sz w:val="32"/>
          <w:szCs w:val="32"/>
        </w:rPr>
        <w:t>开展扫黑除恶</w:t>
      </w:r>
      <w:r>
        <w:rPr>
          <w:rFonts w:hint="eastAsia" w:ascii="仿宋_GB2312" w:hAnsi="仿宋" w:eastAsia="仿宋_GB2312" w:cs="Times New Roman"/>
          <w:sz w:val="32"/>
          <w:szCs w:val="32"/>
          <w:lang w:eastAsia="zh-CN"/>
        </w:rPr>
        <w:t>专项</w:t>
      </w:r>
      <w:r>
        <w:rPr>
          <w:rFonts w:hint="default" w:ascii="仿宋_GB2312" w:hAnsi="仿宋" w:eastAsia="仿宋_GB2312" w:cs="Times New Roman"/>
          <w:sz w:val="32"/>
          <w:szCs w:val="32"/>
        </w:rPr>
        <w:t>斗争，办理的谢某某等人</w:t>
      </w:r>
      <w:r>
        <w:rPr>
          <w:rFonts w:hint="eastAsia" w:ascii="仿宋_GB2312" w:hAnsi="仿宋" w:eastAsia="仿宋_GB2312" w:cs="Times New Roman"/>
          <w:sz w:val="32"/>
          <w:szCs w:val="32"/>
        </w:rPr>
        <w:t>组织、领导</w:t>
      </w:r>
      <w:r>
        <w:rPr>
          <w:rFonts w:hint="default" w:ascii="仿宋_GB2312" w:hAnsi="仿宋" w:eastAsia="仿宋_GB2312" w:cs="Times New Roman"/>
          <w:sz w:val="32"/>
          <w:szCs w:val="32"/>
        </w:rPr>
        <w:t>黑社会性质组织案获评全省十大典型案例。坚持宽严相济，依法不批捕</w:t>
      </w:r>
      <w:r>
        <w:rPr>
          <w:rFonts w:hint="eastAsia" w:ascii="仿宋_GB2312" w:hAnsi="仿宋" w:eastAsia="仿宋_GB2312" w:cs="Times New Roman"/>
          <w:sz w:val="32"/>
          <w:szCs w:val="32"/>
        </w:rPr>
        <w:t>392</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，同比上升4.9%；</w:t>
      </w:r>
      <w:r>
        <w:rPr>
          <w:rFonts w:hint="default" w:ascii="仿宋_GB2312" w:hAnsi="仿宋" w:eastAsia="仿宋_GB2312" w:cs="Times New Roman"/>
          <w:sz w:val="32"/>
          <w:szCs w:val="32"/>
        </w:rPr>
        <w:t>不起诉</w:t>
      </w:r>
      <w:r>
        <w:rPr>
          <w:rFonts w:hint="eastAsia" w:ascii="仿宋_GB2312" w:hAnsi="仿宋" w:eastAsia="仿宋_GB2312" w:cs="Times New Roman"/>
          <w:sz w:val="32"/>
          <w:szCs w:val="32"/>
        </w:rPr>
        <w:t>549</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，同比下降</w:t>
      </w:r>
      <w:r>
        <w:rPr>
          <w:rFonts w:hint="default" w:ascii="仿宋_GB2312" w:hAnsi="仿宋" w:eastAsia="仿宋_GB2312" w:cs="Times New Roman"/>
          <w:sz w:val="32"/>
          <w:szCs w:val="32"/>
        </w:rPr>
        <w:t>42.7</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认罪认罚从宽制度适用率达</w:t>
      </w:r>
      <w:r>
        <w:rPr>
          <w:rFonts w:hint="eastAsia" w:ascii="仿宋_GB2312" w:hAnsi="仿宋" w:eastAsia="仿宋_GB2312" w:cs="Times New Roman"/>
          <w:sz w:val="32"/>
          <w:szCs w:val="32"/>
        </w:rPr>
        <w:t>84.2</w:t>
      </w:r>
      <w:r>
        <w:rPr>
          <w:rFonts w:hint="default" w:ascii="仿宋_GB2312" w:hAnsi="仿宋" w:eastAsia="仿宋_GB2312" w:cs="Times New Roman"/>
          <w:sz w:val="32"/>
          <w:szCs w:val="32"/>
        </w:rPr>
        <w:t>%、一审服判率达</w:t>
      </w:r>
      <w:r>
        <w:rPr>
          <w:rFonts w:hint="eastAsia" w:ascii="仿宋_GB2312" w:hAnsi="仿宋" w:eastAsia="仿宋_GB2312" w:cs="Times New Roman"/>
          <w:sz w:val="32"/>
          <w:szCs w:val="32"/>
        </w:rPr>
        <w:t>91.2</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最大限度</w:t>
      </w:r>
      <w:r>
        <w:rPr>
          <w:rFonts w:hint="default" w:ascii="仿宋_GB2312" w:hAnsi="仿宋" w:eastAsia="仿宋_GB2312" w:cs="Times New Roman"/>
          <w:sz w:val="32"/>
          <w:szCs w:val="32"/>
        </w:rPr>
        <w:t>减少</w:t>
      </w:r>
      <w:r>
        <w:rPr>
          <w:rFonts w:hint="eastAsia" w:ascii="仿宋_GB2312" w:hAnsi="仿宋" w:eastAsia="仿宋_GB2312" w:cs="Times New Roman"/>
          <w:sz w:val="32"/>
          <w:szCs w:val="32"/>
        </w:rPr>
        <w:t>社会的</w:t>
      </w:r>
      <w:r>
        <w:rPr>
          <w:rFonts w:hint="default" w:ascii="仿宋_GB2312" w:hAnsi="仿宋" w:eastAsia="仿宋_GB2312" w:cs="Times New Roman"/>
          <w:sz w:val="32"/>
          <w:szCs w:val="32"/>
        </w:rPr>
        <w:t>对立面。</w:t>
      </w:r>
      <w:r>
        <w:rPr>
          <w:rFonts w:hint="eastAsia" w:ascii="仿宋_GB2312" w:hAnsi="仿宋" w:eastAsia="仿宋_GB2312" w:cs="Times New Roman"/>
          <w:sz w:val="32"/>
          <w:szCs w:val="32"/>
        </w:rPr>
        <w:t>坚持“</w:t>
      </w:r>
      <w:r>
        <w:rPr>
          <w:rFonts w:hint="default" w:ascii="仿宋_GB2312" w:hAnsi="仿宋" w:eastAsia="仿宋_GB2312" w:cs="Times New Roman"/>
          <w:sz w:val="32"/>
          <w:szCs w:val="32"/>
        </w:rPr>
        <w:t>治罪</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与</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治理</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并重，建立轻罪案件</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一站式</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办理中心，</w:t>
      </w:r>
      <w:r>
        <w:rPr>
          <w:rFonts w:hint="eastAsia" w:ascii="仿宋_GB2312" w:hAnsi="仿宋" w:eastAsia="仿宋_GB2312" w:cs="Times New Roman"/>
          <w:sz w:val="32"/>
          <w:szCs w:val="32"/>
        </w:rPr>
        <w:t>推行“轻案快办”</w:t>
      </w:r>
      <w:r>
        <w:rPr>
          <w:rFonts w:hint="default" w:ascii="仿宋_GB2312" w:hAnsi="仿宋" w:eastAsia="仿宋_GB2312" w:cs="Times New Roman"/>
          <w:sz w:val="32"/>
          <w:szCs w:val="32"/>
        </w:rPr>
        <w:t>新模式，实现公正</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高效司法。</w:t>
      </w:r>
    </w:p>
    <w:p w14:paraId="58FC5FDC">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助力优化营商环境。防范化解金融风险，起诉非法吸收公众存款、集资诈骗、洗钱等金融犯罪</w:t>
      </w:r>
      <w:r>
        <w:rPr>
          <w:rFonts w:hint="eastAsia" w:ascii="仿宋_GB2312" w:hAnsi="仿宋" w:eastAsia="仿宋_GB2312" w:cs="Times New Roman"/>
          <w:sz w:val="32"/>
          <w:szCs w:val="32"/>
        </w:rPr>
        <w:t>13</w:t>
      </w:r>
      <w:r>
        <w:rPr>
          <w:rFonts w:hint="default" w:ascii="仿宋_GB2312" w:hAnsi="仿宋" w:eastAsia="仿宋_GB2312" w:cs="Times New Roman"/>
          <w:sz w:val="32"/>
          <w:szCs w:val="32"/>
        </w:rPr>
        <w:t>人。强化涉企案件监督，监督清理不当立案和</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挂案</w:t>
      </w:r>
      <w:r>
        <w:rPr>
          <w:rFonts w:hint="eastAsia" w:ascii="仿宋_GB2312" w:hAnsi="仿宋" w:eastAsia="仿宋_GB2312" w:cs="Times New Roman"/>
          <w:sz w:val="32"/>
          <w:szCs w:val="32"/>
        </w:rPr>
        <w:t>”15</w:t>
      </w:r>
      <w:r>
        <w:rPr>
          <w:rFonts w:hint="default" w:ascii="仿宋_GB2312" w:hAnsi="仿宋" w:eastAsia="仿宋_GB2312" w:cs="Times New Roman"/>
          <w:sz w:val="32"/>
          <w:szCs w:val="32"/>
        </w:rPr>
        <w:t>件，纠正行政违法行为5件，监督判决执行169件，挽</w:t>
      </w:r>
      <w:r>
        <w:rPr>
          <w:rFonts w:hint="eastAsia" w:ascii="仿宋_GB2312" w:hAnsi="仿宋" w:eastAsia="仿宋_GB2312" w:cs="Times New Roman"/>
          <w:sz w:val="32"/>
          <w:szCs w:val="32"/>
        </w:rPr>
        <w:t>回</w:t>
      </w:r>
      <w:r>
        <w:rPr>
          <w:rFonts w:hint="default" w:ascii="仿宋_GB2312" w:hAnsi="仿宋" w:eastAsia="仿宋_GB2312" w:cs="Times New Roman"/>
          <w:sz w:val="32"/>
          <w:szCs w:val="32"/>
        </w:rPr>
        <w:t>损</w:t>
      </w:r>
      <w:r>
        <w:rPr>
          <w:rFonts w:hint="eastAsia" w:ascii="仿宋_GB2312" w:hAnsi="仿宋" w:eastAsia="仿宋_GB2312" w:cs="Times New Roman"/>
          <w:sz w:val="32"/>
          <w:szCs w:val="32"/>
        </w:rPr>
        <w:t>失</w:t>
      </w:r>
      <w:r>
        <w:rPr>
          <w:rFonts w:hint="default" w:ascii="仿宋_GB2312" w:hAnsi="仿宋" w:eastAsia="仿宋_GB2312" w:cs="Times New Roman"/>
          <w:sz w:val="32"/>
          <w:szCs w:val="32"/>
        </w:rPr>
        <w:t>750万</w:t>
      </w:r>
      <w:r>
        <w:rPr>
          <w:rFonts w:hint="eastAsia" w:ascii="仿宋_GB2312" w:hAnsi="仿宋" w:eastAsia="仿宋_GB2312" w:cs="Times New Roman"/>
          <w:sz w:val="32"/>
          <w:szCs w:val="32"/>
        </w:rPr>
        <w:t>余</w:t>
      </w:r>
      <w:r>
        <w:rPr>
          <w:rFonts w:hint="default" w:ascii="仿宋_GB2312" w:hAnsi="仿宋" w:eastAsia="仿宋_GB2312" w:cs="Times New Roman"/>
          <w:sz w:val="32"/>
          <w:szCs w:val="32"/>
        </w:rPr>
        <w:t>元。</w:t>
      </w:r>
      <w:r>
        <w:rPr>
          <w:rFonts w:hint="eastAsia" w:ascii="仿宋_GB2312" w:hAnsi="仿宋" w:eastAsia="仿宋_GB2312" w:cs="Times New Roman"/>
          <w:sz w:val="32"/>
          <w:szCs w:val="32"/>
        </w:rPr>
        <w:t>与市司法局建立规范涉企社区矫正对象管理机制，</w:t>
      </w:r>
      <w:r>
        <w:rPr>
          <w:rFonts w:hint="default" w:ascii="仿宋_GB2312" w:hAnsi="仿宋" w:eastAsia="仿宋_GB2312" w:cs="Times New Roman"/>
          <w:sz w:val="32"/>
          <w:szCs w:val="32"/>
        </w:rPr>
        <w:t>监督审批</w:t>
      </w:r>
      <w:r>
        <w:rPr>
          <w:rFonts w:hint="eastAsia" w:ascii="仿宋_GB2312" w:hAnsi="仿宋" w:eastAsia="仿宋_GB2312" w:cs="Times New Roman"/>
          <w:sz w:val="32"/>
          <w:szCs w:val="32"/>
        </w:rPr>
        <w:t>赴外地经营</w:t>
      </w:r>
      <w:r>
        <w:rPr>
          <w:rFonts w:hint="default" w:ascii="仿宋_GB2312" w:hAnsi="仿宋" w:eastAsia="仿宋_GB2312" w:cs="Times New Roman"/>
          <w:sz w:val="32"/>
          <w:szCs w:val="32"/>
        </w:rPr>
        <w:t>请假70余人次。积极开展预防性公益诉讼，向企业发出法律风险告知书2</w:t>
      </w:r>
      <w:r>
        <w:rPr>
          <w:rFonts w:hint="eastAsia" w:ascii="仿宋_GB2312" w:hAnsi="仿宋" w:eastAsia="仿宋_GB2312" w:cs="Times New Roman"/>
          <w:sz w:val="32"/>
          <w:szCs w:val="32"/>
        </w:rPr>
        <w:t>6</w:t>
      </w:r>
      <w:r>
        <w:rPr>
          <w:rFonts w:hint="default" w:ascii="仿宋_GB2312" w:hAnsi="仿宋" w:eastAsia="仿宋_GB2312" w:cs="Times New Roman"/>
          <w:sz w:val="32"/>
          <w:szCs w:val="32"/>
        </w:rPr>
        <w:t>份，促进规范生产经营。</w:t>
      </w:r>
      <w:r>
        <w:rPr>
          <w:rFonts w:hint="eastAsia" w:ascii="仿宋_GB2312" w:hAnsi="仿宋" w:eastAsia="仿宋_GB2312" w:cs="Times New Roman"/>
          <w:sz w:val="32"/>
          <w:szCs w:val="32"/>
        </w:rPr>
        <w:t>护航</w:t>
      </w:r>
      <w:r>
        <w:rPr>
          <w:rFonts w:hint="default" w:ascii="仿宋_GB2312" w:hAnsi="仿宋" w:eastAsia="仿宋_GB2312" w:cs="Times New Roman"/>
          <w:sz w:val="32"/>
          <w:szCs w:val="32"/>
        </w:rPr>
        <w:t>创新驱动发展，起诉侵犯知识产权、地理标志品牌犯罪</w:t>
      </w:r>
      <w:r>
        <w:rPr>
          <w:rFonts w:hint="eastAsia" w:ascii="仿宋_GB2312" w:hAnsi="仿宋" w:eastAsia="仿宋_GB2312" w:cs="Times New Roman"/>
          <w:sz w:val="32"/>
          <w:szCs w:val="32"/>
        </w:rPr>
        <w:t>17</w:t>
      </w:r>
      <w:r>
        <w:rPr>
          <w:rFonts w:hint="default" w:ascii="仿宋_GB2312" w:hAnsi="仿宋" w:eastAsia="仿宋_GB2312" w:cs="Times New Roman"/>
          <w:sz w:val="32"/>
          <w:szCs w:val="32"/>
        </w:rPr>
        <w:t>人，办理的</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通江银耳</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案获评全省城乡融合履职、知识产权综合履职典型案例</w:t>
      </w:r>
      <w:r>
        <w:rPr>
          <w:rFonts w:hint="eastAsia" w:ascii="仿宋_GB2312" w:hAnsi="仿宋" w:eastAsia="仿宋_GB2312" w:cs="Times New Roman"/>
          <w:sz w:val="32"/>
          <w:szCs w:val="32"/>
        </w:rPr>
        <w:t>，被《人民代表报》《人民权力报》重点报道</w:t>
      </w:r>
      <w:r>
        <w:rPr>
          <w:rFonts w:hint="default" w:ascii="仿宋_GB2312" w:hAnsi="仿宋" w:eastAsia="仿宋_GB2312" w:cs="Times New Roman"/>
          <w:sz w:val="32"/>
          <w:szCs w:val="32"/>
        </w:rPr>
        <w:t>。推行</w:t>
      </w:r>
      <w:r>
        <w:rPr>
          <w:rFonts w:hint="eastAsia" w:ascii="仿宋_GB2312" w:hAnsi="仿宋" w:eastAsia="仿宋_GB2312" w:cs="Times New Roman"/>
          <w:sz w:val="32"/>
          <w:szCs w:val="32"/>
        </w:rPr>
        <w:t>检察服务企业发展“</w:t>
      </w:r>
      <w:r>
        <w:rPr>
          <w:rFonts w:hint="default" w:ascii="仿宋_GB2312" w:hAnsi="仿宋" w:eastAsia="仿宋_GB2312" w:cs="Times New Roman"/>
          <w:sz w:val="32"/>
          <w:szCs w:val="32"/>
        </w:rPr>
        <w:t>四个一</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机制，</w:t>
      </w:r>
      <w:r>
        <w:rPr>
          <w:rFonts w:hint="eastAsia" w:ascii="仿宋_GB2312" w:hAnsi="仿宋" w:eastAsia="仿宋_GB2312" w:cs="Times New Roman"/>
          <w:sz w:val="32"/>
          <w:szCs w:val="32"/>
        </w:rPr>
        <w:t>协力</w:t>
      </w:r>
      <w:r>
        <w:rPr>
          <w:rFonts w:hint="default" w:ascii="仿宋_GB2312" w:hAnsi="仿宋" w:eastAsia="仿宋_GB2312" w:cs="Times New Roman"/>
          <w:sz w:val="32"/>
          <w:szCs w:val="32"/>
        </w:rPr>
        <w:t>将巴中打造</w:t>
      </w:r>
      <w:r>
        <w:rPr>
          <w:rFonts w:hint="eastAsia" w:ascii="仿宋_GB2312" w:hAnsi="仿宋" w:eastAsia="仿宋_GB2312" w:cs="Times New Roman"/>
          <w:sz w:val="32"/>
          <w:szCs w:val="32"/>
        </w:rPr>
        <w:t>成“</w:t>
      </w:r>
      <w:r>
        <w:rPr>
          <w:rFonts w:hint="default" w:ascii="仿宋_GB2312" w:hAnsi="仿宋" w:eastAsia="仿宋_GB2312" w:cs="Times New Roman"/>
          <w:sz w:val="32"/>
          <w:szCs w:val="32"/>
        </w:rPr>
        <w:t>企业容易做生意的地方</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w:t>
      </w:r>
    </w:p>
    <w:p w14:paraId="5288CD63">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聚力</w:t>
      </w:r>
      <w:r>
        <w:rPr>
          <w:rFonts w:hint="eastAsia" w:ascii="仿宋_GB2312" w:hAnsi="仿宋" w:eastAsia="仿宋_GB2312" w:cs="Times New Roman"/>
          <w:sz w:val="32"/>
          <w:szCs w:val="32"/>
        </w:rPr>
        <w:t>加强</w:t>
      </w:r>
      <w:r>
        <w:rPr>
          <w:rFonts w:hint="default" w:ascii="仿宋_GB2312" w:hAnsi="仿宋" w:eastAsia="仿宋_GB2312" w:cs="Times New Roman"/>
          <w:sz w:val="32"/>
          <w:szCs w:val="32"/>
        </w:rPr>
        <w:t>资源保护。坚持用最严密法治保护生态环境，依法</w:t>
      </w:r>
      <w:r>
        <w:rPr>
          <w:rFonts w:hint="eastAsia" w:ascii="仿宋_GB2312" w:hAnsi="仿宋" w:eastAsia="仿宋_GB2312" w:cs="Times New Roman"/>
          <w:sz w:val="32"/>
          <w:szCs w:val="32"/>
        </w:rPr>
        <w:t>打击</w:t>
      </w:r>
      <w:r>
        <w:rPr>
          <w:rFonts w:hint="default" w:ascii="仿宋_GB2312" w:hAnsi="仿宋" w:eastAsia="仿宋_GB2312" w:cs="Times New Roman"/>
          <w:sz w:val="32"/>
          <w:szCs w:val="32"/>
        </w:rPr>
        <w:t>破坏生态环境资源犯罪，批捕</w:t>
      </w:r>
      <w:r>
        <w:rPr>
          <w:rFonts w:hint="eastAsia" w:ascii="仿宋_GB2312" w:hAnsi="仿宋" w:eastAsia="仿宋_GB2312" w:cs="Times New Roman"/>
          <w:sz w:val="32"/>
          <w:szCs w:val="32"/>
        </w:rPr>
        <w:t>13</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20</w:t>
      </w:r>
      <w:r>
        <w:rPr>
          <w:rFonts w:hint="default" w:ascii="仿宋_GB2312" w:hAnsi="仿宋" w:eastAsia="仿宋_GB2312" w:cs="Times New Roman"/>
          <w:sz w:val="32"/>
          <w:szCs w:val="32"/>
        </w:rPr>
        <w:t>人，起诉</w:t>
      </w:r>
      <w:r>
        <w:rPr>
          <w:rFonts w:hint="eastAsia" w:ascii="仿宋_GB2312" w:hAnsi="仿宋" w:eastAsia="仿宋_GB2312" w:cs="Times New Roman"/>
          <w:sz w:val="32"/>
          <w:szCs w:val="32"/>
        </w:rPr>
        <w:t>76</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145</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强化综合治理</w:t>
      </w:r>
      <w:r>
        <w:rPr>
          <w:rFonts w:hint="default" w:ascii="仿宋_GB2312" w:hAnsi="仿宋" w:eastAsia="仿宋_GB2312" w:cs="Times New Roman"/>
          <w:sz w:val="32"/>
          <w:szCs w:val="32"/>
        </w:rPr>
        <w:t>，督促整改固体废物、生活污水等环境污染问题</w:t>
      </w:r>
      <w:r>
        <w:rPr>
          <w:rFonts w:hint="eastAsia" w:ascii="仿宋_GB2312" w:hAnsi="仿宋" w:eastAsia="仿宋_GB2312" w:cs="Times New Roman"/>
          <w:sz w:val="32"/>
          <w:szCs w:val="32"/>
        </w:rPr>
        <w:t>39个</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监督排除108</w:t>
      </w:r>
      <w:r>
        <w:rPr>
          <w:rFonts w:hint="default" w:ascii="仿宋_GB2312" w:hAnsi="仿宋" w:eastAsia="仿宋_GB2312" w:cs="Times New Roman"/>
          <w:sz w:val="32"/>
          <w:szCs w:val="32"/>
        </w:rPr>
        <w:t>株古树生长安全隐患，持续擦亮巴中</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中国十大秀美之城</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名片。运用</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碳汇+司法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生态修复补偿机制，</w:t>
      </w:r>
      <w:r>
        <w:rPr>
          <w:rFonts w:hint="eastAsia" w:ascii="仿宋_GB2312" w:hAnsi="仿宋" w:eastAsia="仿宋_GB2312" w:cs="Times New Roman"/>
          <w:sz w:val="32"/>
          <w:szCs w:val="32"/>
        </w:rPr>
        <w:t>实现碳汇交易300余吨，</w:t>
      </w:r>
      <w:r>
        <w:rPr>
          <w:rFonts w:hint="default" w:ascii="仿宋_GB2312" w:hAnsi="仿宋" w:eastAsia="仿宋_GB2312" w:cs="Times New Roman"/>
          <w:sz w:val="32"/>
          <w:szCs w:val="32"/>
        </w:rPr>
        <w:t>促进巴中生态环境</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高颜值</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转化为经济发展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高价值</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。加强文物和文化遗产司法保护，督促完善摩崖造像综合保护措施，助力打造</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四龛护城</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文旅品牌。聚焦红色资源保护，办理</w:t>
      </w:r>
      <w:r>
        <w:rPr>
          <w:rFonts w:hint="eastAsia" w:ascii="仿宋_GB2312" w:hAnsi="仿宋" w:eastAsia="仿宋_GB2312" w:cs="Times New Roman"/>
          <w:sz w:val="32"/>
          <w:szCs w:val="32"/>
        </w:rPr>
        <w:t>红色遗址、设施等</w:t>
      </w:r>
      <w:r>
        <w:rPr>
          <w:rFonts w:hint="default" w:ascii="仿宋_GB2312" w:hAnsi="仿宋" w:eastAsia="仿宋_GB2312" w:cs="Times New Roman"/>
          <w:sz w:val="32"/>
          <w:szCs w:val="32"/>
        </w:rPr>
        <w:t>公益诉讼案件</w:t>
      </w:r>
      <w:r>
        <w:rPr>
          <w:rFonts w:hint="eastAsia" w:ascii="仿宋_GB2312" w:hAnsi="仿宋" w:eastAsia="仿宋_GB2312" w:cs="Times New Roman"/>
          <w:sz w:val="32"/>
          <w:szCs w:val="32"/>
        </w:rPr>
        <w:t>7</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与陕西、重庆、成都军检等10地检察机关会签跨区域协作机制，</w:t>
      </w:r>
      <w:r>
        <w:rPr>
          <w:rFonts w:hint="eastAsia" w:ascii="仿宋_GB2312" w:hAnsi="仿宋" w:eastAsia="仿宋_GB2312" w:cs="Times New Roman"/>
          <w:sz w:val="32"/>
          <w:szCs w:val="32"/>
        </w:rPr>
        <w:t>共同保护</w:t>
      </w:r>
      <w:r>
        <w:rPr>
          <w:rFonts w:hint="default" w:ascii="仿宋_GB2312" w:hAnsi="仿宋" w:eastAsia="仿宋_GB2312" w:cs="Times New Roman"/>
          <w:sz w:val="32"/>
          <w:szCs w:val="32"/>
        </w:rPr>
        <w:t>川陕苏区红色文物。</w:t>
      </w:r>
    </w:p>
    <w:p w14:paraId="0E679A7B">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合力惩治职务犯罪。加强监检衔接，</w:t>
      </w:r>
      <w:r>
        <w:rPr>
          <w:rFonts w:hint="eastAsia" w:ascii="仿宋_GB2312" w:hAnsi="仿宋" w:eastAsia="仿宋_GB2312" w:cs="Times New Roman"/>
          <w:sz w:val="32"/>
          <w:szCs w:val="32"/>
        </w:rPr>
        <w:t>持续深化反腐败斗争，</w:t>
      </w:r>
      <w:r>
        <w:rPr>
          <w:rFonts w:hint="default" w:ascii="仿宋_GB2312" w:hAnsi="仿宋" w:eastAsia="仿宋_GB2312" w:cs="Times New Roman"/>
          <w:sz w:val="32"/>
          <w:szCs w:val="32"/>
        </w:rPr>
        <w:t>受理监委移送</w:t>
      </w:r>
      <w:r>
        <w:rPr>
          <w:rFonts w:hint="eastAsia" w:ascii="仿宋_GB2312" w:hAnsi="仿宋" w:eastAsia="仿宋_GB2312" w:cs="Times New Roman"/>
          <w:sz w:val="32"/>
          <w:szCs w:val="32"/>
        </w:rPr>
        <w:t>审查起诉</w:t>
      </w:r>
      <w:r>
        <w:rPr>
          <w:rFonts w:hint="default" w:ascii="仿宋_GB2312" w:hAnsi="仿宋" w:eastAsia="仿宋_GB2312" w:cs="Times New Roman"/>
          <w:sz w:val="32"/>
          <w:szCs w:val="32"/>
        </w:rPr>
        <w:t>职务犯罪案件</w:t>
      </w:r>
      <w:r>
        <w:rPr>
          <w:rFonts w:hint="eastAsia" w:ascii="仿宋_GB2312" w:hAnsi="仿宋" w:eastAsia="仿宋_GB2312" w:cs="Times New Roman"/>
          <w:sz w:val="32"/>
          <w:szCs w:val="32"/>
        </w:rPr>
        <w:t>37</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44</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提起公</w:t>
      </w:r>
      <w:r>
        <w:rPr>
          <w:rFonts w:hint="default" w:ascii="仿宋_GB2312" w:hAnsi="仿宋" w:eastAsia="仿宋_GB2312" w:cs="Times New Roman"/>
          <w:sz w:val="32"/>
          <w:szCs w:val="32"/>
        </w:rPr>
        <w:t>诉</w:t>
      </w:r>
      <w:r>
        <w:rPr>
          <w:rFonts w:hint="eastAsia" w:ascii="仿宋_GB2312" w:hAnsi="仿宋" w:eastAsia="仿宋_GB2312" w:cs="Times New Roman"/>
          <w:sz w:val="32"/>
          <w:szCs w:val="32"/>
        </w:rPr>
        <w:t>40</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47</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，涉及处级以上干部7人。依法起诉了国家市场监管总局认可与检验检测司原副司长、一级巡视员乔某某受贿案等大要案件。</w:t>
      </w:r>
      <w:r>
        <w:rPr>
          <w:rFonts w:hint="default" w:ascii="仿宋_GB2312" w:hAnsi="仿宋" w:eastAsia="仿宋_GB2312" w:cs="Times New Roman"/>
          <w:sz w:val="32"/>
          <w:szCs w:val="32"/>
        </w:rPr>
        <w:t>依法惩治侵害群众利益腐败犯罪，</w:t>
      </w:r>
      <w:r>
        <w:rPr>
          <w:rFonts w:hint="eastAsia" w:ascii="仿宋_GB2312" w:hAnsi="仿宋" w:eastAsia="仿宋_GB2312" w:cs="Times New Roman"/>
          <w:sz w:val="32"/>
          <w:szCs w:val="32"/>
        </w:rPr>
        <w:t>起诉</w:t>
      </w:r>
      <w:r>
        <w:rPr>
          <w:rFonts w:hint="default" w:ascii="仿宋_GB2312" w:hAnsi="仿宋" w:eastAsia="仿宋_GB2312" w:cs="Times New Roman"/>
          <w:sz w:val="32"/>
          <w:szCs w:val="32"/>
        </w:rPr>
        <w:t>医疗</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教育</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殡葬</w:t>
      </w:r>
      <w:r>
        <w:rPr>
          <w:rFonts w:hint="eastAsia" w:ascii="仿宋_GB2312" w:hAnsi="仿宋" w:eastAsia="仿宋_GB2312" w:cs="Times New Roman"/>
          <w:sz w:val="32"/>
          <w:szCs w:val="32"/>
        </w:rPr>
        <w:t>等</w:t>
      </w:r>
      <w:r>
        <w:rPr>
          <w:rFonts w:hint="default" w:ascii="仿宋_GB2312" w:hAnsi="仿宋" w:eastAsia="仿宋_GB2312" w:cs="Times New Roman"/>
          <w:sz w:val="32"/>
          <w:szCs w:val="32"/>
        </w:rPr>
        <w:t>领域</w:t>
      </w:r>
      <w:r>
        <w:rPr>
          <w:rFonts w:hint="eastAsia" w:ascii="仿宋_GB2312" w:hAnsi="仿宋" w:eastAsia="仿宋_GB2312" w:cs="Times New Roman"/>
          <w:sz w:val="32"/>
          <w:szCs w:val="32"/>
        </w:rPr>
        <w:t>贪</w:t>
      </w:r>
      <w:r>
        <w:rPr>
          <w:rFonts w:hint="default" w:ascii="仿宋_GB2312" w:hAnsi="仿宋" w:eastAsia="仿宋_GB2312" w:cs="Times New Roman"/>
          <w:sz w:val="32"/>
          <w:szCs w:val="32"/>
        </w:rPr>
        <w:t>腐案件</w:t>
      </w:r>
      <w:r>
        <w:rPr>
          <w:rFonts w:hint="eastAsia" w:ascii="仿宋_GB2312" w:hAnsi="仿宋" w:eastAsia="仿宋_GB2312" w:cs="Times New Roman"/>
          <w:sz w:val="32"/>
          <w:szCs w:val="32"/>
        </w:rPr>
        <w:t>16人。落实“</w:t>
      </w:r>
      <w:r>
        <w:rPr>
          <w:rFonts w:hint="default" w:ascii="仿宋_GB2312" w:hAnsi="仿宋" w:eastAsia="仿宋_GB2312" w:cs="Times New Roman"/>
          <w:sz w:val="32"/>
          <w:szCs w:val="32"/>
        </w:rPr>
        <w:t>行贿受贿一起查</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办理了李某某为推销医疗器械向某医院院长史某某行贿案。针对行业领域腐败问题</w:t>
      </w:r>
      <w:r>
        <w:rPr>
          <w:rFonts w:hint="default" w:ascii="仿宋_GB2312" w:hAnsi="仿宋" w:eastAsia="仿宋_GB2312" w:cs="Times New Roman"/>
          <w:sz w:val="32"/>
          <w:szCs w:val="32"/>
        </w:rPr>
        <w:t>发出检察建议</w:t>
      </w:r>
      <w:r>
        <w:rPr>
          <w:rFonts w:hint="eastAsia" w:ascii="仿宋_GB2312" w:hAnsi="仿宋" w:eastAsia="仿宋_GB2312" w:cs="Times New Roman"/>
          <w:sz w:val="32"/>
          <w:szCs w:val="32"/>
        </w:rPr>
        <w:t>10份</w:t>
      </w:r>
      <w:r>
        <w:rPr>
          <w:rFonts w:hint="default" w:ascii="仿宋_GB2312" w:hAnsi="仿宋" w:eastAsia="仿宋_GB2312" w:cs="Times New Roman"/>
          <w:sz w:val="32"/>
          <w:szCs w:val="32"/>
        </w:rPr>
        <w:t>，以个案办理推动系统治理</w:t>
      </w:r>
      <w:r>
        <w:rPr>
          <w:rFonts w:hint="eastAsia" w:ascii="仿宋_GB2312" w:hAnsi="仿宋" w:eastAsia="仿宋_GB2312" w:cs="Times New Roman"/>
          <w:sz w:val="32"/>
          <w:szCs w:val="32"/>
        </w:rPr>
        <w:t>。稳慎推进检察侦查，立案侦查了唐某某徇私枉法案。</w:t>
      </w:r>
      <w:r>
        <w:rPr>
          <w:rFonts w:hint="default" w:ascii="仿宋_GB2312" w:hAnsi="仿宋" w:eastAsia="仿宋_GB2312" w:cs="Times New Roman"/>
          <w:sz w:val="32"/>
          <w:szCs w:val="32"/>
        </w:rPr>
        <w:t>查办的李某某滥用职权案被评为全省检察侦查典型案例。</w:t>
      </w:r>
    </w:p>
    <w:p w14:paraId="6DBB5877">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聚焦司法为民</w:t>
      </w:r>
      <w:r>
        <w:rPr>
          <w:rFonts w:hint="default" w:ascii="仿宋_GB2312" w:hAnsi="仿宋" w:eastAsia="仿宋_GB2312" w:cs="Times New Roman"/>
          <w:sz w:val="32"/>
          <w:szCs w:val="32"/>
        </w:rPr>
        <w:t>，以检察之</w:t>
      </w:r>
      <w:r>
        <w:rPr>
          <w:rFonts w:hint="eastAsia" w:ascii="仿宋_GB2312" w:hAnsi="仿宋" w:eastAsia="仿宋_GB2312" w:cs="Times New Roman"/>
          <w:sz w:val="32"/>
          <w:szCs w:val="32"/>
        </w:rPr>
        <w:t>责促进</w:t>
      </w:r>
      <w:r>
        <w:rPr>
          <w:rFonts w:hint="default" w:ascii="仿宋_GB2312" w:hAnsi="仿宋" w:eastAsia="仿宋_GB2312" w:cs="Times New Roman"/>
          <w:sz w:val="32"/>
          <w:szCs w:val="32"/>
        </w:rPr>
        <w:t>高品质</w:t>
      </w:r>
      <w:r>
        <w:rPr>
          <w:rFonts w:hint="eastAsia" w:ascii="仿宋_GB2312" w:hAnsi="仿宋" w:eastAsia="仿宋_GB2312" w:cs="Times New Roman"/>
          <w:sz w:val="32"/>
          <w:szCs w:val="32"/>
        </w:rPr>
        <w:t>法治服务</w:t>
      </w:r>
    </w:p>
    <w:p w14:paraId="7C6940D1">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rPr>
        <w:t>坚持“民有所需、我有所应”，以“检护民生”专项行动持续做实</w:t>
      </w:r>
      <w:r>
        <w:rPr>
          <w:rFonts w:hint="default" w:ascii="仿宋_GB2312" w:hAnsi="仿宋" w:eastAsia="仿宋_GB2312" w:cs="Times New Roman"/>
          <w:sz w:val="32"/>
          <w:szCs w:val="32"/>
        </w:rPr>
        <w:t>可感受、能体验、得实惠</w:t>
      </w:r>
      <w:r>
        <w:rPr>
          <w:rFonts w:hint="eastAsia" w:ascii="仿宋_GB2312" w:hAnsi="仿宋" w:eastAsia="仿宋_GB2312" w:cs="Times New Roman"/>
          <w:sz w:val="32"/>
          <w:szCs w:val="32"/>
        </w:rPr>
        <w:t>的检察为民</w:t>
      </w:r>
      <w:r>
        <w:rPr>
          <w:rFonts w:hint="default" w:ascii="仿宋_GB2312" w:hAnsi="仿宋" w:eastAsia="仿宋_GB2312" w:cs="Times New Roman"/>
          <w:sz w:val="32"/>
          <w:szCs w:val="32"/>
        </w:rPr>
        <w:t>。</w:t>
      </w:r>
    </w:p>
    <w:p w14:paraId="21664621">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守护群众身边安全。</w:t>
      </w:r>
      <w:r>
        <w:rPr>
          <w:rFonts w:hint="eastAsia" w:ascii="仿宋_GB2312" w:hAnsi="仿宋" w:eastAsia="仿宋_GB2312" w:cs="Times New Roman"/>
          <w:sz w:val="32"/>
          <w:szCs w:val="32"/>
        </w:rPr>
        <w:t>强化</w:t>
      </w:r>
      <w:r>
        <w:rPr>
          <w:rFonts w:hint="default" w:ascii="仿宋_GB2312" w:hAnsi="仿宋" w:eastAsia="仿宋_GB2312" w:cs="Times New Roman"/>
          <w:sz w:val="32"/>
          <w:szCs w:val="32"/>
        </w:rPr>
        <w:t>网络安全</w:t>
      </w:r>
      <w:r>
        <w:rPr>
          <w:rFonts w:hint="eastAsia" w:ascii="仿宋_GB2312" w:hAnsi="仿宋" w:eastAsia="仿宋_GB2312" w:cs="Times New Roman"/>
          <w:sz w:val="32"/>
          <w:szCs w:val="32"/>
        </w:rPr>
        <w:t>保护</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严惩“</w:t>
      </w:r>
      <w:r>
        <w:rPr>
          <w:rFonts w:hint="default" w:ascii="仿宋_GB2312" w:hAnsi="仿宋" w:eastAsia="仿宋_GB2312" w:cs="Times New Roman"/>
          <w:sz w:val="32"/>
          <w:szCs w:val="32"/>
        </w:rPr>
        <w:t>7.17</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5.09</w:t>
      </w:r>
      <w:r>
        <w:rPr>
          <w:rFonts w:hint="eastAsia" w:ascii="仿宋_GB2312" w:hAnsi="仿宋" w:eastAsia="仿宋_GB2312" w:cs="Times New Roman"/>
          <w:sz w:val="32"/>
          <w:szCs w:val="32"/>
        </w:rPr>
        <w:t>”等</w:t>
      </w:r>
      <w:r>
        <w:rPr>
          <w:rFonts w:hint="default" w:ascii="仿宋_GB2312" w:hAnsi="仿宋" w:eastAsia="仿宋_GB2312" w:cs="Times New Roman"/>
          <w:sz w:val="32"/>
          <w:szCs w:val="32"/>
        </w:rPr>
        <w:t>跨境电信网络诈骗</w:t>
      </w:r>
      <w:r>
        <w:rPr>
          <w:rFonts w:hint="eastAsia" w:ascii="仿宋_GB2312" w:hAnsi="仿宋" w:eastAsia="仿宋_GB2312" w:cs="Times New Roman"/>
          <w:sz w:val="32"/>
          <w:szCs w:val="32"/>
        </w:rPr>
        <w:t>犯罪分子，</w:t>
      </w:r>
      <w:r>
        <w:rPr>
          <w:rFonts w:hint="default" w:ascii="仿宋_GB2312" w:hAnsi="仿宋" w:eastAsia="仿宋_GB2312" w:cs="Times New Roman"/>
          <w:sz w:val="32"/>
          <w:szCs w:val="32"/>
        </w:rPr>
        <w:t>起诉电信网络诈骗、侵犯公民个人信息犯罪</w:t>
      </w:r>
      <w:r>
        <w:rPr>
          <w:rFonts w:hint="eastAsia" w:ascii="仿宋_GB2312" w:hAnsi="仿宋" w:eastAsia="仿宋_GB2312" w:cs="Times New Roman"/>
          <w:sz w:val="32"/>
          <w:szCs w:val="32"/>
        </w:rPr>
        <w:t>258</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强化</w:t>
      </w:r>
      <w:r>
        <w:rPr>
          <w:rFonts w:hint="default" w:ascii="仿宋_GB2312" w:hAnsi="仿宋" w:eastAsia="仿宋_GB2312" w:cs="Times New Roman"/>
          <w:sz w:val="32"/>
          <w:szCs w:val="32"/>
        </w:rPr>
        <w:t>食品药品安全</w:t>
      </w:r>
      <w:r>
        <w:rPr>
          <w:rFonts w:hint="eastAsia" w:ascii="仿宋_GB2312" w:hAnsi="仿宋" w:eastAsia="仿宋_GB2312" w:cs="Times New Roman"/>
          <w:sz w:val="32"/>
          <w:szCs w:val="32"/>
        </w:rPr>
        <w:t>保护</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开展</w:t>
      </w:r>
      <w:r>
        <w:rPr>
          <w:rFonts w:hint="default" w:ascii="仿宋_GB2312" w:hAnsi="仿宋" w:eastAsia="仿宋_GB2312" w:cs="Times New Roman"/>
          <w:sz w:val="32"/>
          <w:szCs w:val="32"/>
        </w:rPr>
        <w:t>食用农产品</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治违禁、控药残、促提升</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农资打假</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等专项行动，办理案件</w:t>
      </w:r>
      <w:r>
        <w:rPr>
          <w:rFonts w:hint="eastAsia" w:ascii="仿宋_GB2312" w:hAnsi="仿宋" w:eastAsia="仿宋_GB2312" w:cs="Times New Roman"/>
          <w:sz w:val="32"/>
          <w:szCs w:val="32"/>
        </w:rPr>
        <w:t>20</w:t>
      </w:r>
      <w:r>
        <w:rPr>
          <w:rFonts w:hint="default" w:ascii="仿宋_GB2312" w:hAnsi="仿宋" w:eastAsia="仿宋_GB2312" w:cs="Times New Roman"/>
          <w:sz w:val="32"/>
          <w:szCs w:val="32"/>
        </w:rPr>
        <w:t>件。支持省消委起诉孙某某、刘某某生产销售伪劣化肥案，推动规范化肥行业经营秩序，获评全省检察机关守护</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天府粮仓</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典型案例。</w:t>
      </w:r>
      <w:r>
        <w:rPr>
          <w:rFonts w:hint="eastAsia" w:ascii="仿宋_GB2312" w:hAnsi="仿宋" w:eastAsia="仿宋_GB2312" w:cs="Times New Roman"/>
          <w:sz w:val="32"/>
          <w:szCs w:val="32"/>
        </w:rPr>
        <w:t>强化</w:t>
      </w:r>
      <w:r>
        <w:rPr>
          <w:rFonts w:hint="default" w:ascii="仿宋_GB2312" w:hAnsi="仿宋" w:eastAsia="仿宋_GB2312" w:cs="Times New Roman"/>
          <w:sz w:val="32"/>
          <w:szCs w:val="32"/>
        </w:rPr>
        <w:t>风险</w:t>
      </w:r>
      <w:r>
        <w:rPr>
          <w:rFonts w:hint="eastAsia" w:ascii="仿宋_GB2312" w:hAnsi="仿宋" w:eastAsia="仿宋_GB2312" w:cs="Times New Roman"/>
          <w:sz w:val="32"/>
          <w:szCs w:val="32"/>
        </w:rPr>
        <w:t>防控</w:t>
      </w:r>
      <w:r>
        <w:rPr>
          <w:rFonts w:hint="default" w:ascii="仿宋_GB2312" w:hAnsi="仿宋" w:eastAsia="仿宋_GB2312" w:cs="Times New Roman"/>
          <w:sz w:val="32"/>
          <w:szCs w:val="32"/>
        </w:rPr>
        <w:t>，监督</w:t>
      </w:r>
      <w:r>
        <w:rPr>
          <w:rFonts w:hint="eastAsia" w:ascii="仿宋_GB2312" w:hAnsi="仿宋" w:eastAsia="仿宋_GB2312" w:cs="Times New Roman"/>
          <w:sz w:val="32"/>
          <w:szCs w:val="32"/>
        </w:rPr>
        <w:t>相关部门</w:t>
      </w:r>
      <w:r>
        <w:rPr>
          <w:rFonts w:hint="default" w:ascii="仿宋_GB2312" w:hAnsi="仿宋" w:eastAsia="仿宋_GB2312" w:cs="Times New Roman"/>
          <w:sz w:val="32"/>
          <w:szCs w:val="32"/>
        </w:rPr>
        <w:t>注销566名精神残疾人持有的机动车驾驶证</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协同筑牢</w:t>
      </w:r>
      <w:r>
        <w:rPr>
          <w:rFonts w:hint="eastAsia" w:ascii="仿宋_GB2312" w:hAnsi="仿宋" w:eastAsia="仿宋_GB2312" w:cs="Times New Roman"/>
          <w:sz w:val="32"/>
          <w:szCs w:val="32"/>
        </w:rPr>
        <w:t>公共设施</w:t>
      </w:r>
      <w:r>
        <w:rPr>
          <w:rFonts w:hint="default" w:ascii="仿宋_GB2312" w:hAnsi="仿宋" w:eastAsia="仿宋_GB2312" w:cs="Times New Roman"/>
          <w:sz w:val="32"/>
          <w:szCs w:val="32"/>
        </w:rPr>
        <w:t>安全防线</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督促整改窨井盖、充电桩、盲道等风险隐患，发出检察建议</w:t>
      </w:r>
      <w:r>
        <w:rPr>
          <w:rFonts w:hint="eastAsia" w:ascii="仿宋_GB2312" w:hAnsi="仿宋" w:eastAsia="仿宋_GB2312" w:cs="Times New Roman"/>
          <w:sz w:val="32"/>
          <w:szCs w:val="32"/>
        </w:rPr>
        <w:t>16</w:t>
      </w:r>
      <w:r>
        <w:rPr>
          <w:rFonts w:hint="default" w:ascii="仿宋_GB2312" w:hAnsi="仿宋" w:eastAsia="仿宋_GB2312" w:cs="Times New Roman"/>
          <w:sz w:val="32"/>
          <w:szCs w:val="32"/>
        </w:rPr>
        <w:t>份。</w:t>
      </w:r>
    </w:p>
    <w:p w14:paraId="09D0DED0">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保护特殊群体权益。聚焦</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老有所</w:t>
      </w:r>
      <w:r>
        <w:rPr>
          <w:rFonts w:hint="eastAsia" w:ascii="仿宋_GB2312" w:hAnsi="仿宋" w:eastAsia="仿宋_GB2312" w:cs="Times New Roman"/>
          <w:sz w:val="32"/>
          <w:szCs w:val="32"/>
        </w:rPr>
        <w:t>依”</w:t>
      </w:r>
      <w:r>
        <w:rPr>
          <w:rFonts w:hint="default" w:ascii="仿宋_GB2312" w:hAnsi="仿宋" w:eastAsia="仿宋_GB2312" w:cs="Times New Roman"/>
          <w:sz w:val="32"/>
          <w:szCs w:val="32"/>
        </w:rPr>
        <w:t>，认真落实</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十一号检察建议</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开展养老服务机构安全管理专项监督，依法</w:t>
      </w:r>
      <w:r>
        <w:rPr>
          <w:rFonts w:hint="default" w:ascii="仿宋_GB2312" w:hAnsi="仿宋" w:eastAsia="仿宋_GB2312" w:cs="Times New Roman"/>
          <w:sz w:val="32"/>
          <w:szCs w:val="32"/>
        </w:rPr>
        <w:t>打击利用伪劣商品、保健品、虚假保险等欺老骗老犯罪，起诉</w:t>
      </w:r>
      <w:r>
        <w:rPr>
          <w:rFonts w:hint="eastAsia" w:ascii="仿宋_GB2312" w:hAnsi="仿宋" w:eastAsia="仿宋_GB2312" w:cs="Times New Roman"/>
          <w:sz w:val="32"/>
          <w:szCs w:val="32"/>
        </w:rPr>
        <w:t>56</w:t>
      </w:r>
      <w:r>
        <w:rPr>
          <w:rFonts w:hint="default" w:ascii="仿宋_GB2312" w:hAnsi="仿宋" w:eastAsia="仿宋_GB2312" w:cs="Times New Roman"/>
          <w:sz w:val="32"/>
          <w:szCs w:val="32"/>
        </w:rPr>
        <w:t>人。聚焦</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幼有所</w:t>
      </w:r>
      <w:r>
        <w:rPr>
          <w:rFonts w:hint="eastAsia" w:ascii="仿宋_GB2312" w:hAnsi="仿宋" w:eastAsia="仿宋_GB2312" w:cs="Times New Roman"/>
          <w:sz w:val="32"/>
          <w:szCs w:val="32"/>
        </w:rPr>
        <w:t>护”</w:t>
      </w:r>
      <w:r>
        <w:rPr>
          <w:rFonts w:hint="default" w:ascii="仿宋_GB2312" w:hAnsi="仿宋" w:eastAsia="仿宋_GB2312" w:cs="Times New Roman"/>
          <w:sz w:val="32"/>
          <w:szCs w:val="32"/>
        </w:rPr>
        <w:t>，强化未成年人综合司法保护，批捕侵害未成年人权益犯罪</w:t>
      </w:r>
      <w:r>
        <w:rPr>
          <w:rFonts w:hint="eastAsia" w:ascii="仿宋_GB2312" w:hAnsi="仿宋" w:eastAsia="仿宋_GB2312" w:cs="Times New Roman"/>
          <w:sz w:val="32"/>
          <w:szCs w:val="32"/>
        </w:rPr>
        <w:t>109</w:t>
      </w:r>
      <w:r>
        <w:rPr>
          <w:rFonts w:hint="default" w:ascii="仿宋_GB2312" w:hAnsi="仿宋" w:eastAsia="仿宋_GB2312" w:cs="Times New Roman"/>
          <w:sz w:val="32"/>
          <w:szCs w:val="32"/>
        </w:rPr>
        <w:t>人，起诉</w:t>
      </w:r>
      <w:r>
        <w:rPr>
          <w:rFonts w:hint="eastAsia" w:ascii="仿宋_GB2312" w:hAnsi="仿宋" w:eastAsia="仿宋_GB2312" w:cs="Times New Roman"/>
          <w:sz w:val="32"/>
          <w:szCs w:val="32"/>
        </w:rPr>
        <w:t>93</w:t>
      </w:r>
      <w:r>
        <w:rPr>
          <w:rFonts w:hint="default" w:ascii="仿宋_GB2312" w:hAnsi="仿宋" w:eastAsia="仿宋_GB2312" w:cs="Times New Roman"/>
          <w:sz w:val="32"/>
          <w:szCs w:val="32"/>
        </w:rPr>
        <w:t>人；坚持惩治与挽救并重，对</w:t>
      </w:r>
      <w:r>
        <w:rPr>
          <w:rFonts w:hint="eastAsia" w:ascii="仿宋_GB2312" w:hAnsi="仿宋" w:eastAsia="仿宋_GB2312" w:cs="Times New Roman"/>
          <w:sz w:val="32"/>
          <w:szCs w:val="32"/>
        </w:rPr>
        <w:t>17名涉</w:t>
      </w:r>
      <w:r>
        <w:rPr>
          <w:rFonts w:hint="default" w:ascii="仿宋_GB2312" w:hAnsi="仿宋" w:eastAsia="仿宋_GB2312" w:cs="Times New Roman"/>
          <w:sz w:val="32"/>
          <w:szCs w:val="32"/>
        </w:rPr>
        <w:t>罪未成年人附条件不起诉；</w:t>
      </w:r>
      <w:r>
        <w:rPr>
          <w:rFonts w:hint="eastAsia" w:ascii="仿宋_GB2312" w:hAnsi="仿宋" w:eastAsia="仿宋_GB2312" w:cs="Times New Roman"/>
          <w:sz w:val="32"/>
          <w:szCs w:val="32"/>
        </w:rPr>
        <w:t>针对校园安全、控辍保学等问题，</w:t>
      </w:r>
      <w:r>
        <w:rPr>
          <w:rFonts w:hint="default" w:ascii="仿宋_GB2312" w:hAnsi="仿宋" w:eastAsia="仿宋_GB2312" w:cs="Times New Roman"/>
          <w:sz w:val="32"/>
          <w:szCs w:val="32"/>
        </w:rPr>
        <w:t>发出检察建议</w:t>
      </w:r>
      <w:r>
        <w:rPr>
          <w:rFonts w:hint="eastAsia" w:ascii="仿宋_GB2312" w:hAnsi="仿宋" w:eastAsia="仿宋_GB2312" w:cs="Times New Roman"/>
          <w:sz w:val="32"/>
          <w:szCs w:val="32"/>
        </w:rPr>
        <w:t>13</w:t>
      </w:r>
      <w:r>
        <w:rPr>
          <w:rFonts w:hint="default" w:ascii="仿宋_GB2312" w:hAnsi="仿宋" w:eastAsia="仿宋_GB2312" w:cs="Times New Roman"/>
          <w:sz w:val="32"/>
          <w:szCs w:val="32"/>
        </w:rPr>
        <w:t>份</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开展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法治进校园</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94场次</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聚焦</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妇有所助</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，联合10部门开展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巾帼暖人心</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专项行动，办理妇女权益保护支持起诉</w:t>
      </w:r>
      <w:r>
        <w:rPr>
          <w:rFonts w:hint="eastAsia" w:ascii="仿宋_GB2312" w:hAnsi="仿宋" w:eastAsia="仿宋_GB2312" w:cs="Times New Roman"/>
          <w:sz w:val="32"/>
          <w:szCs w:val="32"/>
        </w:rPr>
        <w:t>案件</w:t>
      </w:r>
      <w:r>
        <w:rPr>
          <w:rFonts w:hint="default" w:ascii="仿宋_GB2312" w:hAnsi="仿宋" w:eastAsia="仿宋_GB2312" w:cs="Times New Roman"/>
          <w:sz w:val="32"/>
          <w:szCs w:val="32"/>
        </w:rPr>
        <w:t>18件。聚焦</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残有所扶</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，会同市残联等部门出台《加强残疾人司法保护二十条措施》，办理涉残疾人权益保护案件6件。聚焦</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劳有所得</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，惩治恶意欠薪犯罪8件9人，</w:t>
      </w:r>
      <w:r>
        <w:rPr>
          <w:rFonts w:hint="eastAsia" w:ascii="仿宋_GB2312" w:hAnsi="仿宋" w:eastAsia="仿宋_GB2312" w:cs="Times New Roman"/>
          <w:sz w:val="32"/>
          <w:szCs w:val="32"/>
        </w:rPr>
        <w:t>支持劳动者起诉</w:t>
      </w:r>
      <w:r>
        <w:rPr>
          <w:rFonts w:hint="default" w:ascii="仿宋_GB2312" w:hAnsi="仿宋" w:eastAsia="仿宋_GB2312" w:cs="Times New Roman"/>
          <w:sz w:val="32"/>
          <w:szCs w:val="32"/>
        </w:rPr>
        <w:t>讨薪</w:t>
      </w:r>
      <w:r>
        <w:rPr>
          <w:rFonts w:hint="eastAsia" w:ascii="仿宋_GB2312" w:hAnsi="仿宋" w:eastAsia="仿宋_GB2312" w:cs="Times New Roman"/>
          <w:sz w:val="32"/>
          <w:szCs w:val="32"/>
        </w:rPr>
        <w:t>105</w:t>
      </w:r>
      <w:r>
        <w:rPr>
          <w:rFonts w:hint="default" w:ascii="仿宋_GB2312" w:hAnsi="仿宋" w:eastAsia="仿宋_GB2312" w:cs="Times New Roman"/>
          <w:sz w:val="32"/>
          <w:szCs w:val="32"/>
        </w:rPr>
        <w:t>件，帮助追回薪资20</w:t>
      </w:r>
      <w:r>
        <w:rPr>
          <w:rFonts w:hint="eastAsia" w:ascii="仿宋_GB2312" w:hAnsi="仿宋" w:eastAsia="仿宋_GB2312" w:cs="Times New Roman"/>
          <w:sz w:val="32"/>
          <w:szCs w:val="32"/>
        </w:rPr>
        <w:t>0</w:t>
      </w:r>
      <w:r>
        <w:rPr>
          <w:rFonts w:hint="default" w:ascii="仿宋_GB2312" w:hAnsi="仿宋" w:eastAsia="仿宋_GB2312" w:cs="Times New Roman"/>
          <w:sz w:val="32"/>
          <w:szCs w:val="32"/>
        </w:rPr>
        <w:t>余万元。</w:t>
      </w:r>
    </w:p>
    <w:p w14:paraId="48CCBC20">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防范化解矛盾纠纷。</w:t>
      </w:r>
      <w:r>
        <w:rPr>
          <w:rFonts w:hint="eastAsia" w:ascii="仿宋_GB2312" w:hAnsi="仿宋" w:eastAsia="仿宋_GB2312" w:cs="Times New Roman"/>
          <w:sz w:val="32"/>
          <w:szCs w:val="32"/>
        </w:rPr>
        <w:t>积极推进</w:t>
      </w:r>
      <w:r>
        <w:rPr>
          <w:rFonts w:hint="default" w:ascii="仿宋_GB2312" w:hAnsi="仿宋" w:eastAsia="仿宋_GB2312" w:cs="Times New Roman"/>
          <w:sz w:val="32"/>
          <w:szCs w:val="32"/>
        </w:rPr>
        <w:t>检察环节信访工作法治化</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促进</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息诉罢访</w:t>
      </w:r>
      <w:r>
        <w:rPr>
          <w:rFonts w:hint="eastAsia" w:ascii="仿宋_GB2312" w:hAnsi="仿宋" w:eastAsia="仿宋_GB2312" w:cs="Times New Roman"/>
          <w:sz w:val="32"/>
          <w:szCs w:val="32"/>
        </w:rPr>
        <w:t>”。以“如我在诉”</w:t>
      </w:r>
      <w:r>
        <w:rPr>
          <w:rFonts w:hint="default" w:ascii="仿宋_GB2312" w:hAnsi="仿宋" w:eastAsia="仿宋_GB2312" w:cs="Times New Roman"/>
          <w:sz w:val="32"/>
          <w:szCs w:val="32"/>
        </w:rPr>
        <w:t>落实</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群众信访件件有回复</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要求，妥善</w:t>
      </w:r>
      <w:r>
        <w:rPr>
          <w:rFonts w:hint="eastAsia" w:ascii="仿宋_GB2312" w:hAnsi="仿宋" w:eastAsia="仿宋_GB2312" w:cs="Times New Roman"/>
          <w:sz w:val="32"/>
          <w:szCs w:val="32"/>
        </w:rPr>
        <w:t>处理</w:t>
      </w:r>
      <w:r>
        <w:rPr>
          <w:rFonts w:hint="default" w:ascii="仿宋_GB2312" w:hAnsi="仿宋" w:eastAsia="仿宋_GB2312" w:cs="Times New Roman"/>
          <w:sz w:val="32"/>
          <w:szCs w:val="32"/>
        </w:rPr>
        <w:t>信访案件513件</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扎实开展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社情民意联系日</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活动，收集</w:t>
      </w:r>
      <w:r>
        <w:rPr>
          <w:rFonts w:hint="eastAsia" w:ascii="仿宋_GB2312" w:hAnsi="仿宋" w:eastAsia="仿宋_GB2312" w:cs="Times New Roman"/>
          <w:sz w:val="32"/>
          <w:szCs w:val="32"/>
        </w:rPr>
        <w:t>、督促</w:t>
      </w:r>
      <w:r>
        <w:rPr>
          <w:rFonts w:hint="default" w:ascii="仿宋_GB2312" w:hAnsi="仿宋" w:eastAsia="仿宋_GB2312" w:cs="Times New Roman"/>
          <w:sz w:val="32"/>
          <w:szCs w:val="32"/>
        </w:rPr>
        <w:t>办理群众诉求</w:t>
      </w:r>
      <w:r>
        <w:rPr>
          <w:rFonts w:hint="eastAsia" w:ascii="仿宋_GB2312" w:hAnsi="仿宋" w:eastAsia="仿宋_GB2312" w:cs="Times New Roman"/>
          <w:sz w:val="32"/>
          <w:szCs w:val="32"/>
        </w:rPr>
        <w:t>21</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。立足“</w:t>
      </w:r>
      <w:r>
        <w:rPr>
          <w:rFonts w:hint="default" w:ascii="仿宋_GB2312" w:hAnsi="仿宋" w:eastAsia="仿宋_GB2312" w:cs="Times New Roman"/>
          <w:sz w:val="32"/>
          <w:szCs w:val="32"/>
        </w:rPr>
        <w:t>定分止争</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组织开展定时定点公开听证</w:t>
      </w:r>
      <w:r>
        <w:rPr>
          <w:rFonts w:hint="eastAsia" w:ascii="仿宋_GB2312" w:hAnsi="仿宋" w:eastAsia="仿宋_GB2312" w:cs="Times New Roman"/>
          <w:sz w:val="32"/>
          <w:szCs w:val="32"/>
        </w:rPr>
        <w:t>28场次</w:t>
      </w:r>
      <w:r>
        <w:rPr>
          <w:rFonts w:hint="default" w:ascii="仿宋_GB2312" w:hAnsi="仿宋" w:eastAsia="仿宋_GB2312" w:cs="Times New Roman"/>
          <w:sz w:val="32"/>
          <w:szCs w:val="32"/>
        </w:rPr>
        <w:t>，办理刑事</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民事和解</w:t>
      </w:r>
      <w:r>
        <w:rPr>
          <w:rFonts w:hint="eastAsia" w:ascii="仿宋_GB2312" w:hAnsi="仿宋" w:eastAsia="仿宋_GB2312" w:cs="Times New Roman"/>
          <w:sz w:val="32"/>
          <w:szCs w:val="32"/>
        </w:rPr>
        <w:t>案件113</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解“法结”化“心结”。</w:t>
      </w:r>
      <w:r>
        <w:rPr>
          <w:rFonts w:hint="default" w:ascii="仿宋_GB2312" w:hAnsi="仿宋" w:eastAsia="仿宋_GB2312" w:cs="Times New Roman"/>
          <w:sz w:val="32"/>
          <w:szCs w:val="32"/>
        </w:rPr>
        <w:t>市</w:t>
      </w:r>
      <w:r>
        <w:rPr>
          <w:rFonts w:hint="eastAsia" w:ascii="仿宋_GB2312" w:hAnsi="仿宋" w:eastAsia="仿宋_GB2312" w:cs="Times New Roman"/>
          <w:sz w:val="32"/>
          <w:szCs w:val="32"/>
        </w:rPr>
        <w:t>检察</w:t>
      </w:r>
      <w:r>
        <w:rPr>
          <w:rFonts w:hint="default" w:ascii="仿宋_GB2312" w:hAnsi="仿宋" w:eastAsia="仿宋_GB2312" w:cs="Times New Roman"/>
          <w:sz w:val="32"/>
          <w:szCs w:val="32"/>
        </w:rPr>
        <w:t>院获评全省民事检察</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和解五法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工作室建设单位。坚持应救尽救，会同民政、</w:t>
      </w:r>
      <w:r>
        <w:rPr>
          <w:rFonts w:hint="eastAsia" w:ascii="仿宋_GB2312" w:hAnsi="仿宋" w:eastAsia="仿宋_GB2312" w:cs="Times New Roman"/>
          <w:sz w:val="32"/>
          <w:szCs w:val="32"/>
        </w:rPr>
        <w:t>妇联</w:t>
      </w:r>
      <w:r>
        <w:rPr>
          <w:rFonts w:hint="default" w:ascii="仿宋_GB2312" w:hAnsi="仿宋" w:eastAsia="仿宋_GB2312" w:cs="Times New Roman"/>
          <w:sz w:val="32"/>
          <w:szCs w:val="32"/>
        </w:rPr>
        <w:t>等多部门建立</w:t>
      </w:r>
      <w:r>
        <w:rPr>
          <w:rFonts w:hint="eastAsia" w:ascii="仿宋_GB2312" w:hAnsi="仿宋" w:eastAsia="仿宋_GB2312" w:cs="Times New Roman"/>
          <w:sz w:val="32"/>
          <w:szCs w:val="32"/>
        </w:rPr>
        <w:t>多元</w:t>
      </w:r>
      <w:r>
        <w:rPr>
          <w:rFonts w:hint="default" w:ascii="仿宋_GB2312" w:hAnsi="仿宋" w:eastAsia="仿宋_GB2312" w:cs="Times New Roman"/>
          <w:sz w:val="32"/>
          <w:szCs w:val="32"/>
        </w:rPr>
        <w:t>救助机制，</w:t>
      </w:r>
      <w:r>
        <w:rPr>
          <w:rFonts w:hint="eastAsia" w:ascii="仿宋_GB2312" w:hAnsi="仿宋" w:eastAsia="仿宋_GB2312" w:cs="Times New Roman"/>
          <w:sz w:val="32"/>
          <w:szCs w:val="32"/>
        </w:rPr>
        <w:t>向127名因案困难群众发放救助金94.8万元，彰显司法温情</w:t>
      </w:r>
      <w:r>
        <w:rPr>
          <w:rFonts w:hint="default" w:ascii="仿宋_GB2312" w:hAnsi="仿宋" w:eastAsia="仿宋_GB2312" w:cs="Times New Roman"/>
          <w:sz w:val="32"/>
          <w:szCs w:val="32"/>
        </w:rPr>
        <w:t>。</w:t>
      </w:r>
    </w:p>
    <w:p w14:paraId="3BD9A5A2">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聚焦公平正义，以检察之为强化高质效法律监督</w:t>
      </w:r>
    </w:p>
    <w:p w14:paraId="6C50DA4F">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rPr>
        <w:t>坚持“努力让人民群众在每一个司法案件中感受到公平正义”，以严格公正司法</w:t>
      </w:r>
      <w:r>
        <w:rPr>
          <w:rFonts w:hint="default" w:ascii="仿宋_GB2312" w:hAnsi="仿宋" w:eastAsia="仿宋_GB2312" w:cs="Times New Roman"/>
          <w:sz w:val="32"/>
          <w:szCs w:val="32"/>
        </w:rPr>
        <w:t>推动</w:t>
      </w:r>
      <w:r>
        <w:rPr>
          <w:rFonts w:hint="eastAsia" w:ascii="仿宋_GB2312" w:hAnsi="仿宋" w:eastAsia="仿宋_GB2312" w:cs="Times New Roman"/>
          <w:sz w:val="32"/>
          <w:szCs w:val="32"/>
        </w:rPr>
        <w:t>法律监督工作提质增效</w:t>
      </w:r>
      <w:r>
        <w:rPr>
          <w:rFonts w:hint="default" w:ascii="仿宋_GB2312" w:hAnsi="仿宋" w:eastAsia="仿宋_GB2312" w:cs="Times New Roman"/>
          <w:sz w:val="32"/>
          <w:szCs w:val="32"/>
        </w:rPr>
        <w:t>。</w:t>
      </w:r>
    </w:p>
    <w:p w14:paraId="410BC7D0">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刑事检察持续</w:t>
      </w:r>
      <w:r>
        <w:rPr>
          <w:rFonts w:hint="eastAsia" w:ascii="仿宋_GB2312" w:hAnsi="仿宋" w:eastAsia="仿宋_GB2312" w:cs="Times New Roman"/>
          <w:sz w:val="32"/>
          <w:szCs w:val="32"/>
        </w:rPr>
        <w:t>加</w:t>
      </w:r>
      <w:r>
        <w:rPr>
          <w:rFonts w:hint="default" w:ascii="仿宋_GB2312" w:hAnsi="仿宋" w:eastAsia="仿宋_GB2312" w:cs="Times New Roman"/>
          <w:sz w:val="32"/>
          <w:szCs w:val="32"/>
        </w:rPr>
        <w:t>强。充分发挥诉前主导作用，推动构建以证据为中心的刑事指控体系。健全</w:t>
      </w:r>
      <w:r>
        <w:rPr>
          <w:rFonts w:hint="eastAsia" w:ascii="仿宋_GB2312" w:hAnsi="仿宋" w:eastAsia="仿宋_GB2312" w:cs="Times New Roman"/>
          <w:sz w:val="32"/>
          <w:szCs w:val="32"/>
        </w:rPr>
        <w:t>重点</w:t>
      </w:r>
      <w:r>
        <w:rPr>
          <w:rFonts w:hint="default" w:ascii="仿宋_GB2312" w:hAnsi="仿宋" w:eastAsia="仿宋_GB2312" w:cs="Times New Roman"/>
          <w:sz w:val="32"/>
          <w:szCs w:val="32"/>
        </w:rPr>
        <w:t>案件复盘、业务测试、庭审观摩评议、正反典型案例学习警示等机制，印发二审刑事案件办理工作指引，不断提升办案质效。</w:t>
      </w:r>
      <w:r>
        <w:rPr>
          <w:rFonts w:hint="eastAsia" w:ascii="仿宋_GB2312" w:hAnsi="仿宋" w:eastAsia="仿宋_GB2312" w:cs="Times New Roman"/>
          <w:sz w:val="32"/>
          <w:szCs w:val="32"/>
        </w:rPr>
        <w:t>加强立案监督，</w:t>
      </w:r>
      <w:r>
        <w:rPr>
          <w:rFonts w:hint="default" w:ascii="仿宋_GB2312" w:hAnsi="仿宋" w:eastAsia="仿宋_GB2312" w:cs="Times New Roman"/>
          <w:sz w:val="32"/>
          <w:szCs w:val="32"/>
        </w:rPr>
        <w:t>监督立案</w:t>
      </w:r>
      <w:r>
        <w:rPr>
          <w:rFonts w:hint="eastAsia" w:ascii="仿宋_GB2312" w:hAnsi="仿宋" w:eastAsia="仿宋_GB2312" w:cs="Times New Roman"/>
          <w:sz w:val="32"/>
          <w:szCs w:val="32"/>
        </w:rPr>
        <w:t>10件</w:t>
      </w:r>
      <w:r>
        <w:rPr>
          <w:rFonts w:hint="default" w:ascii="仿宋_GB2312" w:hAnsi="仿宋" w:eastAsia="仿宋_GB2312" w:cs="Times New Roman"/>
          <w:sz w:val="32"/>
          <w:szCs w:val="32"/>
        </w:rPr>
        <w:t>、撤案</w:t>
      </w:r>
      <w:r>
        <w:rPr>
          <w:rFonts w:hint="eastAsia" w:ascii="仿宋_GB2312" w:hAnsi="仿宋" w:eastAsia="仿宋_GB2312" w:cs="Times New Roman"/>
          <w:sz w:val="32"/>
          <w:szCs w:val="32"/>
        </w:rPr>
        <w:t>58</w:t>
      </w:r>
      <w:r>
        <w:rPr>
          <w:rFonts w:hint="default" w:ascii="仿宋_GB2312" w:hAnsi="仿宋" w:eastAsia="仿宋_GB2312" w:cs="Times New Roman"/>
          <w:sz w:val="32"/>
          <w:szCs w:val="32"/>
        </w:rPr>
        <w:t>件，追捕</w:t>
      </w:r>
      <w:r>
        <w:rPr>
          <w:rFonts w:hint="eastAsia" w:ascii="仿宋_GB2312" w:hAnsi="仿宋" w:eastAsia="仿宋_GB2312" w:cs="Times New Roman"/>
          <w:sz w:val="32"/>
          <w:szCs w:val="32"/>
        </w:rPr>
        <w:t>14人</w:t>
      </w:r>
      <w:r>
        <w:rPr>
          <w:rFonts w:hint="default" w:ascii="仿宋_GB2312" w:hAnsi="仿宋" w:eastAsia="仿宋_GB2312" w:cs="Times New Roman"/>
          <w:sz w:val="32"/>
          <w:szCs w:val="32"/>
        </w:rPr>
        <w:t>、追诉</w:t>
      </w:r>
      <w:r>
        <w:rPr>
          <w:rFonts w:hint="eastAsia" w:ascii="仿宋_GB2312" w:hAnsi="仿宋" w:eastAsia="仿宋_GB2312" w:cs="Times New Roman"/>
          <w:sz w:val="32"/>
          <w:szCs w:val="32"/>
        </w:rPr>
        <w:t>48</w:t>
      </w:r>
      <w:r>
        <w:rPr>
          <w:rFonts w:hint="default" w:ascii="仿宋_GB2312" w:hAnsi="仿宋" w:eastAsia="仿宋_GB2312" w:cs="Times New Roman"/>
          <w:sz w:val="32"/>
          <w:szCs w:val="32"/>
        </w:rPr>
        <w:t>人</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追诉</w:t>
      </w:r>
      <w:r>
        <w:rPr>
          <w:rFonts w:hint="eastAsia" w:ascii="仿宋_GB2312" w:hAnsi="仿宋" w:eastAsia="仿宋_GB2312" w:cs="Times New Roman"/>
          <w:sz w:val="32"/>
          <w:szCs w:val="32"/>
        </w:rPr>
        <w:t>的史</w:t>
      </w:r>
      <w:r>
        <w:rPr>
          <w:rFonts w:hint="default" w:ascii="仿宋_GB2312" w:hAnsi="仿宋" w:eastAsia="仿宋_GB2312" w:cs="Times New Roman"/>
          <w:sz w:val="32"/>
          <w:szCs w:val="32"/>
        </w:rPr>
        <w:t>某某</w:t>
      </w:r>
      <w:r>
        <w:rPr>
          <w:rFonts w:hint="eastAsia" w:ascii="仿宋_GB2312" w:hAnsi="仿宋" w:eastAsia="仿宋_GB2312" w:cs="Times New Roman"/>
          <w:sz w:val="32"/>
          <w:szCs w:val="32"/>
        </w:rPr>
        <w:t>犯介绍卖淫罪被判处有期徒刑五年五个月</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加强侦查活动监督，</w:t>
      </w:r>
      <w:r>
        <w:rPr>
          <w:rFonts w:hint="default" w:ascii="仿宋_GB2312" w:hAnsi="仿宋" w:eastAsia="仿宋_GB2312" w:cs="Times New Roman"/>
          <w:sz w:val="32"/>
          <w:szCs w:val="32"/>
        </w:rPr>
        <w:t>纠正违法</w:t>
      </w:r>
      <w:r>
        <w:rPr>
          <w:rFonts w:hint="eastAsia" w:ascii="仿宋_GB2312" w:hAnsi="仿宋" w:eastAsia="仿宋_GB2312" w:cs="Times New Roman"/>
          <w:sz w:val="32"/>
          <w:szCs w:val="32"/>
        </w:rPr>
        <w:t>183</w:t>
      </w:r>
      <w:r>
        <w:rPr>
          <w:rFonts w:hint="default" w:ascii="仿宋_GB2312" w:hAnsi="仿宋" w:eastAsia="仿宋_GB2312" w:cs="Times New Roman"/>
          <w:sz w:val="32"/>
          <w:szCs w:val="32"/>
        </w:rPr>
        <w:t>件，建议行政机关</w:t>
      </w:r>
      <w:r>
        <w:rPr>
          <w:rFonts w:hint="eastAsia" w:ascii="仿宋_GB2312" w:hAnsi="仿宋" w:eastAsia="仿宋_GB2312" w:cs="Times New Roman"/>
          <w:sz w:val="32"/>
          <w:szCs w:val="32"/>
        </w:rPr>
        <w:t>移送</w:t>
      </w:r>
      <w:r>
        <w:rPr>
          <w:rFonts w:hint="default" w:ascii="仿宋_GB2312" w:hAnsi="仿宋" w:eastAsia="仿宋_GB2312" w:cs="Times New Roman"/>
          <w:sz w:val="32"/>
          <w:szCs w:val="32"/>
        </w:rPr>
        <w:t>涉嫌犯罪案件</w:t>
      </w:r>
      <w:r>
        <w:rPr>
          <w:rFonts w:hint="eastAsia" w:ascii="仿宋_GB2312" w:hAnsi="仿宋" w:eastAsia="仿宋_GB2312" w:cs="Times New Roman"/>
          <w:sz w:val="32"/>
          <w:szCs w:val="32"/>
        </w:rPr>
        <w:t>12</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加强审判活动监督，</w:t>
      </w:r>
      <w:r>
        <w:rPr>
          <w:rFonts w:hint="default" w:ascii="仿宋_GB2312" w:hAnsi="仿宋" w:eastAsia="仿宋_GB2312" w:cs="Times New Roman"/>
          <w:sz w:val="32"/>
          <w:szCs w:val="32"/>
        </w:rPr>
        <w:t>纠正违法</w:t>
      </w:r>
      <w:r>
        <w:rPr>
          <w:rFonts w:hint="eastAsia" w:ascii="仿宋_GB2312" w:hAnsi="仿宋" w:eastAsia="仿宋_GB2312" w:cs="Times New Roman"/>
          <w:sz w:val="32"/>
          <w:szCs w:val="32"/>
        </w:rPr>
        <w:t>7</w:t>
      </w:r>
      <w:r>
        <w:rPr>
          <w:rFonts w:hint="default" w:ascii="仿宋_GB2312" w:hAnsi="仿宋" w:eastAsia="仿宋_GB2312" w:cs="Times New Roman"/>
          <w:sz w:val="32"/>
          <w:szCs w:val="32"/>
        </w:rPr>
        <w:t>件，提出抗诉</w:t>
      </w:r>
      <w:r>
        <w:rPr>
          <w:rFonts w:hint="eastAsia" w:ascii="仿宋_GB2312" w:hAnsi="仿宋" w:eastAsia="仿宋_GB2312" w:cs="Times New Roman"/>
          <w:sz w:val="32"/>
          <w:szCs w:val="32"/>
        </w:rPr>
        <w:t>6</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加强刑事</w:t>
      </w:r>
      <w:r>
        <w:rPr>
          <w:rFonts w:hint="default" w:ascii="仿宋_GB2312" w:hAnsi="仿宋" w:eastAsia="仿宋_GB2312" w:cs="Times New Roman"/>
          <w:sz w:val="32"/>
          <w:szCs w:val="32"/>
        </w:rPr>
        <w:t>执行</w:t>
      </w:r>
      <w:r>
        <w:rPr>
          <w:rFonts w:hint="eastAsia" w:ascii="仿宋_GB2312" w:hAnsi="仿宋" w:eastAsia="仿宋_GB2312" w:cs="Times New Roman"/>
          <w:sz w:val="32"/>
          <w:szCs w:val="32"/>
        </w:rPr>
        <w:t>监督</w:t>
      </w:r>
      <w:r>
        <w:rPr>
          <w:rFonts w:hint="default" w:ascii="仿宋_GB2312" w:hAnsi="仿宋" w:eastAsia="仿宋_GB2312" w:cs="Times New Roman"/>
          <w:sz w:val="32"/>
          <w:szCs w:val="32"/>
        </w:rPr>
        <w:t>，深化</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派驻</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巡回</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检察监督，办理</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假减暂</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案件366件，</w:t>
      </w:r>
      <w:r>
        <w:rPr>
          <w:rFonts w:hint="eastAsia" w:ascii="仿宋_GB2312" w:hAnsi="仿宋" w:eastAsia="仿宋_GB2312" w:cs="Times New Roman"/>
          <w:sz w:val="32"/>
          <w:szCs w:val="32"/>
        </w:rPr>
        <w:t>办理监管活动、社区矫正、财产刑执行等监督案件197件，发出检察建议16份。</w:t>
      </w:r>
    </w:p>
    <w:p w14:paraId="56A68506">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民事检察持续</w:t>
      </w:r>
      <w:r>
        <w:rPr>
          <w:rFonts w:hint="eastAsia" w:ascii="仿宋_GB2312" w:hAnsi="仿宋" w:eastAsia="仿宋_GB2312" w:cs="Times New Roman"/>
          <w:sz w:val="32"/>
          <w:szCs w:val="32"/>
        </w:rPr>
        <w:t>优化</w:t>
      </w:r>
      <w:r>
        <w:rPr>
          <w:rFonts w:hint="default" w:ascii="仿宋_GB2312" w:hAnsi="仿宋" w:eastAsia="仿宋_GB2312" w:cs="Times New Roman"/>
          <w:sz w:val="32"/>
          <w:szCs w:val="32"/>
        </w:rPr>
        <w:t>。注重全流程有效监督</w:t>
      </w:r>
      <w:r>
        <w:rPr>
          <w:rFonts w:hint="eastAsia" w:ascii="仿宋_GB2312" w:hAnsi="仿宋" w:eastAsia="仿宋_GB2312" w:cs="Times New Roman"/>
          <w:sz w:val="32"/>
          <w:szCs w:val="32"/>
        </w:rPr>
        <w:t>和</w:t>
      </w:r>
      <w:r>
        <w:rPr>
          <w:rFonts w:hint="default" w:ascii="仿宋_GB2312" w:hAnsi="仿宋" w:eastAsia="仿宋_GB2312" w:cs="Times New Roman"/>
          <w:sz w:val="32"/>
          <w:szCs w:val="32"/>
        </w:rPr>
        <w:t>高质效精准办案，办理民事监督案件244件，提出抗诉、发出再审检察建议11</w:t>
      </w:r>
      <w:r>
        <w:rPr>
          <w:rFonts w:hint="eastAsia" w:ascii="仿宋_GB2312" w:hAnsi="仿宋" w:eastAsia="仿宋_GB2312" w:cs="Times New Roman"/>
          <w:sz w:val="32"/>
          <w:szCs w:val="32"/>
        </w:rPr>
        <w:t>份</w:t>
      </w:r>
      <w:r>
        <w:rPr>
          <w:rFonts w:hint="default" w:ascii="仿宋_GB2312" w:hAnsi="仿宋" w:eastAsia="仿宋_GB2312" w:cs="Times New Roman"/>
          <w:sz w:val="32"/>
          <w:szCs w:val="32"/>
        </w:rPr>
        <w:t>。监督纠正虚假诉讼案件8件，让</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假官司</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无</w:t>
      </w:r>
      <w:r>
        <w:rPr>
          <w:rFonts w:hint="eastAsia" w:ascii="仿宋_GB2312" w:hAnsi="仿宋" w:eastAsia="仿宋_GB2312" w:cs="Times New Roman"/>
          <w:sz w:val="32"/>
          <w:szCs w:val="32"/>
        </w:rPr>
        <w:t>所</w:t>
      </w:r>
      <w:r>
        <w:rPr>
          <w:rFonts w:hint="default" w:ascii="仿宋_GB2312" w:hAnsi="仿宋" w:eastAsia="仿宋_GB2312" w:cs="Times New Roman"/>
          <w:sz w:val="32"/>
          <w:szCs w:val="32"/>
        </w:rPr>
        <w:t>遁形</w:t>
      </w:r>
      <w:r>
        <w:rPr>
          <w:rFonts w:hint="eastAsia" w:ascii="仿宋_GB2312" w:hAnsi="仿宋" w:eastAsia="仿宋_GB2312" w:cs="Times New Roman"/>
          <w:sz w:val="32"/>
          <w:szCs w:val="32"/>
        </w:rPr>
        <w:t>。监督纠正了</w:t>
      </w:r>
      <w:r>
        <w:rPr>
          <w:rFonts w:hint="default" w:ascii="仿宋_GB2312" w:hAnsi="仿宋" w:eastAsia="仿宋_GB2312" w:cs="Times New Roman"/>
          <w:sz w:val="32"/>
          <w:szCs w:val="32"/>
        </w:rPr>
        <w:t>某粮油管理站与某拍卖公司拍卖合同纠纷虚假诉讼案。</w:t>
      </w:r>
      <w:r>
        <w:rPr>
          <w:rFonts w:hint="eastAsia" w:ascii="仿宋_GB2312" w:hAnsi="仿宋" w:eastAsia="仿宋_GB2312" w:cs="Times New Roman"/>
          <w:sz w:val="32"/>
          <w:szCs w:val="32"/>
        </w:rPr>
        <w:t>针对民事执行监督中存在的重点难点问题，</w:t>
      </w:r>
      <w:r>
        <w:rPr>
          <w:rFonts w:hint="default" w:ascii="仿宋_GB2312" w:hAnsi="仿宋" w:eastAsia="仿宋_GB2312" w:cs="Times New Roman"/>
          <w:sz w:val="32"/>
          <w:szCs w:val="32"/>
        </w:rPr>
        <w:t>制定《民事执行监督案件审查要点指引》，细化22个环节118种常见违法情形，监督纠正执行活动违法50件。办理的谢某</w:t>
      </w:r>
      <w:r>
        <w:rPr>
          <w:rFonts w:hint="eastAsia" w:ascii="仿宋_GB2312" w:hAnsi="仿宋" w:eastAsia="仿宋_GB2312" w:cs="Times New Roman"/>
          <w:sz w:val="32"/>
          <w:szCs w:val="32"/>
        </w:rPr>
        <w:t>某</w:t>
      </w:r>
      <w:r>
        <w:rPr>
          <w:rFonts w:hint="default" w:ascii="仿宋_GB2312" w:hAnsi="仿宋" w:eastAsia="仿宋_GB2312" w:cs="Times New Roman"/>
          <w:sz w:val="32"/>
          <w:szCs w:val="32"/>
        </w:rPr>
        <w:t>与某建筑工程有限公司买卖合同纠纷执行监督案，获评全省民事执行监督优秀案件。</w:t>
      </w:r>
    </w:p>
    <w:p w14:paraId="03BBE02C">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行政检察持续做实。稳步推进行政诉讼</w:t>
      </w:r>
      <w:r>
        <w:rPr>
          <w:rFonts w:hint="eastAsia" w:ascii="仿宋_GB2312" w:hAnsi="仿宋" w:eastAsia="仿宋_GB2312" w:cs="Times New Roman"/>
          <w:sz w:val="32"/>
          <w:szCs w:val="32"/>
        </w:rPr>
        <w:t>和非诉行政</w:t>
      </w:r>
      <w:r>
        <w:rPr>
          <w:rFonts w:hint="default" w:ascii="仿宋_GB2312" w:hAnsi="仿宋" w:eastAsia="仿宋_GB2312" w:cs="Times New Roman"/>
          <w:sz w:val="32"/>
          <w:szCs w:val="32"/>
        </w:rPr>
        <w:t>执行监督，办理案件128件，发出检察建议43</w:t>
      </w:r>
      <w:r>
        <w:rPr>
          <w:rFonts w:hint="eastAsia" w:ascii="仿宋_GB2312" w:hAnsi="仿宋" w:eastAsia="仿宋_GB2312" w:cs="Times New Roman"/>
          <w:sz w:val="32"/>
          <w:szCs w:val="32"/>
        </w:rPr>
        <w:t>份</w:t>
      </w:r>
      <w:r>
        <w:rPr>
          <w:rFonts w:hint="default" w:ascii="仿宋_GB2312" w:hAnsi="仿宋" w:eastAsia="仿宋_GB2312" w:cs="Times New Roman"/>
          <w:sz w:val="32"/>
          <w:szCs w:val="32"/>
        </w:rPr>
        <w:t>。积极开展行政争议实质化解，办理案件</w:t>
      </w:r>
      <w:r>
        <w:rPr>
          <w:rFonts w:hint="eastAsia" w:ascii="仿宋_GB2312" w:hAnsi="仿宋" w:eastAsia="仿宋_GB2312" w:cs="Times New Roman"/>
          <w:sz w:val="32"/>
          <w:szCs w:val="32"/>
        </w:rPr>
        <w:t>43</w:t>
      </w:r>
      <w:r>
        <w:rPr>
          <w:rFonts w:hint="default" w:ascii="仿宋_GB2312" w:hAnsi="仿宋" w:eastAsia="仿宋_GB2312" w:cs="Times New Roman"/>
          <w:sz w:val="32"/>
          <w:szCs w:val="32"/>
        </w:rPr>
        <w:t>件。办理的何某某被冒名婚姻登记</w:t>
      </w:r>
      <w:r>
        <w:rPr>
          <w:rFonts w:hint="eastAsia" w:ascii="仿宋_GB2312" w:hAnsi="仿宋" w:eastAsia="仿宋_GB2312" w:cs="Times New Roman"/>
          <w:sz w:val="32"/>
          <w:szCs w:val="32"/>
        </w:rPr>
        <w:t>检察</w:t>
      </w:r>
      <w:r>
        <w:rPr>
          <w:rFonts w:hint="default" w:ascii="仿宋_GB2312" w:hAnsi="仿宋" w:eastAsia="仿宋_GB2312" w:cs="Times New Roman"/>
          <w:sz w:val="32"/>
          <w:szCs w:val="32"/>
        </w:rPr>
        <w:t>监督案，促成长达二十年的行政争议妥善解决。加强与其他执法司法机关的协作配合，推动行政执法和刑事司法双向衔接，办理反向衔接不起诉案件</w:t>
      </w:r>
      <w:r>
        <w:rPr>
          <w:rFonts w:hint="eastAsia" w:ascii="仿宋_GB2312" w:hAnsi="仿宋" w:eastAsia="仿宋_GB2312" w:cs="Times New Roman"/>
          <w:sz w:val="32"/>
          <w:szCs w:val="32"/>
        </w:rPr>
        <w:t>411</w:t>
      </w:r>
      <w:r>
        <w:rPr>
          <w:rFonts w:hint="default" w:ascii="仿宋_GB2312" w:hAnsi="仿宋" w:eastAsia="仿宋_GB2312" w:cs="Times New Roman"/>
          <w:sz w:val="32"/>
          <w:szCs w:val="32"/>
        </w:rPr>
        <w:t>件，提出检察意见</w:t>
      </w:r>
      <w:r>
        <w:rPr>
          <w:rFonts w:hint="eastAsia" w:ascii="仿宋_GB2312" w:hAnsi="仿宋" w:eastAsia="仿宋_GB2312" w:cs="Times New Roman"/>
          <w:sz w:val="32"/>
          <w:szCs w:val="32"/>
        </w:rPr>
        <w:t>248</w:t>
      </w:r>
      <w:r>
        <w:rPr>
          <w:rFonts w:hint="default" w:ascii="仿宋_GB2312" w:hAnsi="仿宋" w:eastAsia="仿宋_GB2312" w:cs="Times New Roman"/>
          <w:sz w:val="32"/>
          <w:szCs w:val="32"/>
        </w:rPr>
        <w:t>件，解决</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不刑不罚、当罚未罚</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。开展行政违法行为监督，向行政执法单位发出检察建议27</w:t>
      </w:r>
      <w:r>
        <w:rPr>
          <w:rFonts w:hint="eastAsia" w:ascii="仿宋_GB2312" w:hAnsi="仿宋" w:eastAsia="仿宋_GB2312" w:cs="Times New Roman"/>
          <w:sz w:val="32"/>
          <w:szCs w:val="32"/>
        </w:rPr>
        <w:t>份</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促进</w:t>
      </w:r>
      <w:r>
        <w:rPr>
          <w:rFonts w:hint="default" w:ascii="仿宋_GB2312" w:hAnsi="仿宋" w:eastAsia="仿宋_GB2312" w:cs="Times New Roman"/>
          <w:sz w:val="32"/>
          <w:szCs w:val="32"/>
        </w:rPr>
        <w:t>依法行政。</w:t>
      </w:r>
    </w:p>
    <w:p w14:paraId="381BEF47">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公益诉讼检察持续</w:t>
      </w:r>
      <w:r>
        <w:rPr>
          <w:rFonts w:hint="eastAsia" w:ascii="仿宋_GB2312" w:hAnsi="仿宋" w:eastAsia="仿宋_GB2312" w:cs="Times New Roman"/>
          <w:sz w:val="32"/>
          <w:szCs w:val="32"/>
        </w:rPr>
        <w:t>向</w:t>
      </w:r>
      <w:r>
        <w:rPr>
          <w:rFonts w:hint="default" w:ascii="仿宋_GB2312" w:hAnsi="仿宋" w:eastAsia="仿宋_GB2312" w:cs="Times New Roman"/>
          <w:sz w:val="32"/>
          <w:szCs w:val="32"/>
        </w:rPr>
        <w:t>好。强化系统思维，坚持审前程序和提起诉讼双管齐下，办理行政公益诉讼案件</w:t>
      </w:r>
      <w:r>
        <w:rPr>
          <w:rFonts w:hint="eastAsia" w:ascii="仿宋_GB2312" w:hAnsi="仿宋" w:eastAsia="仿宋_GB2312" w:cs="Times New Roman"/>
          <w:sz w:val="32"/>
          <w:szCs w:val="32"/>
        </w:rPr>
        <w:t>156</w:t>
      </w:r>
      <w:r>
        <w:rPr>
          <w:rFonts w:hint="default" w:ascii="仿宋_GB2312" w:hAnsi="仿宋" w:eastAsia="仿宋_GB2312" w:cs="Times New Roman"/>
          <w:sz w:val="32"/>
          <w:szCs w:val="32"/>
        </w:rPr>
        <w:t>件、民事公益诉讼</w:t>
      </w:r>
      <w:r>
        <w:rPr>
          <w:rFonts w:hint="eastAsia" w:ascii="仿宋_GB2312" w:hAnsi="仿宋" w:eastAsia="仿宋_GB2312" w:cs="Times New Roman"/>
          <w:sz w:val="32"/>
          <w:szCs w:val="32"/>
        </w:rPr>
        <w:t>60</w:t>
      </w:r>
      <w:r>
        <w:rPr>
          <w:rFonts w:hint="default" w:ascii="仿宋_GB2312" w:hAnsi="仿宋" w:eastAsia="仿宋_GB2312" w:cs="Times New Roman"/>
          <w:sz w:val="32"/>
          <w:szCs w:val="32"/>
        </w:rPr>
        <w:t>件，发出检察建议</w:t>
      </w:r>
      <w:r>
        <w:rPr>
          <w:rFonts w:hint="eastAsia" w:ascii="仿宋_GB2312" w:hAnsi="仿宋" w:eastAsia="仿宋_GB2312" w:cs="Times New Roman"/>
          <w:sz w:val="32"/>
          <w:szCs w:val="32"/>
        </w:rPr>
        <w:t>142份</w:t>
      </w:r>
      <w:r>
        <w:rPr>
          <w:rFonts w:hint="default" w:ascii="仿宋_GB2312" w:hAnsi="仿宋" w:eastAsia="仿宋_GB2312" w:cs="Times New Roman"/>
          <w:sz w:val="32"/>
          <w:szCs w:val="32"/>
        </w:rPr>
        <w:t>，起诉</w:t>
      </w:r>
      <w:r>
        <w:rPr>
          <w:rFonts w:hint="eastAsia" w:ascii="仿宋_GB2312" w:hAnsi="仿宋" w:eastAsia="仿宋_GB2312" w:cs="Times New Roman"/>
          <w:sz w:val="32"/>
          <w:szCs w:val="32"/>
        </w:rPr>
        <w:t>30</w:t>
      </w:r>
      <w:r>
        <w:rPr>
          <w:rFonts w:hint="default" w:ascii="仿宋_GB2312" w:hAnsi="仿宋" w:eastAsia="仿宋_GB2312" w:cs="Times New Roman"/>
          <w:sz w:val="32"/>
          <w:szCs w:val="32"/>
        </w:rPr>
        <w:t>件。开展违规使用医保基金专项监督，发出检察建议</w:t>
      </w:r>
      <w:r>
        <w:rPr>
          <w:rFonts w:hint="eastAsia" w:ascii="仿宋_GB2312" w:hAnsi="仿宋" w:eastAsia="仿宋_GB2312" w:cs="Times New Roman"/>
          <w:sz w:val="32"/>
          <w:szCs w:val="32"/>
        </w:rPr>
        <w:t>5份</w:t>
      </w:r>
      <w:r>
        <w:rPr>
          <w:rFonts w:hint="default" w:ascii="仿宋_GB2312" w:hAnsi="仿宋" w:eastAsia="仿宋_GB2312" w:cs="Times New Roman"/>
          <w:sz w:val="32"/>
          <w:szCs w:val="32"/>
        </w:rPr>
        <w:t>，追回医保资金</w:t>
      </w:r>
      <w:r>
        <w:rPr>
          <w:rFonts w:hint="eastAsia" w:ascii="仿宋_GB2312" w:hAnsi="仿宋" w:eastAsia="仿宋_GB2312" w:cs="Times New Roman"/>
          <w:sz w:val="32"/>
          <w:szCs w:val="32"/>
        </w:rPr>
        <w:t>65</w:t>
      </w:r>
      <w:r>
        <w:rPr>
          <w:rFonts w:hint="default" w:ascii="仿宋_GB2312" w:hAnsi="仿宋" w:eastAsia="仿宋_GB2312" w:cs="Times New Roman"/>
          <w:sz w:val="32"/>
          <w:szCs w:val="32"/>
        </w:rPr>
        <w:t>万余元</w:t>
      </w:r>
      <w:r>
        <w:rPr>
          <w:rFonts w:hint="eastAsia" w:ascii="仿宋_GB2312" w:hAnsi="仿宋" w:eastAsia="仿宋_GB2312" w:cs="Times New Roman"/>
          <w:sz w:val="32"/>
          <w:szCs w:val="32"/>
        </w:rPr>
        <w:t>，守好百姓“救命钱”</w:t>
      </w:r>
      <w:r>
        <w:rPr>
          <w:rFonts w:hint="default" w:ascii="仿宋_GB2312" w:hAnsi="仿宋" w:eastAsia="仿宋_GB2312" w:cs="Times New Roman"/>
          <w:sz w:val="32"/>
          <w:szCs w:val="32"/>
        </w:rPr>
        <w:t>。开展机动车驾培机构偷逃税款专项监督，督促追缴各类税款120万余元。</w:t>
      </w:r>
      <w:r>
        <w:rPr>
          <w:rFonts w:hint="eastAsia" w:ascii="仿宋_GB2312" w:hAnsi="仿宋" w:eastAsia="仿宋_GB2312" w:cs="Times New Roman"/>
          <w:sz w:val="32"/>
          <w:szCs w:val="32"/>
        </w:rPr>
        <w:t>与</w:t>
      </w:r>
      <w:r>
        <w:rPr>
          <w:rFonts w:hint="default" w:ascii="仿宋_GB2312" w:hAnsi="仿宋" w:eastAsia="仿宋_GB2312" w:cs="Times New Roman"/>
          <w:sz w:val="32"/>
          <w:szCs w:val="32"/>
        </w:rPr>
        <w:t>文广体旅、生态环境等部门及乡镇</w:t>
      </w:r>
      <w:r>
        <w:rPr>
          <w:rFonts w:hint="eastAsia" w:ascii="仿宋_GB2312" w:hAnsi="仿宋" w:eastAsia="仿宋_GB2312" w:cs="Times New Roman"/>
          <w:sz w:val="32"/>
          <w:szCs w:val="32"/>
        </w:rPr>
        <w:t>政府</w:t>
      </w:r>
      <w:r>
        <w:rPr>
          <w:rFonts w:hint="default" w:ascii="仿宋_GB2312" w:hAnsi="仿宋" w:eastAsia="仿宋_GB2312" w:cs="Times New Roman"/>
          <w:sz w:val="32"/>
          <w:szCs w:val="32"/>
        </w:rPr>
        <w:t>、企业开展磋商，推动消除</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网红</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景点、露营地环境污染、违规用火等风险隐患，助推乡村文旅产业健康发展。</w:t>
      </w:r>
    </w:p>
    <w:p w14:paraId="2590A566">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监督机制持续创新。紧扣全面深化改革要求，在全省率先探索</w:t>
      </w:r>
      <w:r>
        <w:rPr>
          <w:rFonts w:hint="eastAsia" w:ascii="仿宋_GB2312" w:hAnsi="仿宋" w:eastAsia="仿宋_GB2312" w:cs="Times New Roman"/>
          <w:sz w:val="32"/>
          <w:szCs w:val="32"/>
        </w:rPr>
        <w:t>建立“一府一委两院”</w:t>
      </w:r>
      <w:r>
        <w:rPr>
          <w:rFonts w:hint="default" w:ascii="仿宋_GB2312" w:hAnsi="仿宋" w:eastAsia="仿宋_GB2312" w:cs="Times New Roman"/>
          <w:sz w:val="32"/>
          <w:szCs w:val="32"/>
        </w:rPr>
        <w:t>行政执法协同监督机制，实现行政执法+监察+审判+检察监督</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四轮驱动</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，助力更高水平的法治政府建设。持续深化党委政法委执法监督和检察机关法律监督有机衔接，开展</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进驻式</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专项检查，先后抽查案件</w:t>
      </w:r>
      <w:r>
        <w:rPr>
          <w:rFonts w:hint="eastAsia" w:ascii="仿宋_GB2312" w:hAnsi="仿宋" w:eastAsia="仿宋_GB2312" w:cs="Times New Roman"/>
          <w:sz w:val="32"/>
          <w:szCs w:val="32"/>
        </w:rPr>
        <w:t>10373</w:t>
      </w:r>
      <w:r>
        <w:rPr>
          <w:rFonts w:hint="default" w:ascii="仿宋_GB2312" w:hAnsi="仿宋" w:eastAsia="仿宋_GB2312" w:cs="Times New Roman"/>
          <w:sz w:val="32"/>
          <w:szCs w:val="32"/>
        </w:rPr>
        <w:t>件，</w:t>
      </w:r>
      <w:r>
        <w:rPr>
          <w:rFonts w:hint="eastAsia" w:ascii="仿宋_GB2312" w:hAnsi="仿宋" w:eastAsia="仿宋_GB2312" w:cs="Times New Roman"/>
          <w:sz w:val="32"/>
          <w:szCs w:val="32"/>
        </w:rPr>
        <w:t>同比上升33</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发现问题线索</w:t>
      </w:r>
      <w:r>
        <w:rPr>
          <w:rFonts w:hint="eastAsia" w:ascii="仿宋_GB2312" w:hAnsi="仿宋" w:eastAsia="仿宋_GB2312" w:cs="Times New Roman"/>
          <w:sz w:val="32"/>
          <w:szCs w:val="32"/>
        </w:rPr>
        <w:t>306</w:t>
      </w:r>
      <w:r>
        <w:rPr>
          <w:rFonts w:hint="default" w:ascii="仿宋_GB2312" w:hAnsi="仿宋" w:eastAsia="仿宋_GB2312" w:cs="Times New Roman"/>
          <w:sz w:val="32"/>
          <w:szCs w:val="32"/>
        </w:rPr>
        <w:t>条，提起诉讼、纠正违法、发出检察建议等</w:t>
      </w:r>
      <w:r>
        <w:rPr>
          <w:rFonts w:hint="eastAsia" w:ascii="仿宋_GB2312" w:hAnsi="仿宋" w:eastAsia="仿宋_GB2312" w:cs="Times New Roman"/>
          <w:sz w:val="32"/>
          <w:szCs w:val="32"/>
        </w:rPr>
        <w:t>193份</w:t>
      </w:r>
      <w:r>
        <w:rPr>
          <w:rFonts w:hint="default" w:ascii="仿宋_GB2312" w:hAnsi="仿宋" w:eastAsia="仿宋_GB2312" w:cs="Times New Roman"/>
          <w:sz w:val="32"/>
          <w:szCs w:val="32"/>
        </w:rPr>
        <w:t>，督促整改问题案件</w:t>
      </w:r>
      <w:r>
        <w:rPr>
          <w:rFonts w:hint="eastAsia" w:ascii="仿宋_GB2312" w:hAnsi="仿宋" w:eastAsia="仿宋_GB2312" w:cs="Times New Roman"/>
          <w:sz w:val="32"/>
          <w:szCs w:val="32"/>
        </w:rPr>
        <w:t>208</w:t>
      </w:r>
      <w:r>
        <w:rPr>
          <w:rFonts w:hint="default" w:ascii="仿宋_GB2312" w:hAnsi="仿宋" w:eastAsia="仿宋_GB2312" w:cs="Times New Roman"/>
          <w:sz w:val="32"/>
          <w:szCs w:val="32"/>
        </w:rPr>
        <w:t>件，追责问责</w:t>
      </w:r>
      <w:r>
        <w:rPr>
          <w:rFonts w:hint="eastAsia" w:ascii="仿宋_GB2312" w:hAnsi="仿宋" w:eastAsia="仿宋_GB2312" w:cs="Times New Roman"/>
          <w:sz w:val="32"/>
          <w:szCs w:val="32"/>
        </w:rPr>
        <w:t>70</w:t>
      </w:r>
      <w:r>
        <w:rPr>
          <w:rFonts w:hint="default" w:ascii="仿宋_GB2312" w:hAnsi="仿宋" w:eastAsia="仿宋_GB2312" w:cs="Times New Roman"/>
          <w:sz w:val="32"/>
          <w:szCs w:val="32"/>
        </w:rPr>
        <w:t>人次，做实全链条、闭环式、立体化监督。该项工作机制获评全省检察改革创新项目，入选</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四川法治蓝皮书</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，在中央政法委执法司法监督专题培训班上</w:t>
      </w:r>
      <w:r>
        <w:rPr>
          <w:rFonts w:hint="eastAsia" w:ascii="仿宋_GB2312" w:hAnsi="仿宋" w:eastAsia="仿宋_GB2312" w:cs="Times New Roman"/>
          <w:sz w:val="32"/>
          <w:szCs w:val="32"/>
        </w:rPr>
        <w:t>作</w:t>
      </w:r>
      <w:r>
        <w:rPr>
          <w:rFonts w:hint="default" w:ascii="仿宋_GB2312" w:hAnsi="仿宋" w:eastAsia="仿宋_GB2312" w:cs="Times New Roman"/>
          <w:sz w:val="32"/>
          <w:szCs w:val="32"/>
        </w:rPr>
        <w:t>经验交流。</w:t>
      </w:r>
    </w:p>
    <w:p w14:paraId="0D9AEFBD">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聚焦</w:t>
      </w:r>
      <w:r>
        <w:rPr>
          <w:rFonts w:hint="default" w:ascii="仿宋_GB2312" w:hAnsi="仿宋" w:eastAsia="仿宋_GB2312" w:cs="Times New Roman"/>
          <w:sz w:val="32"/>
          <w:szCs w:val="32"/>
        </w:rPr>
        <w:t>夯基固本，以检察之</w:t>
      </w:r>
      <w:r>
        <w:rPr>
          <w:rFonts w:hint="eastAsia" w:ascii="仿宋_GB2312" w:hAnsi="仿宋" w:eastAsia="仿宋_GB2312" w:cs="Times New Roman"/>
          <w:sz w:val="32"/>
          <w:szCs w:val="32"/>
        </w:rPr>
        <w:t>策</w:t>
      </w:r>
      <w:r>
        <w:rPr>
          <w:rFonts w:hint="default" w:ascii="仿宋_GB2312" w:hAnsi="仿宋" w:eastAsia="仿宋_GB2312" w:cs="Times New Roman"/>
          <w:sz w:val="32"/>
          <w:szCs w:val="32"/>
        </w:rPr>
        <w:t>锻造高</w:t>
      </w:r>
      <w:r>
        <w:rPr>
          <w:rFonts w:hint="eastAsia" w:ascii="仿宋_GB2312" w:hAnsi="仿宋" w:eastAsia="仿宋_GB2312" w:cs="Times New Roman"/>
          <w:sz w:val="32"/>
          <w:szCs w:val="32"/>
        </w:rPr>
        <w:t>素质干警</w:t>
      </w:r>
      <w:r>
        <w:rPr>
          <w:rFonts w:hint="default" w:ascii="仿宋_GB2312" w:hAnsi="仿宋" w:eastAsia="仿宋_GB2312" w:cs="Times New Roman"/>
          <w:sz w:val="32"/>
          <w:szCs w:val="32"/>
        </w:rPr>
        <w:t>队伍</w:t>
      </w:r>
    </w:p>
    <w:p w14:paraId="0C2A3656">
      <w:pPr>
        <w:snapToGrid w:val="0"/>
        <w:spacing w:line="520" w:lineRule="exact"/>
        <w:ind w:firstLine="640" w:firstLineChars="200"/>
        <w:rPr>
          <w:rFonts w:hint="default" w:ascii="仿宋_GB2312" w:hAnsi="仿宋" w:eastAsia="仿宋_GB2312" w:cs="Times New Roman"/>
          <w:sz w:val="32"/>
          <w:szCs w:val="32"/>
        </w:rPr>
      </w:pPr>
      <w:r>
        <w:rPr>
          <w:rFonts w:hint="eastAsia" w:ascii="仿宋_GB2312" w:hAnsi="仿宋" w:eastAsia="仿宋_GB2312" w:cs="Times New Roman"/>
          <w:sz w:val="32"/>
          <w:szCs w:val="32"/>
        </w:rPr>
        <w:t>坚持“基层是一切工作的落脚点”，以打铁必须自身硬的坚强定力构建一支忠诚干净担当的新时代检察铁军。</w:t>
      </w:r>
    </w:p>
    <w:p w14:paraId="1AD82AAD">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管党治检重引领。</w:t>
      </w:r>
      <w:r>
        <w:rPr>
          <w:rFonts w:hint="eastAsia" w:ascii="仿宋_GB2312" w:hAnsi="仿宋" w:eastAsia="仿宋_GB2312" w:cs="Times New Roman"/>
          <w:sz w:val="32"/>
          <w:szCs w:val="32"/>
        </w:rPr>
        <w:t>铸忠诚之魂，</w:t>
      </w:r>
      <w:r>
        <w:rPr>
          <w:rFonts w:hint="default" w:ascii="仿宋_GB2312" w:hAnsi="仿宋" w:eastAsia="仿宋_GB2312" w:cs="Times New Roman"/>
          <w:sz w:val="32"/>
          <w:szCs w:val="32"/>
        </w:rPr>
        <w:t>深入学习贯彻党的二十届三中全会精神，坚定拥护</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两个确立</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、坚决做到</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两个维护</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推进党建带业务，实现同频共振，“检察+邻里”工作机制获评全省检察机关党建与业务融合典型事例。强正义之音，</w:t>
      </w:r>
      <w:r>
        <w:rPr>
          <w:rFonts w:hint="default" w:ascii="仿宋_GB2312" w:hAnsi="仿宋" w:eastAsia="仿宋_GB2312" w:cs="Times New Roman"/>
          <w:sz w:val="32"/>
          <w:szCs w:val="32"/>
        </w:rPr>
        <w:t>抓实意识形态</w:t>
      </w:r>
      <w:r>
        <w:rPr>
          <w:rFonts w:hint="eastAsia" w:ascii="仿宋_GB2312" w:hAnsi="仿宋" w:eastAsia="仿宋_GB2312" w:cs="Times New Roman"/>
          <w:sz w:val="32"/>
          <w:szCs w:val="32"/>
        </w:rPr>
        <w:t>工作</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打造检察新媒体矩阵，122篇信息获国省采编，唱响</w:t>
      </w:r>
      <w:r>
        <w:rPr>
          <w:rFonts w:hint="default" w:ascii="仿宋_GB2312" w:hAnsi="仿宋" w:eastAsia="仿宋_GB2312" w:cs="Times New Roman"/>
          <w:sz w:val="32"/>
          <w:szCs w:val="32"/>
        </w:rPr>
        <w:t>检察主旋律</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新媒体作品《网络谣言的罪与罚》获评第六届</w:t>
      </w:r>
      <w:r>
        <w:rPr>
          <w:rFonts w:hint="eastAsia" w:ascii="仿宋_GB2312" w:hAnsi="仿宋" w:eastAsia="仿宋_GB2312" w:cs="Times New Roman"/>
          <w:sz w:val="32"/>
          <w:szCs w:val="32"/>
        </w:rPr>
        <w:t>中国</w:t>
      </w:r>
      <w:r>
        <w:rPr>
          <w:rFonts w:hint="default" w:ascii="仿宋_GB2312" w:hAnsi="仿宋" w:eastAsia="仿宋_GB2312" w:cs="Times New Roman"/>
          <w:sz w:val="32"/>
          <w:szCs w:val="32"/>
        </w:rPr>
        <w:t>互联网辟谣优秀作品。</w:t>
      </w:r>
    </w:p>
    <w:p w14:paraId="467C8F20">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人才培育优素能。用好</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政法大讲堂</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巴山检论</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等教育培训平台，组织开展专题讲座、业务培训、技能竞赛等</w:t>
      </w:r>
      <w:r>
        <w:rPr>
          <w:rFonts w:hint="eastAsia" w:ascii="仿宋_GB2312" w:hAnsi="仿宋" w:eastAsia="仿宋_GB2312" w:cs="Times New Roman"/>
          <w:sz w:val="32"/>
          <w:szCs w:val="32"/>
        </w:rPr>
        <w:t>21</w:t>
      </w:r>
      <w:r>
        <w:rPr>
          <w:rFonts w:hint="default" w:ascii="仿宋_GB2312" w:hAnsi="仿宋" w:eastAsia="仿宋_GB2312" w:cs="Times New Roman"/>
          <w:sz w:val="32"/>
          <w:szCs w:val="32"/>
        </w:rPr>
        <w:t>场次，实现教育培训全覆盖，</w:t>
      </w:r>
      <w:r>
        <w:rPr>
          <w:rFonts w:hint="eastAsia" w:ascii="仿宋_GB2312" w:hAnsi="仿宋" w:eastAsia="仿宋_GB2312" w:cs="Times New Roman"/>
          <w:sz w:val="32"/>
          <w:szCs w:val="32"/>
        </w:rPr>
        <w:t>5</w:t>
      </w:r>
      <w:r>
        <w:rPr>
          <w:rFonts w:hint="default" w:ascii="仿宋_GB2312" w:hAnsi="仿宋" w:eastAsia="仿宋_GB2312" w:cs="Times New Roman"/>
          <w:sz w:val="32"/>
          <w:szCs w:val="32"/>
        </w:rPr>
        <w:t>名干警在全省业务竞赛中获奖，</w:t>
      </w:r>
      <w:r>
        <w:rPr>
          <w:rFonts w:hint="eastAsia" w:ascii="仿宋_GB2312" w:hAnsi="仿宋" w:eastAsia="仿宋_GB2312" w:cs="Times New Roman"/>
          <w:sz w:val="32"/>
          <w:szCs w:val="32"/>
        </w:rPr>
        <w:t>16</w:t>
      </w:r>
      <w:r>
        <w:rPr>
          <w:rFonts w:hint="default" w:ascii="仿宋_GB2312" w:hAnsi="仿宋" w:eastAsia="仿宋_GB2312" w:cs="Times New Roman"/>
          <w:sz w:val="32"/>
          <w:szCs w:val="32"/>
        </w:rPr>
        <w:t>名干警入选全省检察机关人才库</w:t>
      </w:r>
      <w:r>
        <w:rPr>
          <w:rFonts w:hint="eastAsia" w:ascii="仿宋_GB2312" w:hAnsi="仿宋" w:eastAsia="仿宋_GB2312" w:cs="Times New Roman"/>
          <w:sz w:val="32"/>
          <w:szCs w:val="32"/>
        </w:rPr>
        <w:t>，2名干警在全国检察征文中获奖。加强人才交流，通过公开招录、</w:t>
      </w:r>
      <w:r>
        <w:rPr>
          <w:rFonts w:hint="default" w:ascii="仿宋_GB2312" w:hAnsi="仿宋" w:eastAsia="仿宋_GB2312" w:cs="Times New Roman"/>
          <w:sz w:val="32"/>
          <w:szCs w:val="32"/>
        </w:rPr>
        <w:t>遴选</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双向互派等方式</w:t>
      </w:r>
      <w:r>
        <w:rPr>
          <w:rFonts w:hint="eastAsia" w:ascii="仿宋_GB2312" w:hAnsi="仿宋" w:eastAsia="仿宋_GB2312" w:cs="Times New Roman"/>
          <w:sz w:val="32"/>
          <w:szCs w:val="32"/>
        </w:rPr>
        <w:t>，激发队伍活力</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新录用干警15名，2</w:t>
      </w:r>
      <w:r>
        <w:rPr>
          <w:rFonts w:hint="default" w:ascii="仿宋_GB2312" w:hAnsi="仿宋" w:eastAsia="仿宋_GB2312" w:cs="Times New Roman"/>
          <w:sz w:val="32"/>
          <w:szCs w:val="32"/>
        </w:rPr>
        <w:t>名干警上下交流任职。鲜明用人导向，对</w:t>
      </w:r>
      <w:r>
        <w:rPr>
          <w:rFonts w:hint="eastAsia" w:ascii="仿宋_GB2312" w:hAnsi="仿宋" w:eastAsia="仿宋_GB2312" w:cs="Times New Roman"/>
          <w:sz w:val="32"/>
          <w:szCs w:val="32"/>
        </w:rPr>
        <w:t>51</w:t>
      </w:r>
      <w:r>
        <w:rPr>
          <w:rFonts w:hint="default" w:ascii="仿宋_GB2312" w:hAnsi="仿宋" w:eastAsia="仿宋_GB2312" w:cs="Times New Roman"/>
          <w:sz w:val="32"/>
          <w:szCs w:val="32"/>
        </w:rPr>
        <w:t>名政治过硬、业绩突出的干警提拔使用、晋升职级，激励担当作为。</w:t>
      </w:r>
    </w:p>
    <w:p w14:paraId="6163AED9">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数字赋能提质效。深入实施</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数字检察</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战略</w:t>
      </w:r>
      <w:r>
        <w:rPr>
          <w:rFonts w:hint="eastAsia" w:ascii="仿宋_GB2312" w:hAnsi="仿宋" w:eastAsia="仿宋_GB2312" w:cs="Times New Roman"/>
          <w:sz w:val="32"/>
          <w:szCs w:val="32"/>
        </w:rPr>
        <w:t>，推行“</w:t>
      </w:r>
      <w:r>
        <w:rPr>
          <w:rFonts w:hint="default" w:ascii="仿宋_GB2312" w:hAnsi="仿宋" w:eastAsia="仿宋_GB2312" w:cs="Times New Roman"/>
          <w:sz w:val="32"/>
          <w:szCs w:val="32"/>
        </w:rPr>
        <w:t>业务主导、数据整合、技术支撑、重在应用</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的</w:t>
      </w:r>
      <w:r>
        <w:rPr>
          <w:rFonts w:hint="eastAsia" w:ascii="仿宋_GB2312" w:hAnsi="仿宋" w:eastAsia="仿宋_GB2312" w:cs="Times New Roman"/>
          <w:sz w:val="32"/>
          <w:szCs w:val="32"/>
        </w:rPr>
        <w:t>工作模式</w:t>
      </w:r>
      <w:r>
        <w:rPr>
          <w:rFonts w:hint="default" w:ascii="仿宋_GB2312" w:hAnsi="仿宋" w:eastAsia="仿宋_GB2312" w:cs="Times New Roman"/>
          <w:sz w:val="32"/>
          <w:szCs w:val="32"/>
        </w:rPr>
        <w:t>。加强大数据法律监督模型应用，</w:t>
      </w:r>
      <w:r>
        <w:rPr>
          <w:rFonts w:hint="eastAsia" w:ascii="仿宋_GB2312" w:hAnsi="仿宋" w:eastAsia="仿宋_GB2312" w:cs="Times New Roman"/>
          <w:sz w:val="32"/>
          <w:szCs w:val="32"/>
        </w:rPr>
        <w:t>从全国模型库中</w:t>
      </w:r>
      <w:r>
        <w:rPr>
          <w:rFonts w:hint="default" w:ascii="仿宋_GB2312" w:hAnsi="仿宋" w:eastAsia="仿宋_GB2312" w:cs="Times New Roman"/>
          <w:sz w:val="32"/>
          <w:szCs w:val="32"/>
        </w:rPr>
        <w:t>优选81个</w:t>
      </w:r>
      <w:r>
        <w:rPr>
          <w:rFonts w:hint="eastAsia" w:ascii="仿宋_GB2312" w:hAnsi="仿宋" w:eastAsia="仿宋_GB2312" w:cs="Times New Roman"/>
          <w:sz w:val="32"/>
          <w:szCs w:val="32"/>
          <w:lang w:eastAsia="zh-CN"/>
        </w:rPr>
        <w:t>模型用于</w:t>
      </w:r>
      <w:r>
        <w:rPr>
          <w:rFonts w:hint="eastAsia" w:ascii="仿宋_GB2312" w:hAnsi="仿宋" w:eastAsia="仿宋_GB2312" w:cs="Times New Roman"/>
          <w:sz w:val="32"/>
          <w:szCs w:val="32"/>
        </w:rPr>
        <w:t>辅助</w:t>
      </w:r>
      <w:r>
        <w:rPr>
          <w:rFonts w:hint="default" w:ascii="仿宋_GB2312" w:hAnsi="仿宋" w:eastAsia="仿宋_GB2312" w:cs="Times New Roman"/>
          <w:sz w:val="32"/>
          <w:szCs w:val="32"/>
        </w:rPr>
        <w:t>办案，发现线索3608条，监督办案39件。加大法律监督模型研发力度，</w:t>
      </w:r>
      <w:r>
        <w:rPr>
          <w:rFonts w:hint="eastAsia" w:ascii="仿宋_GB2312" w:hAnsi="仿宋" w:eastAsia="仿宋_GB2312" w:cs="Times New Roman"/>
          <w:sz w:val="32"/>
          <w:szCs w:val="32"/>
        </w:rPr>
        <w:t>自行</w:t>
      </w:r>
      <w:r>
        <w:rPr>
          <w:rFonts w:hint="default" w:ascii="仿宋_GB2312" w:hAnsi="仿宋" w:eastAsia="仿宋_GB2312" w:cs="Times New Roman"/>
          <w:sz w:val="32"/>
          <w:szCs w:val="32"/>
        </w:rPr>
        <w:t>研发大数据模型</w:t>
      </w:r>
      <w:r>
        <w:rPr>
          <w:rFonts w:hint="eastAsia" w:ascii="仿宋_GB2312" w:hAnsi="仿宋" w:eastAsia="仿宋_GB2312" w:cs="Times New Roman"/>
          <w:sz w:val="32"/>
          <w:szCs w:val="32"/>
        </w:rPr>
        <w:t>1</w:t>
      </w:r>
      <w:r>
        <w:rPr>
          <w:rFonts w:hint="default" w:ascii="仿宋_GB2312" w:hAnsi="仿宋" w:eastAsia="仿宋_GB2312" w:cs="Times New Roman"/>
          <w:sz w:val="32"/>
          <w:szCs w:val="32"/>
        </w:rPr>
        <w:t>6个</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虚构劳动报酬类案监督模型</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获全省</w:t>
      </w:r>
      <w:r>
        <w:rPr>
          <w:rFonts w:hint="eastAsia" w:ascii="仿宋_GB2312" w:hAnsi="仿宋" w:eastAsia="仿宋_GB2312" w:cs="Times New Roman"/>
          <w:sz w:val="32"/>
          <w:szCs w:val="32"/>
        </w:rPr>
        <w:t>检察机关模型</w:t>
      </w:r>
      <w:r>
        <w:rPr>
          <w:rFonts w:hint="default" w:ascii="仿宋_GB2312" w:hAnsi="仿宋" w:eastAsia="仿宋_GB2312" w:cs="Times New Roman"/>
          <w:sz w:val="32"/>
          <w:szCs w:val="32"/>
        </w:rPr>
        <w:t>竞赛二等奖</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刑事裁判涉财产部分执行违法类案监督模型</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获首届全省</w:t>
      </w:r>
      <w:r>
        <w:rPr>
          <w:rFonts w:hint="eastAsia" w:ascii="仿宋_GB2312" w:hAnsi="仿宋" w:eastAsia="仿宋_GB2312" w:cs="Times New Roman"/>
          <w:sz w:val="32"/>
          <w:szCs w:val="32"/>
        </w:rPr>
        <w:t>检察机关“</w:t>
      </w:r>
      <w:r>
        <w:rPr>
          <w:rFonts w:hint="default" w:ascii="仿宋_GB2312" w:hAnsi="仿宋" w:eastAsia="仿宋_GB2312" w:cs="Times New Roman"/>
          <w:sz w:val="32"/>
          <w:szCs w:val="32"/>
        </w:rPr>
        <w:t>金点子</w:t>
      </w:r>
      <w:r>
        <w:rPr>
          <w:rFonts w:hint="eastAsia" w:ascii="仿宋_GB2312" w:hAnsi="仿宋" w:eastAsia="仿宋_GB2312" w:cs="Times New Roman"/>
          <w:sz w:val="32"/>
          <w:szCs w:val="32"/>
        </w:rPr>
        <w:t>”</w:t>
      </w:r>
      <w:r>
        <w:rPr>
          <w:rFonts w:hint="default" w:ascii="仿宋_GB2312" w:hAnsi="仿宋" w:eastAsia="仿宋_GB2312" w:cs="Times New Roman"/>
          <w:sz w:val="32"/>
          <w:szCs w:val="32"/>
        </w:rPr>
        <w:t>创意大赛三等奖。</w:t>
      </w:r>
    </w:p>
    <w:p w14:paraId="06392B9B">
      <w:pPr>
        <w:snapToGrid w:val="0"/>
        <w:spacing w:line="520" w:lineRule="exact"/>
        <w:ind w:firstLine="640" w:firstLineChars="200"/>
        <w:rPr>
          <w:rFonts w:hint="default" w:ascii="仿宋_GB2312" w:hAnsi="仿宋" w:eastAsia="仿宋_GB2312" w:cs="Times New Roman"/>
          <w:sz w:val="32"/>
          <w:szCs w:val="32"/>
        </w:rPr>
      </w:pPr>
      <w:r>
        <w:rPr>
          <w:rFonts w:hint="default" w:ascii="仿宋_GB2312" w:hAnsi="仿宋" w:eastAsia="仿宋_GB2312" w:cs="Times New Roman"/>
          <w:sz w:val="32"/>
          <w:szCs w:val="32"/>
        </w:rPr>
        <w:t>一年来，全市检察</w:t>
      </w:r>
      <w:r>
        <w:rPr>
          <w:rFonts w:hint="eastAsia" w:ascii="仿宋_GB2312" w:hAnsi="仿宋" w:eastAsia="仿宋_GB2312" w:cs="Times New Roman"/>
          <w:sz w:val="32"/>
          <w:szCs w:val="32"/>
        </w:rPr>
        <w:t>机关有11</w:t>
      </w:r>
      <w:r>
        <w:rPr>
          <w:rFonts w:hint="default" w:ascii="仿宋_GB2312" w:hAnsi="仿宋" w:eastAsia="仿宋_GB2312" w:cs="Times New Roman"/>
          <w:sz w:val="32"/>
          <w:szCs w:val="32"/>
        </w:rPr>
        <w:t>个案件获评省级及以上典型、优秀案例，</w:t>
      </w:r>
      <w:r>
        <w:rPr>
          <w:rFonts w:hint="eastAsia" w:ascii="仿宋_GB2312" w:hAnsi="仿宋" w:eastAsia="仿宋_GB2312" w:cs="Times New Roman"/>
          <w:sz w:val="32"/>
          <w:szCs w:val="32"/>
        </w:rPr>
        <w:t>14</w:t>
      </w:r>
      <w:r>
        <w:rPr>
          <w:rFonts w:hint="default" w:ascii="仿宋_GB2312" w:hAnsi="仿宋" w:eastAsia="仿宋_GB2312" w:cs="Times New Roman"/>
          <w:sz w:val="32"/>
          <w:szCs w:val="32"/>
        </w:rPr>
        <w:t>项调研成果获得</w:t>
      </w:r>
      <w:r>
        <w:rPr>
          <w:rFonts w:hint="eastAsia" w:ascii="仿宋_GB2312" w:hAnsi="仿宋" w:eastAsia="仿宋_GB2312" w:cs="Times New Roman"/>
          <w:sz w:val="32"/>
          <w:szCs w:val="32"/>
        </w:rPr>
        <w:t>省</w:t>
      </w:r>
      <w:r>
        <w:rPr>
          <w:rFonts w:hint="default" w:ascii="仿宋_GB2312" w:hAnsi="仿宋" w:eastAsia="仿宋_GB2312" w:cs="Times New Roman"/>
          <w:sz w:val="32"/>
          <w:szCs w:val="32"/>
        </w:rPr>
        <w:t>级以上</w:t>
      </w:r>
      <w:r>
        <w:rPr>
          <w:rFonts w:hint="eastAsia" w:ascii="仿宋_GB2312" w:hAnsi="仿宋" w:eastAsia="仿宋_GB2312" w:cs="Times New Roman"/>
          <w:sz w:val="32"/>
          <w:szCs w:val="32"/>
        </w:rPr>
        <w:t>奖励，31</w:t>
      </w:r>
      <w:r>
        <w:rPr>
          <w:rFonts w:hint="default" w:ascii="仿宋_GB2312" w:hAnsi="仿宋" w:eastAsia="仿宋_GB2312" w:cs="Times New Roman"/>
          <w:sz w:val="32"/>
          <w:szCs w:val="32"/>
        </w:rPr>
        <w:t>个集体、</w:t>
      </w:r>
      <w:r>
        <w:rPr>
          <w:rFonts w:hint="eastAsia" w:ascii="仿宋_GB2312" w:hAnsi="仿宋" w:eastAsia="仿宋_GB2312" w:cs="Times New Roman"/>
          <w:sz w:val="32"/>
          <w:szCs w:val="32"/>
        </w:rPr>
        <w:t>35</w:t>
      </w:r>
      <w:r>
        <w:rPr>
          <w:rFonts w:hint="default" w:ascii="仿宋_GB2312" w:hAnsi="仿宋" w:eastAsia="仿宋_GB2312" w:cs="Times New Roman"/>
          <w:sz w:val="32"/>
          <w:szCs w:val="32"/>
        </w:rPr>
        <w:t>名干警获得市级以上荣誉。</w:t>
      </w:r>
    </w:p>
    <w:p w14:paraId="427771B5">
      <w:pPr>
        <w:snapToGrid w:val="0"/>
        <w:spacing w:line="52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二、收入支出预算执行情况分析</w:t>
      </w:r>
    </w:p>
    <w:bookmarkEnd w:id="3"/>
    <w:p w14:paraId="7CFFA035">
      <w:p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（一）收入支出预算安排情况。</w:t>
      </w:r>
    </w:p>
    <w:p w14:paraId="55676CDE">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本年收入年初预算数2746.4万元，较上年增加319.26万元，增长13.15%，变动原因是：本年年初预算口径发生变化。本年收入全年预算数3219.36万元，较上年增加317.07万元，增长10.92%。</w:t>
      </w:r>
    </w:p>
    <w:p w14:paraId="37AB06D0">
      <w:pPr>
        <w:pStyle w:val="2"/>
        <w:rPr>
          <w:rFonts w:hint="eastAsia"/>
          <w:lang w:val="en-US" w:eastAsia="zh-CN"/>
        </w:rPr>
      </w:pPr>
    </w:p>
    <w:p w14:paraId="264AA43C">
      <w:pPr>
        <w:pStyle w:val="2"/>
        <w:rPr>
          <w:rFonts w:hint="eastAsia"/>
          <w:lang w:val="en-US" w:eastAsia="zh-CN"/>
        </w:rPr>
      </w:pPr>
      <w:r>
        <w:drawing>
          <wp:inline distT="0" distB="0" distL="114300" distR="114300">
            <wp:extent cx="4831080" cy="2865120"/>
            <wp:effectExtent l="4445" t="4445" r="22225" b="698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20D529B">
      <w:pPr>
        <w:snapToGrid w:val="0"/>
        <w:spacing w:line="520" w:lineRule="exact"/>
        <w:ind w:firstLine="643" w:firstLineChars="200"/>
        <w:outlineLvl w:val="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（二）收入支出预算执行情况。</w:t>
      </w:r>
    </w:p>
    <w:p w14:paraId="14AAA67B">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本年收入决算数2998.17万元，较上年增加95.88万元，增长3.3%。变动原因是：根据以支定收要求，去年结转结余资金纳入本年收入。本年支出决算数2998.17万元，较上年增加95.88万元，增长3.3%。</w:t>
      </w:r>
    </w:p>
    <w:p w14:paraId="176650BE">
      <w:pPr>
        <w:pStyle w:val="2"/>
        <w:rPr>
          <w:rFonts w:hint="eastAsia"/>
          <w:lang w:val="en-US" w:eastAsia="zh-CN"/>
        </w:rPr>
      </w:pPr>
    </w:p>
    <w:p w14:paraId="0EFE952D">
      <w:pPr>
        <w:pStyle w:val="2"/>
      </w:pPr>
      <w:r>
        <w:drawing>
          <wp:inline distT="0" distB="0" distL="114300" distR="114300">
            <wp:extent cx="5090160" cy="2865120"/>
            <wp:effectExtent l="4445" t="4445" r="10795" b="698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6CAAC3A"/>
    <w:p w14:paraId="701947E7">
      <w:pPr>
        <w:pStyle w:val="2"/>
        <w:rPr>
          <w:rFonts w:hint="eastAsia"/>
          <w:lang w:val="en-US" w:eastAsia="zh-CN"/>
        </w:rPr>
      </w:pPr>
    </w:p>
    <w:p w14:paraId="20CDC7F7">
      <w:pPr>
        <w:snapToGrid w:val="0"/>
        <w:spacing w:line="52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1．收入支出与预算对比分析。</w:t>
      </w:r>
    </w:p>
    <w:p w14:paraId="2D11A26D">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（1）2024年预算收入2998.17万元，决算支出2998.17万元，差额为0万元。</w:t>
      </w:r>
    </w:p>
    <w:p w14:paraId="45D2160C">
      <w:pPr>
        <w:pStyle w:val="2"/>
        <w:rPr>
          <w:rFonts w:hint="eastAsia"/>
          <w:lang w:val="en-US" w:eastAsia="zh-CN"/>
        </w:rPr>
      </w:pPr>
    </w:p>
    <w:p w14:paraId="31750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表1 收入支出明细表</w:t>
      </w:r>
    </w:p>
    <w:p w14:paraId="6A680E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单位：元 </w:t>
      </w:r>
    </w:p>
    <w:tbl>
      <w:tblPr>
        <w:tblStyle w:val="10"/>
        <w:tblW w:w="8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
        <w:gridCol w:w="363"/>
        <w:gridCol w:w="339"/>
        <w:gridCol w:w="3231"/>
        <w:gridCol w:w="1694"/>
        <w:gridCol w:w="1721"/>
        <w:gridCol w:w="743"/>
      </w:tblGrid>
      <w:tr w14:paraId="7656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35" w:type="dxa"/>
            <w:tcBorders>
              <w:top w:val="single" w:color="000000" w:sz="4" w:space="0"/>
              <w:left w:val="single" w:color="000000" w:sz="4" w:space="0"/>
              <w:bottom w:val="single" w:color="000000" w:sz="4" w:space="0"/>
              <w:right w:val="single" w:color="000000" w:sz="4" w:space="0"/>
            </w:tcBorders>
            <w:noWrap/>
            <w:vAlign w:val="center"/>
          </w:tcPr>
          <w:p w14:paraId="45BA3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63" w:type="dxa"/>
            <w:tcBorders>
              <w:top w:val="single" w:color="000000" w:sz="4" w:space="0"/>
              <w:left w:val="single" w:color="000000" w:sz="4" w:space="0"/>
              <w:bottom w:val="single" w:color="000000" w:sz="4" w:space="0"/>
              <w:right w:val="single" w:color="000000" w:sz="4" w:space="0"/>
            </w:tcBorders>
            <w:noWrap/>
            <w:vAlign w:val="center"/>
          </w:tcPr>
          <w:p w14:paraId="28CA3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39" w:type="dxa"/>
            <w:tcBorders>
              <w:top w:val="single" w:color="000000" w:sz="4" w:space="0"/>
              <w:left w:val="single" w:color="000000" w:sz="4" w:space="0"/>
              <w:bottom w:val="single" w:color="000000" w:sz="4" w:space="0"/>
              <w:right w:val="single" w:color="000000" w:sz="4" w:space="0"/>
            </w:tcBorders>
            <w:noWrap/>
            <w:vAlign w:val="center"/>
          </w:tcPr>
          <w:p w14:paraId="78D4F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42DC2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4A41C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9792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4975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差额</w:t>
            </w:r>
          </w:p>
        </w:tc>
      </w:tr>
      <w:tr w14:paraId="146F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7399D019">
            <w:pPr>
              <w:rPr>
                <w:rFonts w:hint="eastAsia" w:ascii="宋体" w:hAnsi="宋体" w:eastAsia="宋体" w:cs="宋体"/>
                <w:i w:val="0"/>
                <w:iCs w:val="0"/>
                <w:color w:val="000000"/>
                <w:sz w:val="22"/>
                <w:szCs w:val="22"/>
                <w:u w:val="none"/>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1CA31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72CB4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29,981,651.46</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5708C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29,981,651.46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4375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71F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4EA4B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666EA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4198F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61,624.00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6A911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61,624.00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4EF9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C84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D586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26973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7D327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61,624.00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1E686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61,624.00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CF01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FCE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60666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2011105</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7EC18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派驻派出机构</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48C58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61,624.00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72222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61,624.00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D9AA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110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39263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0D8A9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1B31B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25,320,688.30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182F2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25,320,688.30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A335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876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3BB73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25974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783E5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25,320,688.30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ED4B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25,320,688.30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14F3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AAE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1B049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6A0F4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7C59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20,358,907.76</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438D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20,358,907.76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3DE94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4EE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723E9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2040402</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5CE3A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0FDA8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2,116,754.71</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694E2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2,116,754.71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4834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3BD0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7AA46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2040409</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4E31E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“两房”建设</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1B272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82,240.00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60D0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82,240.00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6E87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715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38B67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2040410</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34830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检察监督</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40CBA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1,795,274.56</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412B9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1,795,274.56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0BAA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B52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1B82A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2040450</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38B0A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18692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723,636.00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11AF0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723,636.00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9691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029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34F2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2040499</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7EB2C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其他检察支出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1038F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243,875.27</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5C24F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243,875.27</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5FEE8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514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7AEDF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1F93D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75E3F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1,863,632.16</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42C44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1,863,632.16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0BA5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8E3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93E0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1B828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B8D7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1,609,822.16</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3BCF9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1,609,822.16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4442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AE9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723F0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3AF2E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4E7C6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7323C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32801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B2E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44B37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39F8A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16E5F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1,605,622.16</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4ABE2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1,605,622.16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2393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4F7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0908E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42BB0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4C94E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252,727.00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747CE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252,727.00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65DC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3FC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63DE8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465C4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1AD4D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252,727.00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6FEDC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252,727.00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ECBE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C81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AE03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1253E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62609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FF57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58AA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606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44818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0B178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0CC8D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38C94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6ACE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01C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099DA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26FC3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114C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937,160.00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3432D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937,160.00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7C5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435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48A5C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39EE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7991E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937,160.00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F3D4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937,160.00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3488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9FB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0272F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771D6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D8B0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654,258.00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1807F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654,258.00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F5A8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2AE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52A2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071D1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2D62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37,320.00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5E62F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37,320.00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58214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35D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22E0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4FCFB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C75B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140,040.00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2DBEC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140,040.00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5E044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9FC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3A32A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4878D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0F150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105,542.00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7E37D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105,542.00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CD22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8E7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2A7BF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0A77C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7CDB8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1,798,547.00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74C38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1,798,547.00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1657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1FCA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18FD6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3FDFD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3C07B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1,798,547.00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31E0D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1,798,547.00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E996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D50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37" w:type="dxa"/>
            <w:gridSpan w:val="3"/>
            <w:tcBorders>
              <w:top w:val="single" w:color="000000" w:sz="4" w:space="0"/>
              <w:left w:val="single" w:color="000000" w:sz="4" w:space="0"/>
              <w:bottom w:val="single" w:color="000000" w:sz="4" w:space="0"/>
              <w:right w:val="single" w:color="000000" w:sz="4" w:space="0"/>
            </w:tcBorders>
            <w:noWrap/>
            <w:vAlign w:val="center"/>
          </w:tcPr>
          <w:p w14:paraId="51B3D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231" w:type="dxa"/>
            <w:tcBorders>
              <w:top w:val="single" w:color="000000" w:sz="4" w:space="0"/>
              <w:left w:val="single" w:color="000000" w:sz="4" w:space="0"/>
              <w:bottom w:val="single" w:color="000000" w:sz="4" w:space="0"/>
              <w:right w:val="single" w:color="000000" w:sz="4" w:space="0"/>
            </w:tcBorders>
            <w:noWrap/>
            <w:vAlign w:val="center"/>
          </w:tcPr>
          <w:p w14:paraId="54845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94" w:type="dxa"/>
            <w:tcBorders>
              <w:top w:val="single" w:color="000000" w:sz="4" w:space="0"/>
              <w:left w:val="single" w:color="000000" w:sz="4" w:space="0"/>
              <w:bottom w:val="single" w:color="000000" w:sz="4" w:space="0"/>
              <w:right w:val="single" w:color="000000" w:sz="4" w:space="0"/>
            </w:tcBorders>
            <w:noWrap/>
            <w:vAlign w:val="center"/>
          </w:tcPr>
          <w:p w14:paraId="58F0E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1,798,547.00</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444F9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1,798,547.00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373E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bl>
    <w:p w14:paraId="514514F8">
      <w:pPr>
        <w:pStyle w:val="2"/>
        <w:rPr>
          <w:rFonts w:hint="eastAsia"/>
          <w:lang w:val="en-US" w:eastAsia="zh-CN"/>
        </w:rPr>
      </w:pPr>
    </w:p>
    <w:p w14:paraId="356FEB1E">
      <w:pPr>
        <w:rPr>
          <w:rFonts w:hint="eastAsia"/>
          <w:lang w:val="en-US" w:eastAsia="zh-CN"/>
        </w:rPr>
      </w:pPr>
      <w:r>
        <w:rPr>
          <w:rFonts w:hint="eastAsia" w:ascii="仿宋_GB2312" w:hAnsi="仿宋" w:eastAsia="仿宋_GB2312" w:cs="Times New Roman"/>
          <w:sz w:val="32"/>
          <w:szCs w:val="32"/>
          <w:lang w:val="en-US" w:eastAsia="zh-CN"/>
        </w:rPr>
        <w:t>（2）本年年末无结转和结余资金。</w:t>
      </w:r>
    </w:p>
    <w:p w14:paraId="25BBF2C3">
      <w:pPr>
        <w:snapToGrid w:val="0"/>
        <w:spacing w:line="52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2．收入支出结构分析。</w:t>
      </w:r>
    </w:p>
    <w:p w14:paraId="799B672E">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sz w:val="32"/>
          <w:szCs w:val="32"/>
          <w:highlight w:val="none"/>
        </w:rPr>
        <w:t>（1）</w:t>
      </w:r>
      <w:r>
        <w:rPr>
          <w:rFonts w:hint="eastAsia" w:ascii="仿宋_GB2312" w:hAnsi="仿宋" w:eastAsia="仿宋_GB2312" w:cs="Times New Roman"/>
          <w:sz w:val="32"/>
          <w:szCs w:val="32"/>
          <w:lang w:val="en-US" w:eastAsia="zh-CN"/>
        </w:rPr>
        <w:t>本年预算收入3219.36万元，其中：一般公共预算财政拨款收入3219.36万元，占预算收入的100%。</w:t>
      </w:r>
    </w:p>
    <w:p w14:paraId="212E3CFF">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决算支出2998.17万元，其中：一般公共预算财政拨款支出2998.17万元，占决算支出的100%。基本支出2574.35万元，占总支出的85.86%；项目支出423.81万元，占比14.14%。工资福利支出2060.44万元，占比68.73%；商品和服务支出721.16万元，占比24.05%；对个人和家庭的补助127.91万元，占比4.27%；资本性支出（基本建设）8.22万元，占比0.27%；资本性支出80.43万元，占比2.68%。</w:t>
      </w:r>
    </w:p>
    <w:p w14:paraId="291EE67D">
      <w:pPr>
        <w:pStyle w:val="2"/>
        <w:jc w:val="center"/>
        <w:rPr>
          <w:rFonts w:hint="eastAsia"/>
          <w:lang w:val="en-US" w:eastAsia="zh-CN"/>
        </w:rPr>
      </w:pPr>
      <w:r>
        <w:drawing>
          <wp:inline distT="0" distB="0" distL="114300" distR="114300">
            <wp:extent cx="4961890" cy="2483485"/>
            <wp:effectExtent l="4445" t="4445" r="5715" b="7620"/>
            <wp:docPr id="3" name="图片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lang w:val="en-US" w:eastAsia="zh-CN"/>
        </w:rPr>
        <w:t xml:space="preserve">   </w:t>
      </w:r>
      <w:r>
        <w:drawing>
          <wp:inline distT="0" distB="0" distL="114300" distR="114300">
            <wp:extent cx="4842510" cy="2936240"/>
            <wp:effectExtent l="4445" t="4445" r="10795" b="12065"/>
            <wp:docPr id="4" name="图片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2DADBA">
      <w:pPr>
        <w:numPr>
          <w:ilvl w:val="0"/>
          <w:numId w:val="1"/>
        </w:num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本年决算收入2998.17万元，较上年增加95.88万元，增长3.3%。变动原因是：根据以支定收要求，去年结转结余资金纳入本年收入。</w:t>
      </w:r>
    </w:p>
    <w:p w14:paraId="0B2A912C">
      <w:pPr>
        <w:numPr>
          <w:ilvl w:val="0"/>
          <w:numId w:val="0"/>
        </w:num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决算支出2998.17万元，较上年增加95.88万元，增长3.3%。基本支出2574.35万元，较上年增长10.75%；项目支出423.81万元，较上年下降26.65%。工资福利支出2060.44万元，较上年增长12.26%；商品和服务支出721.16万元，较上年下降8.45%；对个人和家庭的补助127.91万元，较上年增长7.49%；资本性支出（基本建设）8.22万元，较上年下降62.64%；资本性支出80.43万元，较上年下降41.77%。</w:t>
      </w:r>
    </w:p>
    <w:p w14:paraId="50C3741E">
      <w:pPr>
        <w:keepNext w:val="0"/>
        <w:keepLines w:val="0"/>
        <w:widowControl/>
        <w:suppressLineNumbers w:val="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变动原因是：发放2023年绩效，故本年人员支出较上年增加，项目支出较上年减少；本年支“两房”建设项目设计及监理费8.22万元，故资本性支出（基本建设）减少；本年支出</w:t>
      </w:r>
      <w:r>
        <w:rPr>
          <w:rFonts w:hint="eastAsia" w:ascii="仿宋_GB2312" w:hAnsi="仿宋" w:eastAsia="仿宋_GB2312" w:cs="仿宋"/>
          <w:sz w:val="32"/>
          <w:szCs w:val="32"/>
          <w:lang w:eastAsia="zh-CN"/>
        </w:rPr>
        <w:t>干部职工丧葬及一次性抚恤，故</w:t>
      </w:r>
      <w:r>
        <w:rPr>
          <w:rFonts w:hint="eastAsia" w:ascii="仿宋_GB2312" w:hAnsi="仿宋" w:eastAsia="仿宋_GB2312" w:cs="Times New Roman"/>
          <w:sz w:val="32"/>
          <w:szCs w:val="32"/>
          <w:lang w:val="en-US" w:eastAsia="zh-CN"/>
        </w:rPr>
        <w:t>对个人和家庭的补助增加。</w:t>
      </w:r>
    </w:p>
    <w:p w14:paraId="53F8E2C1">
      <w:pPr>
        <w:pStyle w:val="2"/>
        <w:rPr>
          <w:rFonts w:hint="eastAsia"/>
        </w:rPr>
      </w:pPr>
      <w:r>
        <w:drawing>
          <wp:inline distT="0" distB="0" distL="114300" distR="114300">
            <wp:extent cx="4831080" cy="2336165"/>
            <wp:effectExtent l="4445" t="4445" r="22225" b="21590"/>
            <wp:docPr id="5"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D2EDCD">
      <w:pPr>
        <w:snapToGrid w:val="0"/>
        <w:spacing w:line="520" w:lineRule="exact"/>
        <w:ind w:firstLine="640" w:firstLineChars="200"/>
        <w:rPr>
          <w:rFonts w:hint="eastAsia" w:ascii="仿宋_GB2312" w:hAnsi="仿宋" w:eastAsia="仿宋_GB2312"/>
          <w:sz w:val="32"/>
          <w:szCs w:val="32"/>
          <w:highlight w:val="none"/>
        </w:rPr>
      </w:pPr>
    </w:p>
    <w:p w14:paraId="7FCA72E1">
      <w:pPr>
        <w:pStyle w:val="2"/>
        <w:rPr>
          <w:rFonts w:hint="eastAsia" w:ascii="仿宋_GB2312" w:hAnsi="仿宋" w:eastAsia="仿宋_GB2312"/>
          <w:sz w:val="32"/>
          <w:szCs w:val="32"/>
          <w:highlight w:val="none"/>
        </w:rPr>
      </w:pPr>
    </w:p>
    <w:p w14:paraId="1EFCC98E">
      <w:pPr>
        <w:jc w:val="center"/>
        <w:rPr>
          <w:rFonts w:hint="eastAsia"/>
        </w:rPr>
      </w:pPr>
      <w:r>
        <w:drawing>
          <wp:inline distT="0" distB="0" distL="114300" distR="114300">
            <wp:extent cx="4831080" cy="2865120"/>
            <wp:effectExtent l="4445" t="4445" r="22225" b="6985"/>
            <wp:docPr id="6"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6FCB4F">
      <w:pPr>
        <w:snapToGrid w:val="0"/>
        <w:spacing w:line="52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3．支出按经济分类科目分析。</w:t>
      </w:r>
    </w:p>
    <w:p w14:paraId="30B2FA38">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sz w:val="32"/>
          <w:szCs w:val="32"/>
          <w:highlight w:val="none"/>
        </w:rPr>
        <w:t>（1）</w:t>
      </w:r>
      <w:r>
        <w:rPr>
          <w:rFonts w:hint="eastAsia" w:ascii="仿宋_GB2312" w:hAnsi="仿宋" w:eastAsia="仿宋_GB2312" w:cs="Times New Roman"/>
          <w:sz w:val="32"/>
          <w:szCs w:val="32"/>
          <w:lang w:val="en-US" w:eastAsia="zh-CN"/>
        </w:rPr>
        <w:t>本年“三公”经费支出41.04万元，其中：公务用车运行维护费38.78万元，公务接待费2.26万元。完成年初预算数的100%，较上年决算数下降0.16%，主要原因是：本年厉行精简节约。公务用车保有量为10辆，较上年增加1辆。无因公出国（境）团情况。公务接待37批次、289人。未动用上年结转资金用于三公经费。</w:t>
      </w:r>
    </w:p>
    <w:p w14:paraId="7802AC23">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（2）本年会议费支出1.05万元，</w:t>
      </w:r>
      <w:r>
        <w:rPr>
          <w:rFonts w:hint="eastAsia" w:ascii="仿宋_GB2312" w:hAnsi="仿宋" w:eastAsia="仿宋_GB2312" w:cs="Times New Roman"/>
          <w:sz w:val="32"/>
          <w:szCs w:val="32"/>
          <w:highlight w:val="none"/>
          <w:lang w:val="en-US" w:eastAsia="zh-CN"/>
        </w:rPr>
        <w:t>人均开支13.3元，较上年下降65%。</w:t>
      </w:r>
    </w:p>
    <w:p w14:paraId="643110EC">
      <w:pPr>
        <w:pStyle w:val="2"/>
        <w:ind w:left="0" w:leftChars="0" w:firstLine="0" w:firstLineChars="0"/>
        <w:jc w:val="center"/>
        <w:rPr>
          <w:rFonts w:hint="eastAsia"/>
        </w:rPr>
      </w:pPr>
      <w:r>
        <w:drawing>
          <wp:inline distT="0" distB="0" distL="114300" distR="114300">
            <wp:extent cx="4831080" cy="2414270"/>
            <wp:effectExtent l="4445" t="4445" r="22225" b="19685"/>
            <wp:docPr id="7" name="图片 13"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80F821">
      <w:pPr>
        <w:numPr>
          <w:ilvl w:val="0"/>
          <w:numId w:val="1"/>
        </w:numPr>
        <w:ind w:left="0" w:leftChars="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本年培训费支出10.5万元，人均开支0.01万元，较上年增长0.09%。</w:t>
      </w:r>
    </w:p>
    <w:p w14:paraId="6EE251F4">
      <w:pPr>
        <w:pStyle w:val="2"/>
        <w:numPr>
          <w:ilvl w:val="0"/>
          <w:numId w:val="0"/>
        </w:numPr>
        <w:ind w:leftChars="200"/>
        <w:rPr>
          <w:rFonts w:hint="default"/>
          <w:lang w:val="en-US" w:eastAsia="zh-CN"/>
        </w:rPr>
      </w:pPr>
      <w:r>
        <w:drawing>
          <wp:inline distT="0" distB="0" distL="114300" distR="114300">
            <wp:extent cx="4831080" cy="2865120"/>
            <wp:effectExtent l="4445" t="4445" r="22225" b="6985"/>
            <wp:docPr id="8"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334498">
      <w:pPr>
        <w:snapToGrid w:val="0"/>
        <w:spacing w:line="520" w:lineRule="exact"/>
        <w:ind w:firstLine="640" w:firstLineChars="200"/>
        <w:rPr>
          <w:rFonts w:hint="eastAsia" w:ascii="仿宋_GB2312" w:hAnsi="仿宋" w:eastAsia="仿宋_GB2312"/>
          <w:sz w:val="32"/>
          <w:szCs w:val="32"/>
          <w:highlight w:val="none"/>
        </w:rPr>
      </w:pPr>
    </w:p>
    <w:p w14:paraId="36CC1328">
      <w:pPr>
        <w:numPr>
          <w:ilvl w:val="0"/>
          <w:numId w:val="1"/>
        </w:numPr>
        <w:ind w:left="0" w:leftChars="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本年差旅费支出127.6万元，人均开支1.62万元，较上年增长2.06%。</w:t>
      </w:r>
    </w:p>
    <w:p w14:paraId="57A1D08C">
      <w:pPr>
        <w:pStyle w:val="2"/>
        <w:rPr>
          <w:rFonts w:hint="eastAsia"/>
          <w:lang w:val="en-US" w:eastAsia="zh-CN"/>
        </w:rPr>
      </w:pPr>
      <w:r>
        <w:drawing>
          <wp:inline distT="0" distB="0" distL="114300" distR="114300">
            <wp:extent cx="4831080" cy="2865120"/>
            <wp:effectExtent l="4445" t="4445" r="22225" b="6985"/>
            <wp:docPr id="9"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A8A5A9">
      <w:pPr>
        <w:numPr>
          <w:ilvl w:val="0"/>
          <w:numId w:val="1"/>
        </w:numPr>
        <w:snapToGrid w:val="0"/>
        <w:spacing w:line="520" w:lineRule="exact"/>
        <w:ind w:left="0" w:leftChars="0"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其他对单位影响较大的支出情况</w:t>
      </w:r>
      <w:r>
        <w:rPr>
          <w:rFonts w:hint="eastAsia" w:ascii="仿宋_GB2312" w:hAnsi="仿宋" w:eastAsia="仿宋_GB2312"/>
          <w:sz w:val="32"/>
          <w:szCs w:val="32"/>
          <w:highlight w:val="none"/>
          <w:lang w:eastAsia="zh-CN"/>
        </w:rPr>
        <w:t>。</w:t>
      </w:r>
    </w:p>
    <w:p w14:paraId="535E9427">
      <w:pPr>
        <w:numPr>
          <w:ilvl w:val="0"/>
          <w:numId w:val="0"/>
        </w:numPr>
        <w:snapToGrid w:val="0"/>
        <w:spacing w:line="520" w:lineRule="exact"/>
        <w:ind w:leftChars="200" w:firstLine="960" w:firstLineChars="3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无。    </w:t>
      </w:r>
    </w:p>
    <w:p w14:paraId="1DD57EAA">
      <w:pPr>
        <w:numPr>
          <w:ilvl w:val="0"/>
          <w:numId w:val="1"/>
        </w:numPr>
        <w:snapToGrid w:val="0"/>
        <w:spacing w:line="520" w:lineRule="exact"/>
        <w:ind w:left="0" w:leftChars="0"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重点经济分类支出中存在的问题及改进措施。</w:t>
      </w:r>
    </w:p>
    <w:p w14:paraId="096E77EB">
      <w:pPr>
        <w:pStyle w:val="2"/>
        <w:numPr>
          <w:ilvl w:val="0"/>
          <w:numId w:val="0"/>
        </w:numPr>
        <w:ind w:leftChars="200"/>
        <w:rPr>
          <w:rFonts w:hint="default"/>
          <w:lang w:val="en-US" w:eastAsia="zh-CN"/>
        </w:rPr>
      </w:pPr>
      <w:r>
        <w:rPr>
          <w:rFonts w:hint="eastAsia"/>
          <w:lang w:val="en-US" w:eastAsia="zh-CN"/>
        </w:rPr>
        <w:t xml:space="preserve">       </w:t>
      </w:r>
      <w:r>
        <w:rPr>
          <w:rFonts w:hint="eastAsia" w:ascii="仿宋_GB2312" w:hAnsi="仿宋" w:eastAsia="仿宋_GB2312" w:cs="Times New Roman"/>
          <w:kern w:val="2"/>
          <w:sz w:val="32"/>
          <w:szCs w:val="32"/>
          <w:highlight w:val="none"/>
          <w:lang w:val="en-US" w:eastAsia="zh-CN" w:bidi="ar-SA"/>
        </w:rPr>
        <w:t xml:space="preserve"> 无。</w:t>
      </w:r>
    </w:p>
    <w:p w14:paraId="62C837AB">
      <w:pPr>
        <w:keepNext w:val="0"/>
        <w:keepLines w:val="0"/>
        <w:pageBreakBefore w:val="0"/>
        <w:widowControl w:val="0"/>
        <w:numPr>
          <w:ilvl w:val="0"/>
          <w:numId w:val="2"/>
        </w:numPr>
        <w:tabs>
          <w:tab w:val="left" w:pos="312"/>
          <w:tab w:val="clear" w:pos="0"/>
        </w:tabs>
        <w:kinsoku/>
        <w:wordWrap/>
        <w:overflowPunct/>
        <w:topLinePunct w:val="0"/>
        <w:autoSpaceDE/>
        <w:autoSpaceDN/>
        <w:bidi w:val="0"/>
        <w:adjustRightInd/>
        <w:snapToGrid w:val="0"/>
        <w:spacing w:line="520" w:lineRule="exact"/>
        <w:ind w:left="0" w:leftChars="0" w:firstLine="643" w:firstLineChars="200"/>
        <w:textAlignment w:val="auto"/>
        <w:rPr>
          <w:rFonts w:hint="default"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支出按功能分类科目分析。</w:t>
      </w:r>
    </w:p>
    <w:p w14:paraId="725D915B">
      <w:pPr>
        <w:snapToGrid w:val="0"/>
        <w:spacing w:line="520" w:lineRule="exact"/>
        <w:ind w:firstLine="640"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2024年支出共计2998.17万元，其中，一般公共服务支出6.16万元，占比0.2%;公共安全支出2532.07万元，占比84.45%;社会保障和就业支出186.36万元，占比6.22%;卫生健康支出93.72万元，占比3.13%;住房保障支出 179.86万元，占比6%。</w:t>
      </w:r>
    </w:p>
    <w:p w14:paraId="323FFCB9">
      <w:pPr>
        <w:snapToGrid w:val="0"/>
        <w:spacing w:line="520" w:lineRule="exact"/>
        <w:ind w:firstLine="640"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公共安全支出占比较多，支出总额较2023年增长13.78%，主要支出范围包括工资福利支出1636.75万元，商品和服务支出715万元，使用该经费主要用于保障人员工资发放及日常正常运转，促进单位各项工作稳步开展。</w:t>
      </w:r>
    </w:p>
    <w:p w14:paraId="49F12E6F">
      <w:pPr>
        <w:snapToGrid w:val="0"/>
        <w:spacing w:line="52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lang w:val="en-US" w:eastAsia="zh-CN"/>
        </w:rPr>
        <w:t>5</w:t>
      </w:r>
      <w:r>
        <w:rPr>
          <w:rFonts w:hint="eastAsia" w:ascii="仿宋_GB2312" w:hAnsi="仿宋" w:eastAsia="仿宋_GB2312"/>
          <w:b/>
          <w:sz w:val="32"/>
          <w:szCs w:val="32"/>
          <w:highlight w:val="none"/>
        </w:rPr>
        <w:t>.财政拨款收入、支出分析。</w:t>
      </w:r>
    </w:p>
    <w:p w14:paraId="46A10C15">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本年财政拨款收入2998.17万元，占预算收入的100%。</w:t>
      </w:r>
    </w:p>
    <w:p w14:paraId="25356578">
      <w:pPr>
        <w:snapToGrid w:val="0"/>
        <w:spacing w:line="52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本年财政拨款支出2998.17万元，占决算支出的100%。 </w:t>
      </w:r>
    </w:p>
    <w:p w14:paraId="5676F1C6">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基本支出2574.35万元，占总支出的85.86%；项目支出423.81万元，占总支出的14.14%。</w:t>
      </w:r>
    </w:p>
    <w:p w14:paraId="3A018F42">
      <w:pPr>
        <w:snapToGrid w:val="0"/>
        <w:spacing w:line="520" w:lineRule="exact"/>
        <w:ind w:firstLine="643" w:firstLineChars="200"/>
        <w:rPr>
          <w:rFonts w:hint="eastAsia" w:ascii="仿宋_GB2312" w:hAnsi="仿宋" w:eastAsia="仿宋_GB2312"/>
          <w:b/>
          <w:sz w:val="32"/>
          <w:szCs w:val="32"/>
          <w:highlight w:val="none"/>
          <w:lang w:eastAsia="zh-CN"/>
        </w:rPr>
      </w:pPr>
      <w:r>
        <w:rPr>
          <w:rFonts w:hint="eastAsia" w:ascii="仿宋_GB2312" w:hAnsi="仿宋" w:eastAsia="仿宋_GB2312"/>
          <w:b/>
          <w:sz w:val="32"/>
          <w:szCs w:val="32"/>
          <w:highlight w:val="none"/>
          <w:lang w:val="en-US" w:eastAsia="zh-CN"/>
        </w:rPr>
        <w:t>6</w:t>
      </w:r>
      <w:r>
        <w:rPr>
          <w:rFonts w:hint="eastAsia" w:ascii="仿宋_GB2312" w:hAnsi="仿宋" w:eastAsia="仿宋_GB2312"/>
          <w:b/>
          <w:sz w:val="32"/>
          <w:szCs w:val="32"/>
          <w:highlight w:val="none"/>
        </w:rPr>
        <w:t>.非财政拨款收入、支出分析。</w:t>
      </w:r>
      <w:r>
        <w:rPr>
          <w:rFonts w:hint="eastAsia" w:ascii="仿宋_GB2312" w:hAnsi="仿宋" w:eastAsia="仿宋_GB2312"/>
          <w:b/>
          <w:sz w:val="32"/>
          <w:szCs w:val="32"/>
          <w:highlight w:val="none"/>
          <w:lang w:eastAsia="zh-CN"/>
        </w:rPr>
        <w:t>（此处根据提纲完善）</w:t>
      </w:r>
    </w:p>
    <w:p w14:paraId="51862746">
      <w:pPr>
        <w:snapToGrid w:val="0"/>
        <w:spacing w:line="520" w:lineRule="exact"/>
        <w:ind w:firstLine="640" w:firstLineChars="200"/>
        <w:outlineLvl w:val="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无。</w:t>
      </w:r>
    </w:p>
    <w:p w14:paraId="78FD8BD9">
      <w:pPr>
        <w:snapToGrid w:val="0"/>
        <w:spacing w:line="520" w:lineRule="exact"/>
        <w:ind w:firstLine="643" w:firstLineChars="200"/>
        <w:outlineLvl w:val="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（三）年末结转和结余情况。</w:t>
      </w:r>
    </w:p>
    <w:p w14:paraId="472C1BCC">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1.财政拨款结转和结余</w:t>
      </w:r>
    </w:p>
    <w:p w14:paraId="62248143">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本年年末无结转和结余资金。</w:t>
      </w:r>
    </w:p>
    <w:p w14:paraId="5ECF8480">
      <w:pPr>
        <w:numPr>
          <w:ilvl w:val="0"/>
          <w:numId w:val="0"/>
        </w:num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2.非财政拨款结转和结余</w:t>
      </w:r>
    </w:p>
    <w:bookmarkEnd w:id="1"/>
    <w:p w14:paraId="72248811">
      <w:pPr>
        <w:snapToGrid w:val="0"/>
        <w:spacing w:line="520" w:lineRule="exact"/>
        <w:ind w:firstLine="640" w:firstLineChars="200"/>
        <w:rPr>
          <w:rFonts w:hint="eastAsia" w:ascii="仿宋_GB2312" w:hAnsi="仿宋" w:eastAsia="仿宋_GB2312" w:cs="Times New Roman"/>
          <w:sz w:val="32"/>
          <w:szCs w:val="32"/>
          <w:lang w:val="en-US" w:eastAsia="zh-CN"/>
        </w:rPr>
      </w:pPr>
      <w:bookmarkStart w:id="4" w:name="YS060103"/>
      <w:r>
        <w:rPr>
          <w:rFonts w:hint="eastAsia" w:ascii="仿宋_GB2312" w:hAnsi="仿宋" w:eastAsia="仿宋_GB2312" w:cs="Times New Roman"/>
          <w:sz w:val="32"/>
          <w:szCs w:val="32"/>
          <w:lang w:val="en-US" w:eastAsia="zh-CN"/>
        </w:rPr>
        <w:t>本年年末无非财政拨款结转和结余资金。</w:t>
      </w:r>
    </w:p>
    <w:p w14:paraId="3800B200">
      <w:pPr>
        <w:snapToGrid w:val="0"/>
        <w:spacing w:line="520" w:lineRule="exact"/>
        <w:ind w:firstLine="643" w:firstLineChars="200"/>
        <w:outlineLvl w:val="0"/>
        <w:rPr>
          <w:rFonts w:hint="eastAsia" w:ascii="楷体_GB2312" w:hAnsi="仿宋" w:eastAsia="楷体_GB2312"/>
          <w:b/>
          <w:dstrike w:val="0"/>
          <w:sz w:val="32"/>
          <w:szCs w:val="32"/>
          <w:highlight w:val="none"/>
        </w:rPr>
      </w:pPr>
      <w:r>
        <w:rPr>
          <w:rFonts w:hint="eastAsia" w:ascii="楷体_GB2312" w:hAnsi="仿宋" w:eastAsia="楷体_GB2312"/>
          <w:b/>
          <w:dstrike w:val="0"/>
          <w:sz w:val="32"/>
          <w:szCs w:val="32"/>
          <w:highlight w:val="none"/>
        </w:rPr>
        <w:t>（四）与预算支出相关的其他指标分析。</w:t>
      </w:r>
    </w:p>
    <w:p w14:paraId="4C3A7651">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本年财政应返回额度0万元，较上年无增减变化。</w:t>
      </w:r>
    </w:p>
    <w:p w14:paraId="3DB0C5D0">
      <w:pPr>
        <w:snapToGrid w:val="0"/>
        <w:spacing w:line="520" w:lineRule="exact"/>
        <w:ind w:firstLine="643" w:firstLineChars="200"/>
        <w:outlineLvl w:val="0"/>
        <w:rPr>
          <w:rFonts w:ascii="楷体_GB2312" w:hAnsi="仿宋" w:eastAsia="楷体_GB2312"/>
          <w:b/>
          <w:sz w:val="32"/>
          <w:szCs w:val="32"/>
          <w:highlight w:val="none"/>
        </w:rPr>
      </w:pPr>
      <w:r>
        <w:rPr>
          <w:rFonts w:hint="eastAsia" w:ascii="楷体_GB2312" w:hAnsi="仿宋" w:eastAsia="楷体_GB2312"/>
          <w:b/>
          <w:dstrike w:val="0"/>
          <w:sz w:val="32"/>
          <w:szCs w:val="32"/>
          <w:highlight w:val="none"/>
        </w:rPr>
        <w:t>（五）</w:t>
      </w:r>
      <w:r>
        <w:rPr>
          <w:rFonts w:hint="eastAsia" w:ascii="楷体_GB2312" w:hAnsi="仿宋" w:eastAsia="楷体_GB2312"/>
          <w:b/>
          <w:sz w:val="32"/>
          <w:szCs w:val="32"/>
          <w:highlight w:val="none"/>
        </w:rPr>
        <w:t>绩效目标完成情况。</w:t>
      </w:r>
    </w:p>
    <w:p w14:paraId="053CF738">
      <w:pPr>
        <w:snapToGrid w:val="0"/>
        <w:spacing w:line="520" w:lineRule="exact"/>
        <w:ind w:firstLine="640"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年初市检察院根据实际工作需要，以相关法律法规、市委、市政府决定、上级文件要求作为立项依据，向市财政局申报项目预算。2024年，市检察院及时到位资金，保障各类项目正常实施。市检察院尽职尽责办理扫黑除恶、职务犯罪、公益诉讼、民事、行政、信访等各类案件，坚持司法为民保障民生，全力维护社会和谐稳定，所有项目均已实现绩效目标。</w:t>
      </w:r>
    </w:p>
    <w:p w14:paraId="14270199">
      <w:pPr>
        <w:numPr>
          <w:ilvl w:val="0"/>
          <w:numId w:val="3"/>
        </w:numPr>
        <w:snapToGrid w:val="0"/>
        <w:spacing w:line="520" w:lineRule="exact"/>
        <w:ind w:firstLine="643" w:firstLineChars="200"/>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当年预算执行及绩效管理中存在问题、原因及改进措施。</w:t>
      </w:r>
    </w:p>
    <w:p w14:paraId="273DC0A4">
      <w:pPr>
        <w:pStyle w:val="2"/>
        <w:numPr>
          <w:ilvl w:val="0"/>
          <w:numId w:val="0"/>
        </w:numPr>
        <w:ind w:firstLine="640" w:firstLineChars="20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无。</w:t>
      </w:r>
    </w:p>
    <w:bookmarkEnd w:id="4"/>
    <w:p w14:paraId="4D0D294A">
      <w:pPr>
        <w:snapToGrid w:val="0"/>
        <w:spacing w:line="520" w:lineRule="exact"/>
        <w:ind w:firstLine="640" w:firstLineChars="200"/>
        <w:rPr>
          <w:rFonts w:hint="eastAsia" w:ascii="黑体" w:hAnsi="黑体" w:eastAsia="黑体"/>
          <w:sz w:val="32"/>
          <w:szCs w:val="32"/>
          <w:highlight w:val="none"/>
        </w:rPr>
      </w:pPr>
      <w:bookmarkStart w:id="5" w:name="YS060104"/>
      <w:r>
        <w:rPr>
          <w:rFonts w:hint="eastAsia" w:ascii="黑体" w:hAnsi="黑体" w:eastAsia="黑体"/>
          <w:sz w:val="32"/>
          <w:szCs w:val="32"/>
          <w:highlight w:val="none"/>
        </w:rPr>
        <w:t>三、本年度部门决算等财务工作开展情况</w:t>
      </w:r>
      <w:bookmarkStart w:id="6" w:name="_GoBack"/>
      <w:bookmarkEnd w:id="6"/>
    </w:p>
    <w:bookmarkEnd w:id="5"/>
    <w:p w14:paraId="7F867270">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（一）本单位财务管理、绩效管理、决算组织、编报、审核情况。</w:t>
      </w:r>
    </w:p>
    <w:p w14:paraId="751D9960">
      <w:pPr>
        <w:pStyle w:val="2"/>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1.财务管理。一是加强业务培训学习。通过常态化组织内控和财务专题学习培训，增强全员内部会计控制意识，明确内控管理岗位职责要求，建立相互制衡、分工协作机制，进一步提高会计人员的业务技能和素质，有效保证会计工作质量。二是完善财务管理机制。单位严格执行财政财务法规制度，不断健全内部财务管理制度，坚持“一支笔审批”原则，明确财务开支的审批权限，树立服务意识和大局意识，确保公务开支保障有力、节俭有方、用财有效。如根据国家财经法律法规、政府会计准则制度要求及省市有关政策规定，结合单位实际情况，修订细化《差旅费管理办法》《培训费管理办法》等财务管理制度，扎紧制度笼子，切实规范公务开支行为。三是强化内部审计监督。设立内部审计机构配备单独的审计人员，定期或不定期检查机关及所属单位内部管理制度和机制的建立与执行情况，以及内部控制关键岗位及人员的设置情况等，及时发现内部控制存在的问题并提出改进建议。</w:t>
      </w:r>
    </w:p>
    <w:p w14:paraId="4F18EA4F">
      <w:pPr>
        <w:ind w:firstLine="640" w:firstLineChars="20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2.绩效管理。一是提高全面预算绩效管理认知。加强管理人员及相关工作人员对全面预算绩效管理的正确认识，有力推进全面预算绩效管理工作。围绕全面预算绩效管理，组织单位各部门和全体工作人员积极参与相关知识学习和培训，从业务工作需求出发，加强全员预算绩效管理实际操作能力。二是细化量化全面预算绩效管理指标。学习借鉴其他单位的先进经验和做法，借助与参考往期数据，通过对往期数据的详细分析与对比，进一步明确资源消耗的主要环节，设置相应考核指标，不断提升资金、资源使用效率。着重分析公务支出和重大项目支出，加强对各环节管理和控制，记录好相关数据内容通过分析相关数据内容，明确各项业务的成本效益及优化途径，为后续细化和量化预算绩效效益及优化途径，为后续细化和量化预算绩效指标提供支持。</w:t>
      </w:r>
    </w:p>
    <w:p w14:paraId="3FD3BA55">
      <w:pPr>
        <w:snapToGrid w:val="0"/>
        <w:spacing w:line="580" w:lineRule="exact"/>
        <w:ind w:firstLine="640" w:firstLineChars="20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sz w:val="32"/>
          <w:szCs w:val="32"/>
          <w:highlight w:val="none"/>
          <w:lang w:val="en-US" w:eastAsia="zh-CN"/>
        </w:rPr>
        <w:t>3.决算组织、编报、审核情况。</w:t>
      </w:r>
      <w:r>
        <w:rPr>
          <w:rFonts w:hint="eastAsia" w:ascii="仿宋_GB2312" w:hAnsi="仿宋" w:eastAsia="仿宋_GB2312" w:cs="Times New Roman"/>
          <w:kern w:val="2"/>
          <w:sz w:val="32"/>
          <w:szCs w:val="32"/>
          <w:highlight w:val="none"/>
          <w:lang w:val="en-US" w:eastAsia="zh-CN" w:bidi="ar-SA"/>
        </w:rPr>
        <w:t>一是夯实基础，提升部门决算编报效率。为保证决算数据准确、真实，扎实做好部门决算编制基础工作。建立财政收支对账工作机制，倒排时间表，认真组织预算、非税、往来等业务的对账工作，确保数据核对一致。进一步强化沟通交流，建立部门决算交流微信群，及时整理归纳决算常见问题、主要变动和最新要求互相交流工作方法和经验，提高决算编制效率。二是严格审核，提升部门决算编报质量。根据财政部门要求，确保数据准确，做到部门预算、决算、非税收入、财政供养、非税收入等相关数据间衔接一致。加强“三公经费”、压缩决算、非税收入、财政供养、非税收入等相关数据间衔接一致。加强“三公经费”、压缩一般性支出审核，强调决算数据合规性。借助财政部门下发的参数、审核模板，细化审核内容，进一步查漏补缺，确保各项数据合乎逻辑。</w:t>
      </w:r>
    </w:p>
    <w:p w14:paraId="05DF9006">
      <w:pPr>
        <w:numPr>
          <w:ilvl w:val="0"/>
          <w:numId w:val="4"/>
        </w:num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本单位决算及绩效信息公开工作开展情况。</w:t>
      </w:r>
    </w:p>
    <w:p w14:paraId="712D22D6">
      <w:pPr>
        <w:pStyle w:val="2"/>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本单位决算编制上报财政，待财政批复后依法依规进行决算及绩效信息公开。</w:t>
      </w:r>
    </w:p>
    <w:p w14:paraId="745EDC62">
      <w:pPr>
        <w:snapToGrid w:val="0"/>
        <w:spacing w:line="580" w:lineRule="exact"/>
        <w:ind w:firstLine="640" w:firstLineChars="200"/>
        <w:rPr>
          <w:rFonts w:ascii="楷体_GB2312" w:hAnsi="仿宋" w:eastAsia="楷体_GB2312"/>
          <w:b/>
          <w:sz w:val="32"/>
          <w:szCs w:val="32"/>
          <w:highlight w:val="none"/>
        </w:rPr>
      </w:pPr>
      <w:r>
        <w:rPr>
          <w:rFonts w:hint="eastAsia" w:ascii="仿宋_GB2312" w:hAnsi="仿宋" w:eastAsia="仿宋_GB2312"/>
          <w:sz w:val="32"/>
          <w:szCs w:val="32"/>
          <w:highlight w:val="none"/>
        </w:rPr>
        <w:t>（三）</w:t>
      </w:r>
      <w:r>
        <w:rPr>
          <w:rFonts w:hint="eastAsia" w:ascii="楷体_GB2312" w:hAnsi="仿宋" w:eastAsia="楷体_GB2312"/>
          <w:sz w:val="32"/>
          <w:szCs w:val="32"/>
          <w:highlight w:val="none"/>
        </w:rPr>
        <w:t>对部门决算管理工作的意见和建议。</w:t>
      </w:r>
    </w:p>
    <w:p w14:paraId="375814D2">
      <w:pPr>
        <w:ind w:firstLine="709"/>
        <w:rPr>
          <w:rFonts w:hint="eastAsia" w:ascii="仿宋_GB2312" w:hAnsi="仿宋" w:eastAsia="仿宋_GB2312" w:cs="仿宋"/>
          <w:color w:val="000000"/>
          <w:sz w:val="32"/>
          <w:szCs w:val="32"/>
          <w:highlight w:val="none"/>
        </w:rPr>
      </w:pPr>
      <w:r>
        <w:rPr>
          <w:rFonts w:ascii="仿宋_GB2312" w:hAnsi="仿宋" w:eastAsia="仿宋_GB2312" w:cs="仿宋"/>
          <w:color w:val="000000"/>
          <w:sz w:val="32"/>
          <w:szCs w:val="32"/>
          <w:highlight w:val="none"/>
        </w:rPr>
        <w:t>1</w:t>
      </w:r>
      <w:r>
        <w:rPr>
          <w:rFonts w:hint="eastAsia" w:ascii="仿宋_GB2312" w:hAnsi="仿宋" w:eastAsia="仿宋_GB2312" w:cs="仿宋"/>
          <w:color w:val="000000"/>
          <w:sz w:val="32"/>
          <w:szCs w:val="32"/>
          <w:highlight w:val="none"/>
        </w:rPr>
        <w:t>.自行增加的审核公式和模板，请说明设置依据。</w:t>
      </w:r>
    </w:p>
    <w:p w14:paraId="69831CEC">
      <w:pPr>
        <w:pStyle w:val="2"/>
        <w:rPr>
          <w:rFonts w:hint="eastAsia" w:eastAsia="仿宋_GB2312"/>
          <w:lang w:val="en-US" w:eastAsia="zh-CN"/>
        </w:rPr>
      </w:pPr>
      <w:r>
        <w:rPr>
          <w:rFonts w:hint="eastAsia" w:ascii="仿宋_GB2312" w:hAnsi="仿宋" w:eastAsia="仿宋_GB2312" w:cs="仿宋"/>
          <w:color w:val="000000"/>
          <w:sz w:val="32"/>
          <w:szCs w:val="32"/>
          <w:highlight w:val="none"/>
          <w:lang w:val="en-US" w:eastAsia="zh-CN"/>
        </w:rPr>
        <w:t>无。</w:t>
      </w:r>
    </w:p>
    <w:p w14:paraId="330EBB0D">
      <w:pPr>
        <w:numPr>
          <w:ilvl w:val="0"/>
          <w:numId w:val="5"/>
        </w:numPr>
        <w:ind w:firstLine="709"/>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对</w:t>
      </w:r>
      <w:r>
        <w:rPr>
          <w:rFonts w:ascii="仿宋_GB2312" w:hAnsi="仿宋" w:eastAsia="仿宋_GB2312" w:cs="仿宋"/>
          <w:color w:val="000000"/>
          <w:sz w:val="32"/>
          <w:szCs w:val="32"/>
          <w:highlight w:val="none"/>
        </w:rPr>
        <w:t>部门决算</w:t>
      </w:r>
      <w:r>
        <w:rPr>
          <w:rFonts w:hint="eastAsia" w:ascii="仿宋_GB2312" w:hAnsi="仿宋" w:eastAsia="仿宋_GB2312" w:cs="仿宋"/>
          <w:color w:val="000000"/>
          <w:sz w:val="32"/>
          <w:szCs w:val="32"/>
          <w:highlight w:val="none"/>
        </w:rPr>
        <w:t>报表修订</w:t>
      </w:r>
      <w:r>
        <w:rPr>
          <w:rFonts w:ascii="仿宋_GB2312" w:hAnsi="仿宋" w:eastAsia="仿宋_GB2312" w:cs="仿宋"/>
          <w:color w:val="000000"/>
          <w:sz w:val="32"/>
          <w:szCs w:val="32"/>
          <w:highlight w:val="none"/>
        </w:rPr>
        <w:t>设计</w:t>
      </w:r>
      <w:r>
        <w:rPr>
          <w:rFonts w:hint="eastAsia" w:ascii="仿宋_GB2312" w:hAnsi="仿宋" w:eastAsia="仿宋_GB2312" w:cs="仿宋"/>
          <w:color w:val="000000"/>
          <w:sz w:val="32"/>
          <w:szCs w:val="32"/>
          <w:highlight w:val="none"/>
        </w:rPr>
        <w:t>的</w:t>
      </w:r>
      <w:r>
        <w:rPr>
          <w:rFonts w:ascii="仿宋_GB2312" w:hAnsi="仿宋" w:eastAsia="仿宋_GB2312" w:cs="仿宋"/>
          <w:color w:val="000000"/>
          <w:sz w:val="32"/>
          <w:szCs w:val="32"/>
          <w:highlight w:val="none"/>
        </w:rPr>
        <w:t>意见和建议，包括</w:t>
      </w:r>
      <w:r>
        <w:rPr>
          <w:rFonts w:hint="eastAsia" w:ascii="仿宋_GB2312" w:hAnsi="仿宋" w:eastAsia="仿宋_GB2312" w:cs="仿宋"/>
          <w:color w:val="000000"/>
          <w:sz w:val="32"/>
          <w:szCs w:val="32"/>
          <w:highlight w:val="none"/>
        </w:rPr>
        <w:t>表样</w:t>
      </w:r>
      <w:r>
        <w:rPr>
          <w:rFonts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rPr>
        <w:t>指标设置、软件</w:t>
      </w:r>
      <w:r>
        <w:rPr>
          <w:rFonts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rPr>
        <w:t>审核公式、模板和</w:t>
      </w:r>
      <w:r>
        <w:rPr>
          <w:rFonts w:ascii="仿宋_GB2312" w:hAnsi="仿宋" w:eastAsia="仿宋_GB2312" w:cs="仿宋"/>
          <w:color w:val="000000"/>
          <w:sz w:val="32"/>
          <w:szCs w:val="32"/>
          <w:highlight w:val="none"/>
        </w:rPr>
        <w:t>编</w:t>
      </w:r>
      <w:r>
        <w:rPr>
          <w:rFonts w:hint="eastAsia" w:ascii="仿宋_GB2312" w:hAnsi="仿宋" w:eastAsia="仿宋_GB2312" w:cs="仿宋"/>
          <w:color w:val="000000"/>
          <w:sz w:val="32"/>
          <w:szCs w:val="32"/>
          <w:highlight w:val="none"/>
        </w:rPr>
        <w:t>审</w:t>
      </w:r>
      <w:r>
        <w:rPr>
          <w:rFonts w:ascii="仿宋_GB2312" w:hAnsi="仿宋" w:eastAsia="仿宋_GB2312" w:cs="仿宋"/>
          <w:color w:val="000000"/>
          <w:sz w:val="32"/>
          <w:szCs w:val="32"/>
          <w:highlight w:val="none"/>
        </w:rPr>
        <w:t>问答</w:t>
      </w:r>
      <w:r>
        <w:rPr>
          <w:rFonts w:hint="eastAsia" w:ascii="仿宋_GB2312" w:hAnsi="仿宋" w:eastAsia="仿宋_GB2312" w:cs="仿宋"/>
          <w:color w:val="000000"/>
          <w:sz w:val="32"/>
          <w:szCs w:val="32"/>
          <w:highlight w:val="none"/>
        </w:rPr>
        <w:t>等，请列出并说明修改意见。</w:t>
      </w:r>
    </w:p>
    <w:p w14:paraId="3852C210">
      <w:pPr>
        <w:pStyle w:val="2"/>
        <w:numPr>
          <w:ilvl w:val="0"/>
          <w:numId w:val="0"/>
        </w:numPr>
        <w:rPr>
          <w:rFonts w:hint="default" w:eastAsia="宋体"/>
          <w:lang w:val="en-US" w:eastAsia="zh-CN"/>
        </w:rPr>
      </w:pPr>
      <w:r>
        <w:rPr>
          <w:rFonts w:hint="eastAsia"/>
          <w:lang w:val="en-US" w:eastAsia="zh-CN"/>
        </w:rPr>
        <w:t xml:space="preserve">     </w:t>
      </w:r>
      <w:r>
        <w:rPr>
          <w:rFonts w:hint="eastAsia" w:ascii="仿宋_GB2312" w:hAnsi="仿宋" w:eastAsia="仿宋_GB2312" w:cs="仿宋"/>
          <w:color w:val="000000"/>
          <w:sz w:val="32"/>
          <w:szCs w:val="32"/>
          <w:highlight w:val="none"/>
          <w:lang w:val="en-US" w:eastAsia="zh-CN"/>
        </w:rPr>
        <w:t xml:space="preserve"> 无。-</w:t>
      </w:r>
    </w:p>
    <w:p w14:paraId="48CE0223">
      <w:pPr>
        <w:numPr>
          <w:ilvl w:val="0"/>
          <w:numId w:val="5"/>
        </w:numPr>
        <w:snapToGrid w:val="0"/>
        <w:spacing w:line="520" w:lineRule="exact"/>
        <w:ind w:left="0" w:leftChars="0" w:firstLine="709" w:firstLineChars="0"/>
        <w:rPr>
          <w:rFonts w:hint="eastAsia"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对部门决算其他管理</w:t>
      </w:r>
      <w:r>
        <w:rPr>
          <w:rFonts w:ascii="仿宋_GB2312" w:hAnsi="仿宋" w:eastAsia="仿宋_GB2312" w:cs="仿宋"/>
          <w:color w:val="000000"/>
          <w:sz w:val="32"/>
          <w:szCs w:val="32"/>
          <w:highlight w:val="none"/>
        </w:rPr>
        <w:t>工作</w:t>
      </w:r>
      <w:r>
        <w:rPr>
          <w:rFonts w:hint="eastAsia" w:ascii="仿宋_GB2312" w:hAnsi="仿宋" w:eastAsia="仿宋_GB2312" w:cs="仿宋"/>
          <w:color w:val="000000"/>
          <w:sz w:val="32"/>
          <w:szCs w:val="32"/>
          <w:highlight w:val="none"/>
        </w:rPr>
        <w:t>的建议。例如对加强部门决算数据分析利用工作、部门决算信息化建设等建议。</w:t>
      </w:r>
    </w:p>
    <w:p w14:paraId="50582344">
      <w:pPr>
        <w:pStyle w:val="2"/>
        <w:numPr>
          <w:ilvl w:val="0"/>
          <w:numId w:val="0"/>
        </w:numPr>
        <w:ind w:left="709" w:leftChars="0"/>
        <w:rPr>
          <w:rFonts w:ascii="仿宋_GB2312" w:hAnsi="仿宋" w:eastAsia="仿宋_GB2312"/>
          <w:sz w:val="32"/>
          <w:szCs w:val="32"/>
          <w:highlight w:val="none"/>
        </w:rPr>
      </w:pPr>
      <w:r>
        <w:rPr>
          <w:rFonts w:hint="eastAsia" w:ascii="仿宋_GB2312" w:hAnsi="仿宋" w:eastAsia="仿宋_GB2312" w:cs="仿宋"/>
          <w:color w:val="000000"/>
          <w:kern w:val="2"/>
          <w:sz w:val="32"/>
          <w:szCs w:val="32"/>
          <w:highlight w:val="none"/>
          <w:lang w:val="en-US" w:eastAsia="zh-CN" w:bidi="ar-SA"/>
        </w:rPr>
        <w:t>无。</w:t>
      </w:r>
    </w:p>
    <w:p w14:paraId="0CC92260">
      <w:pPr>
        <w:widowControl/>
        <w:ind w:firstLine="640" w:firstLineChars="200"/>
        <w:textAlignment w:val="center"/>
        <w:rPr>
          <w:rFonts w:hint="eastAsia" w:ascii="仿宋_GB2312" w:hAnsi="仿宋" w:eastAsia="仿宋_GB2312"/>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B615">
    <w:pPr>
      <w:pStyle w:val="8"/>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3</w:t>
    </w:r>
    <w:r>
      <w:rPr>
        <w:rFonts w:ascii="Arial" w:hAnsi="Arial" w:cs="Arial"/>
        <w:sz w:val="24"/>
        <w:szCs w:val="24"/>
      </w:rPr>
      <w:fldChar w:fldCharType="end"/>
    </w:r>
  </w:p>
  <w:p w14:paraId="63AF88E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5601D"/>
    <w:multiLevelType w:val="singleLevel"/>
    <w:tmpl w:val="98F5601D"/>
    <w:lvl w:ilvl="0" w:tentative="0">
      <w:start w:val="2"/>
      <w:numFmt w:val="decimal"/>
      <w:suff w:val="nothing"/>
      <w:lvlText w:val="（%1）"/>
      <w:lvlJc w:val="left"/>
    </w:lvl>
  </w:abstractNum>
  <w:abstractNum w:abstractNumId="1">
    <w:nsid w:val="BE7FFD83"/>
    <w:multiLevelType w:val="singleLevel"/>
    <w:tmpl w:val="BE7FFD83"/>
    <w:lvl w:ilvl="0" w:tentative="0">
      <w:start w:val="2"/>
      <w:numFmt w:val="chineseCounting"/>
      <w:suff w:val="nothing"/>
      <w:lvlText w:val="（%1）"/>
      <w:lvlJc w:val="left"/>
      <w:rPr>
        <w:rFonts w:hint="eastAsia"/>
      </w:rPr>
    </w:lvl>
  </w:abstractNum>
  <w:abstractNum w:abstractNumId="2">
    <w:nsid w:val="E3666E72"/>
    <w:multiLevelType w:val="singleLevel"/>
    <w:tmpl w:val="E3666E72"/>
    <w:lvl w:ilvl="0" w:tentative="0">
      <w:start w:val="6"/>
      <w:numFmt w:val="chineseCounting"/>
      <w:suff w:val="nothing"/>
      <w:lvlText w:val="（%1）"/>
      <w:lvlJc w:val="left"/>
      <w:rPr>
        <w:rFonts w:hint="eastAsia"/>
      </w:rPr>
    </w:lvl>
  </w:abstractNum>
  <w:abstractNum w:abstractNumId="3">
    <w:nsid w:val="EFFC8AAD"/>
    <w:multiLevelType w:val="singleLevel"/>
    <w:tmpl w:val="EFFC8AAD"/>
    <w:lvl w:ilvl="0" w:tentative="0">
      <w:start w:val="4"/>
      <w:numFmt w:val="decimal"/>
      <w:suff w:val="nothing"/>
      <w:lvlText w:val="%1."/>
      <w:lvlJc w:val="left"/>
      <w:pPr>
        <w:tabs>
          <w:tab w:val="left" w:pos="0"/>
        </w:tabs>
      </w:pPr>
    </w:lvl>
  </w:abstractNum>
  <w:abstractNum w:abstractNumId="4">
    <w:nsid w:val="3727A7F5"/>
    <w:multiLevelType w:val="singleLevel"/>
    <w:tmpl w:val="3727A7F5"/>
    <w:lvl w:ilvl="0" w:tentative="0">
      <w:start w:val="2"/>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6B"/>
    <w:rsid w:val="00002EA9"/>
    <w:rsid w:val="00034F1F"/>
    <w:rsid w:val="00060783"/>
    <w:rsid w:val="00061F81"/>
    <w:rsid w:val="00062490"/>
    <w:rsid w:val="00075EF6"/>
    <w:rsid w:val="000858E2"/>
    <w:rsid w:val="000C5EB4"/>
    <w:rsid w:val="000D2068"/>
    <w:rsid w:val="00101419"/>
    <w:rsid w:val="0012590A"/>
    <w:rsid w:val="001923BE"/>
    <w:rsid w:val="00195093"/>
    <w:rsid w:val="001A1581"/>
    <w:rsid w:val="001B227F"/>
    <w:rsid w:val="0020035B"/>
    <w:rsid w:val="0021589F"/>
    <w:rsid w:val="002303E5"/>
    <w:rsid w:val="00235A94"/>
    <w:rsid w:val="0024226F"/>
    <w:rsid w:val="002640A8"/>
    <w:rsid w:val="00267D86"/>
    <w:rsid w:val="00271903"/>
    <w:rsid w:val="00277A3A"/>
    <w:rsid w:val="00281E96"/>
    <w:rsid w:val="002854AE"/>
    <w:rsid w:val="002916EC"/>
    <w:rsid w:val="00293C33"/>
    <w:rsid w:val="002B0409"/>
    <w:rsid w:val="002B5E76"/>
    <w:rsid w:val="002C4D4C"/>
    <w:rsid w:val="002D6392"/>
    <w:rsid w:val="002E4FB7"/>
    <w:rsid w:val="00310AAB"/>
    <w:rsid w:val="00317C02"/>
    <w:rsid w:val="00337BB1"/>
    <w:rsid w:val="003C429A"/>
    <w:rsid w:val="003D2019"/>
    <w:rsid w:val="003E1AAC"/>
    <w:rsid w:val="003F2441"/>
    <w:rsid w:val="004135C7"/>
    <w:rsid w:val="00417985"/>
    <w:rsid w:val="00422C08"/>
    <w:rsid w:val="00425516"/>
    <w:rsid w:val="00445EFD"/>
    <w:rsid w:val="00450F65"/>
    <w:rsid w:val="00473DC3"/>
    <w:rsid w:val="0048423D"/>
    <w:rsid w:val="004D3022"/>
    <w:rsid w:val="004D73C5"/>
    <w:rsid w:val="0050254C"/>
    <w:rsid w:val="00526C45"/>
    <w:rsid w:val="00532B71"/>
    <w:rsid w:val="005433E6"/>
    <w:rsid w:val="00554195"/>
    <w:rsid w:val="00556182"/>
    <w:rsid w:val="005579AB"/>
    <w:rsid w:val="00567A72"/>
    <w:rsid w:val="0058144D"/>
    <w:rsid w:val="005905E3"/>
    <w:rsid w:val="005A1C67"/>
    <w:rsid w:val="005A3D5E"/>
    <w:rsid w:val="005E3F33"/>
    <w:rsid w:val="005E4E4D"/>
    <w:rsid w:val="005F0EE9"/>
    <w:rsid w:val="006001D6"/>
    <w:rsid w:val="0064232D"/>
    <w:rsid w:val="006C5540"/>
    <w:rsid w:val="006E07A4"/>
    <w:rsid w:val="006E60B3"/>
    <w:rsid w:val="00702A60"/>
    <w:rsid w:val="00706984"/>
    <w:rsid w:val="007170E3"/>
    <w:rsid w:val="007205E7"/>
    <w:rsid w:val="00722D25"/>
    <w:rsid w:val="0073534B"/>
    <w:rsid w:val="00740B92"/>
    <w:rsid w:val="00753608"/>
    <w:rsid w:val="00755FBC"/>
    <w:rsid w:val="007A3A5D"/>
    <w:rsid w:val="007B56C0"/>
    <w:rsid w:val="007E190A"/>
    <w:rsid w:val="00827359"/>
    <w:rsid w:val="00873070"/>
    <w:rsid w:val="009020C2"/>
    <w:rsid w:val="0091134E"/>
    <w:rsid w:val="00936CDD"/>
    <w:rsid w:val="009375CC"/>
    <w:rsid w:val="009677F8"/>
    <w:rsid w:val="009906CE"/>
    <w:rsid w:val="0099463A"/>
    <w:rsid w:val="009946F2"/>
    <w:rsid w:val="009B0E44"/>
    <w:rsid w:val="00A40A62"/>
    <w:rsid w:val="00A72869"/>
    <w:rsid w:val="00AA4E58"/>
    <w:rsid w:val="00B15E47"/>
    <w:rsid w:val="00B25D13"/>
    <w:rsid w:val="00B27A04"/>
    <w:rsid w:val="00B37CE8"/>
    <w:rsid w:val="00BC2CAE"/>
    <w:rsid w:val="00C0006E"/>
    <w:rsid w:val="00C00DD7"/>
    <w:rsid w:val="00C019E2"/>
    <w:rsid w:val="00C12E4C"/>
    <w:rsid w:val="00C33B94"/>
    <w:rsid w:val="00C40858"/>
    <w:rsid w:val="00C4437E"/>
    <w:rsid w:val="00C6456D"/>
    <w:rsid w:val="00C86F58"/>
    <w:rsid w:val="00C922FC"/>
    <w:rsid w:val="00CB64BD"/>
    <w:rsid w:val="00CD1B8C"/>
    <w:rsid w:val="00D21FBC"/>
    <w:rsid w:val="00D22B6A"/>
    <w:rsid w:val="00D36C1E"/>
    <w:rsid w:val="00D5398F"/>
    <w:rsid w:val="00D8075D"/>
    <w:rsid w:val="00D8690C"/>
    <w:rsid w:val="00DE6147"/>
    <w:rsid w:val="00E247A4"/>
    <w:rsid w:val="00E5453B"/>
    <w:rsid w:val="00E65DA3"/>
    <w:rsid w:val="00E94608"/>
    <w:rsid w:val="00EB5A04"/>
    <w:rsid w:val="00EC4F2A"/>
    <w:rsid w:val="00ED69D3"/>
    <w:rsid w:val="00F9579B"/>
    <w:rsid w:val="00F961CE"/>
    <w:rsid w:val="00FE560C"/>
    <w:rsid w:val="00FF7E02"/>
    <w:rsid w:val="02680801"/>
    <w:rsid w:val="0A920AA8"/>
    <w:rsid w:val="0E2E53D2"/>
    <w:rsid w:val="0FA35FDC"/>
    <w:rsid w:val="0FDD776B"/>
    <w:rsid w:val="15EC6C6C"/>
    <w:rsid w:val="1A23154F"/>
    <w:rsid w:val="1E5F7104"/>
    <w:rsid w:val="22B0777E"/>
    <w:rsid w:val="24C55171"/>
    <w:rsid w:val="282956CA"/>
    <w:rsid w:val="2ADA3585"/>
    <w:rsid w:val="2B5B3B71"/>
    <w:rsid w:val="2C872B7A"/>
    <w:rsid w:val="2DF4A957"/>
    <w:rsid w:val="3003488D"/>
    <w:rsid w:val="33BD2C47"/>
    <w:rsid w:val="33CE3E7B"/>
    <w:rsid w:val="37217B5C"/>
    <w:rsid w:val="38A65953"/>
    <w:rsid w:val="38C867E3"/>
    <w:rsid w:val="3C016B94"/>
    <w:rsid w:val="3D7EED49"/>
    <w:rsid w:val="44686424"/>
    <w:rsid w:val="45D901D5"/>
    <w:rsid w:val="47856C35"/>
    <w:rsid w:val="49FB7EBE"/>
    <w:rsid w:val="4A0A2651"/>
    <w:rsid w:val="4C7701CD"/>
    <w:rsid w:val="4F314FBE"/>
    <w:rsid w:val="50EE3E7E"/>
    <w:rsid w:val="53EB406E"/>
    <w:rsid w:val="54233E4E"/>
    <w:rsid w:val="542D7EBA"/>
    <w:rsid w:val="5B4B48F9"/>
    <w:rsid w:val="5B9F77DD"/>
    <w:rsid w:val="5C0929D2"/>
    <w:rsid w:val="64131199"/>
    <w:rsid w:val="6669720C"/>
    <w:rsid w:val="68616285"/>
    <w:rsid w:val="6C7D608C"/>
    <w:rsid w:val="6D07C54E"/>
    <w:rsid w:val="6DA501BA"/>
    <w:rsid w:val="6DFFD60E"/>
    <w:rsid w:val="6ECA7E74"/>
    <w:rsid w:val="701D465E"/>
    <w:rsid w:val="74ED246C"/>
    <w:rsid w:val="755D0BBE"/>
    <w:rsid w:val="7717C855"/>
    <w:rsid w:val="773A11E7"/>
    <w:rsid w:val="77F99C70"/>
    <w:rsid w:val="7ADF7846"/>
    <w:rsid w:val="7BC21C4D"/>
    <w:rsid w:val="7BDF1A19"/>
    <w:rsid w:val="7BF70619"/>
    <w:rsid w:val="7BFAE5EE"/>
    <w:rsid w:val="7CEF32DA"/>
    <w:rsid w:val="7DA3701C"/>
    <w:rsid w:val="7DF3EC3C"/>
    <w:rsid w:val="7DFFE200"/>
    <w:rsid w:val="7FB65F35"/>
    <w:rsid w:val="7FDF5995"/>
    <w:rsid w:val="7FDFE098"/>
    <w:rsid w:val="7FFB69E9"/>
    <w:rsid w:val="BF5F704B"/>
    <w:rsid w:val="BFFF9E49"/>
    <w:rsid w:val="CD8DA9B4"/>
    <w:rsid w:val="DB7F5CE8"/>
    <w:rsid w:val="DFFF9407"/>
    <w:rsid w:val="FDDB1924"/>
    <w:rsid w:val="FF6FE2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Document Map"/>
    <w:basedOn w:val="1"/>
    <w:link w:val="13"/>
    <w:qFormat/>
    <w:uiPriority w:val="0"/>
    <w:rPr>
      <w:rFonts w:ascii="宋体"/>
      <w:sz w:val="18"/>
      <w:szCs w:val="18"/>
    </w:rPr>
  </w:style>
  <w:style w:type="paragraph" w:styleId="5">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HTML Address"/>
    <w:basedOn w:val="1"/>
    <w:qFormat/>
    <w:uiPriority w:val="0"/>
    <w:rPr>
      <w:i/>
      <w:iCs/>
    </w:rPr>
  </w:style>
  <w:style w:type="paragraph" w:styleId="7">
    <w:name w:val="Balloon Text"/>
    <w:basedOn w:val="1"/>
    <w:semiHidden/>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color w:val="0000FF"/>
      <w:u w:val="single"/>
    </w:rPr>
  </w:style>
  <w:style w:type="character" w:customStyle="1" w:styleId="13">
    <w:name w:val="文档结构图 Char"/>
    <w:link w:val="4"/>
    <w:qFormat/>
    <w:uiPriority w:val="0"/>
    <w:rPr>
      <w:rFonts w:ascii="宋体"/>
      <w:kern w:val="2"/>
      <w:sz w:val="18"/>
      <w:szCs w:val="18"/>
    </w:rPr>
  </w:style>
  <w:style w:type="character" w:customStyle="1" w:styleId="14">
    <w:name w:val="页脚 字符"/>
    <w:link w:val="8"/>
    <w:qFormat/>
    <w:uiPriority w:val="99"/>
    <w:rPr>
      <w:kern w:val="2"/>
      <w:sz w:val="18"/>
      <w:szCs w:val="18"/>
    </w:rPr>
  </w:style>
  <w:style w:type="character" w:customStyle="1" w:styleId="15">
    <w:name w:val="页眉 字符"/>
    <w:link w:val="9"/>
    <w:qFormat/>
    <w:uiPriority w:val="0"/>
    <w:rPr>
      <w:kern w:val="2"/>
      <w:sz w:val="18"/>
      <w:szCs w:val="18"/>
    </w:rPr>
  </w:style>
  <w:style w:type="paragraph" w:customStyle="1" w:styleId="16">
    <w:name w:val="_Style 1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F:\&#26032;&#24314;%20XLSX%20&#24037;&#20316;&#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F:\&#26032;&#24314;%20XLSX%20&#24037;&#20316;&#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F:\&#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6032;&#24314;%20XLSX%20&#24037;&#20316;&#3492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4.xml"/><Relationship Id="rId1" Type="http://schemas.openxmlformats.org/officeDocument/2006/relationships/oleObject" Target="file:///F:\&#26032;&#24314;%20XLSX%20&#24037;&#20316;&#34920;.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5.xml"/><Relationship Id="rId1" Type="http://schemas.openxmlformats.org/officeDocument/2006/relationships/oleObject" Target="file:///F:\&#26032;&#24314;%20XLSX%20&#24037;&#20316;&#34920;.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6.xml"/><Relationship Id="rId1" Type="http://schemas.openxmlformats.org/officeDocument/2006/relationships/oleObject" Target="file:///F:\&#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收入支出预算安排情况变动图</a:t>
            </a:r>
          </a:p>
        </c:rich>
      </c:tx>
      <c:layout/>
      <c:overlay val="0"/>
      <c:spPr>
        <a:noFill/>
        <a:ln>
          <a:noFill/>
        </a:ln>
        <a:effectLst/>
      </c:spPr>
    </c:title>
    <c:autoTitleDeleted val="0"/>
    <c:plotArea>
      <c:layout/>
      <c:barChart>
        <c:barDir val="col"/>
        <c:grouping val="clustered"/>
        <c:varyColors val="0"/>
        <c:ser>
          <c:idx val="0"/>
          <c:order val="0"/>
          <c:tx>
            <c:strRef>
              <c:f>'[新建 XLSX 工作表.xlsx]Sheet1'!$A$3</c:f>
              <c:strCache>
                <c:ptCount val="1"/>
                <c:pt idx="0">
                  <c:v>年初预算数</c:v>
                </c:pt>
              </c:strCache>
            </c:strRef>
          </c:tx>
          <c:spPr>
            <a:gradFill>
              <a:gsLst>
                <a:gs pos="0">
                  <a:srgbClr val="B9CDE5">
                    <a:lumMod val="40000"/>
                    <a:lumOff val="60000"/>
                  </a:srgbClr>
                </a:gs>
                <a:gs pos="90000">
                  <a:srgbClr val="4F81BD"/>
                </a:gs>
              </a:gsLst>
              <a:lin ang="5400000" scaled="0"/>
            </a:gradFill>
            <a:ln>
              <a:gradFill>
                <a:gsLst>
                  <a:gs pos="0">
                    <a:srgbClr val="4F81BD"/>
                  </a:gs>
                  <a:gs pos="100000">
                    <a:srgbClr val="376092">
                      <a:lumMod val="75000"/>
                    </a:srgbClr>
                  </a:gs>
                </a:gsLst>
                <a:lin ang="5400000" scaled="1"/>
              </a:gradFill>
            </a:ln>
            <a:effectLst>
              <a:outerShdw blurRad="76200" dist="25400" dir="2700000" algn="tl" rotWithShape="0">
                <a:srgbClr val="254061">
                  <a:lumMod val="50000"/>
                  <a:alpha val="3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'[新建 XLSX 工作表.xlsx]Sheet1'!$B$1:$C$2</c:f>
              <c:multiLvlStrCache>
                <c:ptCount val="2"/>
                <c:lvl>
                  <c:pt idx="0">
                    <c:v>2023年</c:v>
                  </c:pt>
                  <c:pt idx="1">
                    <c:v>2024年</c:v>
                  </c:pt>
                </c:lvl>
                <c:lvl/>
              </c:multiLvlStrCache>
            </c:multiLvlStrRef>
          </c:cat>
          <c:val>
            <c:numRef>
              <c:f>'[新建 XLSX 工作表.xlsx]Sheet1'!$B$3:$C$3</c:f>
              <c:numCache>
                <c:formatCode>General</c:formatCode>
                <c:ptCount val="2"/>
                <c:pt idx="0">
                  <c:v>2427.14</c:v>
                </c:pt>
                <c:pt idx="1">
                  <c:v>2746.4</c:v>
                </c:pt>
              </c:numCache>
            </c:numRef>
          </c:val>
        </c:ser>
        <c:ser>
          <c:idx val="1"/>
          <c:order val="1"/>
          <c:tx>
            <c:strRef>
              <c:f>'[新建 XLSX 工作表.xlsx]Sheet1'!$A$4</c:f>
              <c:strCache>
                <c:ptCount val="1"/>
                <c:pt idx="0">
                  <c:v>全年预算数</c:v>
                </c:pt>
              </c:strCache>
            </c:strRef>
          </c:tx>
          <c:spPr>
            <a:gradFill>
              <a:gsLst>
                <a:gs pos="0">
                  <a:srgbClr val="E6B9B8">
                    <a:lumMod val="40000"/>
                    <a:lumOff val="60000"/>
                  </a:srgbClr>
                </a:gs>
                <a:gs pos="90000">
                  <a:srgbClr val="C0504D"/>
                </a:gs>
              </a:gsLst>
              <a:lin ang="5400000" scaled="0"/>
            </a:gradFill>
            <a:ln>
              <a:gradFill>
                <a:gsLst>
                  <a:gs pos="0">
                    <a:srgbClr val="C0504D"/>
                  </a:gs>
                  <a:gs pos="100000">
                    <a:srgbClr val="953735">
                      <a:lumMod val="75000"/>
                    </a:srgbClr>
                  </a:gs>
                </a:gsLst>
                <a:lin ang="5400000" scaled="1"/>
              </a:gradFill>
            </a:ln>
            <a:effectLst>
              <a:outerShdw blurRad="76200" dist="25400" dir="2700000" algn="tl" rotWithShape="0">
                <a:srgbClr val="632523">
                  <a:lumMod val="50000"/>
                  <a:alpha val="3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'[新建 XLSX 工作表.xlsx]Sheet1'!$B$1:$C$2</c:f>
              <c:multiLvlStrCache>
                <c:ptCount val="2"/>
                <c:lvl>
                  <c:pt idx="0">
                    <c:v>2023年</c:v>
                  </c:pt>
                  <c:pt idx="1">
                    <c:v>2024年</c:v>
                  </c:pt>
                </c:lvl>
                <c:lvl/>
              </c:multiLvlStrCache>
            </c:multiLvlStrRef>
          </c:cat>
          <c:val>
            <c:numRef>
              <c:f>'[新建 XLSX 工作表.xlsx]Sheet1'!$B$4:$C$4</c:f>
              <c:numCache>
                <c:formatCode>General</c:formatCode>
                <c:ptCount val="2"/>
                <c:pt idx="0">
                  <c:v>2902.29</c:v>
                </c:pt>
                <c:pt idx="1">
                  <c:v>3219.36</c:v>
                </c:pt>
              </c:numCache>
            </c:numRef>
          </c:val>
        </c:ser>
        <c:dLbls>
          <c:showLegendKey val="0"/>
          <c:showVal val="1"/>
          <c:showCatName val="0"/>
          <c:showSerName val="0"/>
          <c:showPercent val="0"/>
          <c:showBubbleSize val="0"/>
        </c:dLbls>
        <c:gapWidth val="246"/>
        <c:overlap val="-28"/>
        <c:axId val="820972628"/>
        <c:axId val="303147863"/>
      </c:barChart>
      <c:catAx>
        <c:axId val="820972628"/>
        <c:scaling>
          <c:orientation val="minMax"/>
        </c:scaling>
        <c:delete val="0"/>
        <c:axPos val="b"/>
        <c:numFmt formatCode="General" sourceLinked="1"/>
        <c:majorTickMark val="none"/>
        <c:minorTickMark val="none"/>
        <c:tickLblPos val="nextTo"/>
        <c:spPr>
          <a:noFill/>
          <a:ln w="6350" cap="flat" cmpd="sng" algn="ctr">
            <a:solidFill>
              <a:srgbClr val="808080">
                <a:lumMod val="50000"/>
                <a:lumOff val="50000"/>
                <a:alpha val="25000"/>
              </a:srgbClr>
            </a:solidFill>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03147863"/>
        <c:crosses val="autoZero"/>
        <c:auto val="1"/>
        <c:lblAlgn val="ctr"/>
        <c:lblOffset val="100"/>
        <c:noMultiLvlLbl val="0"/>
      </c:catAx>
      <c:valAx>
        <c:axId val="303147863"/>
        <c:scaling>
          <c:orientation val="minMax"/>
        </c:scaling>
        <c:delete val="0"/>
        <c:axPos val="l"/>
        <c:majorGridlines>
          <c:spPr>
            <a:ln w="6350" cap="flat" cmpd="sng" algn="ctr">
              <a:solidFill>
                <a:srgbClr val="808080">
                  <a:lumMod val="50000"/>
                  <a:lumOff val="50000"/>
                  <a:alpha val="2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2097262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f149e3fd-5df8-462e-bc5e-da05fd1a95cb}"/>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收入支出预算执行情况变动图</a:t>
            </a:r>
          </a:p>
        </c:rich>
      </c:tx>
      <c:layout/>
      <c:overlay val="0"/>
      <c:spPr>
        <a:noFill/>
        <a:ln>
          <a:noFill/>
        </a:ln>
        <a:effectLst/>
      </c:spPr>
    </c:title>
    <c:autoTitleDeleted val="0"/>
    <c:plotArea>
      <c:layout/>
      <c:barChart>
        <c:barDir val="col"/>
        <c:grouping val="clustered"/>
        <c:varyColors val="0"/>
        <c:ser>
          <c:idx val="0"/>
          <c:order val="0"/>
          <c:tx>
            <c:strRef>
              <c:f>'[新建 XLSX 工作表.xlsx]Sheet1'!$I$3</c:f>
              <c:strCache>
                <c:ptCount val="1"/>
                <c:pt idx="0">
                  <c:v>本年收入决算数</c:v>
                </c:pt>
              </c:strCache>
            </c:strRef>
          </c:tx>
          <c:spPr>
            <a:gradFill>
              <a:gsLst>
                <a:gs pos="0">
                  <a:srgbClr val="B9CDE5">
                    <a:lumMod val="40000"/>
                    <a:lumOff val="60000"/>
                  </a:srgbClr>
                </a:gs>
                <a:gs pos="90000">
                  <a:srgbClr val="4F81BD"/>
                </a:gs>
              </a:gsLst>
              <a:lin ang="5400000" scaled="0"/>
            </a:gradFill>
            <a:ln>
              <a:gradFill>
                <a:gsLst>
                  <a:gs pos="0">
                    <a:srgbClr val="4F81BD"/>
                  </a:gs>
                  <a:gs pos="100000">
                    <a:srgbClr val="376092">
                      <a:lumMod val="75000"/>
                    </a:srgbClr>
                  </a:gs>
                </a:gsLst>
                <a:lin ang="5400000" scaled="1"/>
              </a:gradFill>
            </a:ln>
            <a:effectLst>
              <a:outerShdw blurRad="76200" dist="25400" dir="2700000" algn="tl" rotWithShape="0">
                <a:srgbClr val="254061">
                  <a:lumMod val="50000"/>
                  <a:alpha val="3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'[新建 XLSX 工作表.xlsx]Sheet1'!$J$1:$K$2</c:f>
              <c:multiLvlStrCache>
                <c:ptCount val="2"/>
                <c:lvl>
                  <c:pt idx="0">
                    <c:v>2023年</c:v>
                  </c:pt>
                  <c:pt idx="1">
                    <c:v>2024年</c:v>
                  </c:pt>
                </c:lvl>
                <c:lvl/>
              </c:multiLvlStrCache>
            </c:multiLvlStrRef>
          </c:cat>
          <c:val>
            <c:numRef>
              <c:f>'[新建 XLSX 工作表.xlsx]Sheet1'!$J$3:$K$3</c:f>
              <c:numCache>
                <c:formatCode>General</c:formatCode>
                <c:ptCount val="2"/>
                <c:pt idx="0">
                  <c:v>2902.29</c:v>
                </c:pt>
                <c:pt idx="1">
                  <c:v>2998.17</c:v>
                </c:pt>
              </c:numCache>
            </c:numRef>
          </c:val>
        </c:ser>
        <c:ser>
          <c:idx val="1"/>
          <c:order val="1"/>
          <c:tx>
            <c:strRef>
              <c:f>'[新建 XLSX 工作表.xlsx]Sheet1'!$I$4</c:f>
              <c:strCache>
                <c:ptCount val="1"/>
                <c:pt idx="0">
                  <c:v>本年支出决算数</c:v>
                </c:pt>
              </c:strCache>
            </c:strRef>
          </c:tx>
          <c:spPr>
            <a:gradFill>
              <a:gsLst>
                <a:gs pos="0">
                  <a:srgbClr val="E6B9B8">
                    <a:lumMod val="40000"/>
                    <a:lumOff val="60000"/>
                  </a:srgbClr>
                </a:gs>
                <a:gs pos="90000">
                  <a:srgbClr val="C0504D"/>
                </a:gs>
              </a:gsLst>
              <a:lin ang="5400000" scaled="0"/>
            </a:gradFill>
            <a:ln>
              <a:gradFill>
                <a:gsLst>
                  <a:gs pos="0">
                    <a:srgbClr val="C0504D"/>
                  </a:gs>
                  <a:gs pos="100000">
                    <a:srgbClr val="953735">
                      <a:lumMod val="75000"/>
                    </a:srgbClr>
                  </a:gs>
                </a:gsLst>
                <a:lin ang="5400000" scaled="1"/>
              </a:gradFill>
            </a:ln>
            <a:effectLst>
              <a:outerShdw blurRad="76200" dist="25400" dir="2700000" algn="tl" rotWithShape="0">
                <a:srgbClr val="632523">
                  <a:lumMod val="50000"/>
                  <a:alpha val="3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'[新建 XLSX 工作表.xlsx]Sheet1'!$J$1:$K$2</c:f>
              <c:multiLvlStrCache>
                <c:ptCount val="2"/>
                <c:lvl>
                  <c:pt idx="0">
                    <c:v>2023年</c:v>
                  </c:pt>
                  <c:pt idx="1">
                    <c:v>2024年</c:v>
                  </c:pt>
                </c:lvl>
                <c:lvl/>
              </c:multiLvlStrCache>
            </c:multiLvlStrRef>
          </c:cat>
          <c:val>
            <c:numRef>
              <c:f>'[新建 XLSX 工作表.xlsx]Sheet1'!$J$4:$K$4</c:f>
              <c:numCache>
                <c:formatCode>General</c:formatCode>
                <c:ptCount val="2"/>
                <c:pt idx="0">
                  <c:v>2902.29</c:v>
                </c:pt>
                <c:pt idx="1">
                  <c:v>2998.17</c:v>
                </c:pt>
              </c:numCache>
            </c:numRef>
          </c:val>
        </c:ser>
        <c:dLbls>
          <c:showLegendKey val="0"/>
          <c:showVal val="1"/>
          <c:showCatName val="0"/>
          <c:showSerName val="0"/>
          <c:showPercent val="0"/>
          <c:showBubbleSize val="0"/>
        </c:dLbls>
        <c:gapWidth val="246"/>
        <c:overlap val="-28"/>
        <c:axId val="135803910"/>
        <c:axId val="550441284"/>
      </c:barChart>
      <c:catAx>
        <c:axId val="135803910"/>
        <c:scaling>
          <c:orientation val="minMax"/>
        </c:scaling>
        <c:delete val="0"/>
        <c:axPos val="b"/>
        <c:numFmt formatCode="General" sourceLinked="1"/>
        <c:majorTickMark val="none"/>
        <c:minorTickMark val="none"/>
        <c:tickLblPos val="nextTo"/>
        <c:spPr>
          <a:noFill/>
          <a:ln w="6350" cap="flat" cmpd="sng" algn="ctr">
            <a:solidFill>
              <a:srgbClr val="808080">
                <a:lumMod val="50000"/>
                <a:lumOff val="50000"/>
                <a:alpha val="25000"/>
              </a:srgbClr>
            </a:solidFill>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50441284"/>
        <c:crosses val="autoZero"/>
        <c:auto val="1"/>
        <c:lblAlgn val="ctr"/>
        <c:lblOffset val="100"/>
        <c:noMultiLvlLbl val="0"/>
      </c:catAx>
      <c:valAx>
        <c:axId val="550441284"/>
        <c:scaling>
          <c:orientation val="minMax"/>
        </c:scaling>
        <c:delete val="0"/>
        <c:axPos val="l"/>
        <c:majorGridlines>
          <c:spPr>
            <a:ln w="6350" cap="flat" cmpd="sng" algn="ctr">
              <a:solidFill>
                <a:srgbClr val="808080">
                  <a:lumMod val="50000"/>
                  <a:lumOff val="50000"/>
                  <a:alpha val="2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3580391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e9144b65-d87e-4502-89fa-8dcfd3c648b2}"/>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决算支出构建图</a:t>
            </a:r>
            <a:endParaRPr lang="en-US" altLang="zh-CN"/>
          </a:p>
        </c:rich>
      </c:tx>
      <c:layout>
        <c:manualLayout>
          <c:xMode val="edge"/>
          <c:yMode val="edge"/>
          <c:x val="0.366728062097092"/>
          <c:y val="0.0391203703703704"/>
        </c:manualLayout>
      </c:layout>
      <c:overlay val="0"/>
      <c:spPr>
        <a:noFill/>
        <a:ln>
          <a:noFill/>
        </a:ln>
        <a:effectLst/>
      </c:spPr>
    </c:title>
    <c:autoTitleDeleted val="0"/>
    <c:plotArea>
      <c:layout/>
      <c:pieChart>
        <c:varyColors val="1"/>
        <c:ser>
          <c:idx val="0"/>
          <c:order val="0"/>
          <c:spPr>
            <a:scene3d>
              <a:camera prst="orthographicFront"/>
              <a:lightRig rig="threePt" dir="t"/>
            </a:scene3d>
            <a:sp3d contourW="9525"/>
          </c:spPr>
          <c:explosion val="0"/>
          <c:dPt>
            <c:idx val="0"/>
            <c:bubble3D val="0"/>
            <c:spPr>
              <a:solidFill>
                <a:srgbClr val="4F81BD"/>
              </a:solidFill>
              <a:ln w="19050">
                <a:solidFill>
                  <a:srgbClr val="FFFFFF"/>
                </a:solidFill>
              </a:ln>
              <a:effectLst/>
              <a:scene3d>
                <a:camera prst="orthographicFront"/>
                <a:lightRig rig="threePt" dir="t"/>
              </a:scene3d>
              <a:sp3d contourW="9525"/>
            </c:spPr>
          </c:dPt>
          <c:dPt>
            <c:idx val="1"/>
            <c:bubble3D val="0"/>
            <c:spPr>
              <a:solidFill>
                <a:srgbClr val="C0504D"/>
              </a:solidFill>
              <a:ln w="19050">
                <a:solidFill>
                  <a:srgbClr val="FFFFFF"/>
                </a:solidFill>
              </a:ln>
              <a:effectLst/>
              <a:scene3d>
                <a:camera prst="orthographicFront"/>
                <a:lightRig rig="threePt" dir="t"/>
              </a:scene3d>
              <a:sp3d contourW="9525"/>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工作表.xlsx]Sheet1'!$J$34:$J$35</c:f>
              <c:strCache>
                <c:ptCount val="2"/>
                <c:pt idx="0">
                  <c:v>基本支出</c:v>
                </c:pt>
                <c:pt idx="1">
                  <c:v>项目支出</c:v>
                </c:pt>
              </c:strCache>
            </c:strRef>
          </c:cat>
          <c:val>
            <c:numRef>
              <c:f>'[新建 XLSX 工作表.xlsx]Sheet1'!$K$34:$K$35</c:f>
              <c:numCache>
                <c:formatCode>General</c:formatCode>
                <c:ptCount val="2"/>
                <c:pt idx="0">
                  <c:v>2574.35</c:v>
                </c:pt>
                <c:pt idx="1">
                  <c:v>423.81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41196046-f777-410b-896c-d1865a2c6dac}"/>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决算支出结构图</a:t>
            </a:r>
          </a:p>
        </c:rich>
      </c:tx>
      <c:layout/>
      <c:overlay val="0"/>
      <c:spPr>
        <a:noFill/>
        <a:ln>
          <a:noFill/>
        </a:ln>
        <a:effectLst/>
      </c:spPr>
    </c:title>
    <c:autoTitleDeleted val="0"/>
    <c:plotArea>
      <c:layout/>
      <c:pieChart>
        <c:varyColors val="1"/>
        <c:ser>
          <c:idx val="0"/>
          <c:order val="0"/>
          <c:spPr>
            <a:scene3d>
              <a:camera prst="orthographicFront"/>
              <a:lightRig rig="threePt" dir="t"/>
            </a:scene3d>
            <a:sp3d contourW="9525"/>
          </c:spPr>
          <c:explosion val="0"/>
          <c:dPt>
            <c:idx val="0"/>
            <c:bubble3D val="0"/>
            <c:spPr>
              <a:solidFill>
                <a:srgbClr val="4F81BD"/>
              </a:solidFill>
              <a:ln w="19050">
                <a:solidFill>
                  <a:srgbClr val="FFFFFF"/>
                </a:solidFill>
              </a:ln>
              <a:effectLst/>
              <a:scene3d>
                <a:camera prst="orthographicFront"/>
                <a:lightRig rig="threePt" dir="t"/>
              </a:scene3d>
              <a:sp3d contourW="9525"/>
            </c:spPr>
          </c:dPt>
          <c:dPt>
            <c:idx val="1"/>
            <c:bubble3D val="0"/>
            <c:spPr>
              <a:solidFill>
                <a:srgbClr val="C0504D"/>
              </a:solidFill>
              <a:ln w="19050">
                <a:solidFill>
                  <a:srgbClr val="FFFFFF"/>
                </a:solidFill>
              </a:ln>
              <a:effectLst/>
              <a:scene3d>
                <a:camera prst="orthographicFront"/>
                <a:lightRig rig="threePt" dir="t"/>
              </a:scene3d>
              <a:sp3d contourW="9525"/>
            </c:spPr>
          </c:dPt>
          <c:dPt>
            <c:idx val="2"/>
            <c:bubble3D val="0"/>
            <c:spPr>
              <a:solidFill>
                <a:srgbClr val="9BBB59"/>
              </a:solidFill>
              <a:ln w="19050">
                <a:solidFill>
                  <a:srgbClr val="FFFFFF"/>
                </a:solidFill>
              </a:ln>
              <a:effectLst/>
              <a:scene3d>
                <a:camera prst="orthographicFront"/>
                <a:lightRig rig="threePt" dir="t"/>
              </a:scene3d>
              <a:sp3d contourW="9525"/>
            </c:spPr>
          </c:dPt>
          <c:dPt>
            <c:idx val="3"/>
            <c:bubble3D val="0"/>
            <c:spPr>
              <a:solidFill>
                <a:srgbClr val="8064A2"/>
              </a:solidFill>
              <a:ln w="19050">
                <a:solidFill>
                  <a:srgbClr val="FFFFFF"/>
                </a:solidFill>
              </a:ln>
              <a:effectLst/>
              <a:scene3d>
                <a:camera prst="orthographicFront"/>
                <a:lightRig rig="threePt" dir="t"/>
              </a:scene3d>
              <a:sp3d contourW="9525"/>
            </c:spPr>
          </c:dPt>
          <c:dPt>
            <c:idx val="4"/>
            <c:bubble3D val="0"/>
            <c:spPr>
              <a:solidFill>
                <a:srgbClr val="4BACC6"/>
              </a:solidFill>
              <a:ln w="19050">
                <a:solidFill>
                  <a:srgbClr val="FFFFFF"/>
                </a:solidFill>
              </a:ln>
              <a:effectLst/>
              <a:scene3d>
                <a:camera prst="orthographicFront"/>
                <a:lightRig rig="threePt" dir="t"/>
              </a:scene3d>
              <a:sp3d contourW="9525"/>
            </c:spPr>
          </c:dPt>
          <c:dLbls>
            <c:dLbl>
              <c:idx val="2"/>
              <c:layout>
                <c:manualLayout>
                  <c:x val="-0.119505132929718"/>
                  <c:y val="0.01408450704225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25138194261648"/>
                  <c:y val="-0.07827291618563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0018425901553"/>
                  <c:y val="-0.05033479565920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工作表.xlsx]Sheet1'!$N$24:$N$28</c:f>
              <c:strCache>
                <c:ptCount val="5"/>
                <c:pt idx="0">
                  <c:v>工资福利支出</c:v>
                </c:pt>
                <c:pt idx="1">
                  <c:v>商品和服务支出</c:v>
                </c:pt>
                <c:pt idx="2">
                  <c:v>对个人和家庭的补助</c:v>
                </c:pt>
                <c:pt idx="3">
                  <c:v>资本性支出（基本建设）</c:v>
                </c:pt>
                <c:pt idx="4">
                  <c:v>资本性支出</c:v>
                </c:pt>
              </c:strCache>
            </c:strRef>
          </c:cat>
          <c:val>
            <c:numRef>
              <c:f>'[新建 XLSX 工作表.xlsx]Sheet1'!$O$24:$O$28</c:f>
              <c:numCache>
                <c:formatCode>0.00%</c:formatCode>
                <c:ptCount val="5"/>
                <c:pt idx="0">
                  <c:v>0.6873</c:v>
                </c:pt>
                <c:pt idx="1">
                  <c:v>0.2405</c:v>
                </c:pt>
                <c:pt idx="2">
                  <c:v>0.0427</c:v>
                </c:pt>
                <c:pt idx="3">
                  <c:v>0.0027</c:v>
                </c:pt>
                <c:pt idx="4">
                  <c:v>0.0268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997d055-698e-4c8a-8931-bc00d4aeb51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决算支出情况变动图</a:t>
            </a:r>
          </a:p>
        </c:rich>
      </c:tx>
      <c:layout/>
      <c:overlay val="0"/>
      <c:spPr>
        <a:noFill/>
        <a:ln>
          <a:noFill/>
        </a:ln>
        <a:effectLst/>
      </c:spPr>
    </c:title>
    <c:autoTitleDeleted val="0"/>
    <c:plotArea>
      <c:layout/>
      <c:lineChart>
        <c:grouping val="standard"/>
        <c:varyColors val="0"/>
        <c:ser>
          <c:idx val="0"/>
          <c:order val="0"/>
          <c:tx>
            <c:strRef>
              <c:f>'[新建 XLSX 工作表.xlsx]Sheet1'!$A$78</c:f>
              <c:strCache>
                <c:ptCount val="1"/>
                <c:pt idx="0">
                  <c:v>基本支出</c:v>
                </c:pt>
              </c:strCache>
            </c:strRef>
          </c:tx>
          <c:spPr>
            <a:ln w="28575" cap="rnd">
              <a:solidFill>
                <a:srgbClr val="4F81BD"/>
              </a:solidFill>
              <a:round/>
            </a:ln>
            <a:effectLst/>
          </c:spPr>
          <c:marker>
            <c:symbol val="none"/>
          </c:marker>
          <c:dLbls>
            <c:delete val="1"/>
          </c:dLbls>
          <c:cat>
            <c:strRef>
              <c:f>'[新建 XLSX 工作表.xlsx]Sheet1'!$B$77:$C$77</c:f>
              <c:strCache>
                <c:ptCount val="2"/>
                <c:pt idx="0">
                  <c:v>2023年</c:v>
                </c:pt>
                <c:pt idx="1">
                  <c:v>2024年</c:v>
                </c:pt>
              </c:strCache>
            </c:strRef>
          </c:cat>
          <c:val>
            <c:numRef>
              <c:f>'[新建 XLSX 工作表.xlsx]Sheet1'!$B$78:$C$78</c:f>
              <c:numCache>
                <c:formatCode>General</c:formatCode>
                <c:ptCount val="2"/>
                <c:pt idx="0">
                  <c:v>2324.54</c:v>
                </c:pt>
                <c:pt idx="1" c:formatCode="0.00_ ">
                  <c:v>2574.35</c:v>
                </c:pt>
              </c:numCache>
            </c:numRef>
          </c:val>
          <c:smooth val="0"/>
        </c:ser>
        <c:ser>
          <c:idx val="1"/>
          <c:order val="1"/>
          <c:tx>
            <c:strRef>
              <c:f>'[新建 XLSX 工作表.xlsx]Sheet1'!$A$79</c:f>
              <c:strCache>
                <c:ptCount val="1"/>
                <c:pt idx="0">
                  <c:v>项目支出</c:v>
                </c:pt>
              </c:strCache>
            </c:strRef>
          </c:tx>
          <c:spPr>
            <a:ln w="28575" cap="rnd">
              <a:solidFill>
                <a:srgbClr val="C0504D"/>
              </a:solidFill>
              <a:round/>
            </a:ln>
            <a:effectLst/>
          </c:spPr>
          <c:marker>
            <c:symbol val="none"/>
          </c:marker>
          <c:dLbls>
            <c:delete val="1"/>
          </c:dLbls>
          <c:cat>
            <c:strRef>
              <c:f>'[新建 XLSX 工作表.xlsx]Sheet1'!$B$77:$C$77</c:f>
              <c:strCache>
                <c:ptCount val="2"/>
                <c:pt idx="0">
                  <c:v>2023年</c:v>
                </c:pt>
                <c:pt idx="1">
                  <c:v>2024年</c:v>
                </c:pt>
              </c:strCache>
            </c:strRef>
          </c:cat>
          <c:val>
            <c:numRef>
              <c:f>'[新建 XLSX 工作表.xlsx]Sheet1'!$B$79:$C$79</c:f>
              <c:numCache>
                <c:formatCode>General</c:formatCode>
                <c:ptCount val="2"/>
                <c:pt idx="0">
                  <c:v>577.76</c:v>
                </c:pt>
                <c:pt idx="1" c:formatCode="0.00_ ">
                  <c:v>423.81</c:v>
                </c:pt>
              </c:numCache>
            </c:numRef>
          </c:val>
          <c:smooth val="0"/>
        </c:ser>
        <c:dLbls>
          <c:showLegendKey val="0"/>
          <c:showVal val="0"/>
          <c:showCatName val="0"/>
          <c:showSerName val="0"/>
          <c:showPercent val="0"/>
          <c:showBubbleSize val="0"/>
        </c:dLbls>
        <c:marker val="0"/>
        <c:smooth val="0"/>
        <c:axId val="539738687"/>
        <c:axId val="981492742"/>
      </c:lineChart>
      <c:catAx>
        <c:axId val="539738687"/>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81492742"/>
        <c:crosses val="autoZero"/>
        <c:auto val="1"/>
        <c:lblAlgn val="ctr"/>
        <c:lblOffset val="100"/>
        <c:noMultiLvlLbl val="0"/>
      </c:catAx>
      <c:valAx>
        <c:axId val="981492742"/>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397386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82d0abe6-0b5f-4a8b-a988-eb6e19e70e01}"/>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决算支出情况变动图</a:t>
            </a:r>
          </a:p>
        </c:rich>
      </c:tx>
      <c:layout/>
      <c:overlay val="0"/>
      <c:spPr>
        <a:noFill/>
        <a:ln>
          <a:noFill/>
        </a:ln>
        <a:effectLst/>
      </c:spPr>
    </c:title>
    <c:autoTitleDeleted val="0"/>
    <c:plotArea>
      <c:layout/>
      <c:lineChart>
        <c:grouping val="standard"/>
        <c:varyColors val="0"/>
        <c:ser>
          <c:idx val="0"/>
          <c:order val="0"/>
          <c:tx>
            <c:strRef>
              <c:f>'[新建 XLSX 工作表.xlsx]Sheet1'!$B$69</c:f>
              <c:strCache>
                <c:ptCount val="1"/>
                <c:pt idx="0">
                  <c:v>2023年</c:v>
                </c:pt>
              </c:strCache>
            </c:strRef>
          </c:tx>
          <c:spPr>
            <a:ln w="28575" cap="rnd">
              <a:solidFill>
                <a:srgbClr val="4F81BD"/>
              </a:solidFill>
              <a:round/>
            </a:ln>
            <a:effectLst/>
          </c:spPr>
          <c:marker>
            <c:symbol val="none"/>
          </c:marker>
          <c:dLbls>
            <c:dLbl>
              <c:idx val="0"/>
              <c:layout>
                <c:manualLayout>
                  <c:x val="-0.0955263157894737"/>
                  <c:y val="-0.083795013850415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76315789473684"/>
                  <c:y val="0.10041551246537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4736842105263"/>
                  <c:y val="-0.039242843951985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4473684210526"/>
                  <c:y val="0"/>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77631578947368"/>
                  <c:y val="-0.0027700831024930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工作表.xlsx]Sheet1'!$A$70:$A$74</c:f>
              <c:strCache>
                <c:ptCount val="5"/>
                <c:pt idx="0">
                  <c:v>工资福利支出</c:v>
                </c:pt>
                <c:pt idx="1">
                  <c:v>商品和服务支出</c:v>
                </c:pt>
                <c:pt idx="2">
                  <c:v>对个人和家庭的补助</c:v>
                </c:pt>
                <c:pt idx="3">
                  <c:v>资本性支出（基本建设）</c:v>
                </c:pt>
                <c:pt idx="4">
                  <c:v>资本性支出</c:v>
                </c:pt>
              </c:strCache>
            </c:strRef>
          </c:cat>
          <c:val>
            <c:numRef>
              <c:f>'[新建 XLSX 工作表.xlsx]Sheet1'!$B$70:$B$74</c:f>
              <c:numCache>
                <c:formatCode>General</c:formatCode>
                <c:ptCount val="5"/>
                <c:pt idx="0">
                  <c:v>1835.46</c:v>
                </c:pt>
                <c:pt idx="1">
                  <c:v>787.7</c:v>
                </c:pt>
                <c:pt idx="2">
                  <c:v>119.01</c:v>
                </c:pt>
                <c:pt idx="3">
                  <c:v>22</c:v>
                </c:pt>
                <c:pt idx="4">
                  <c:v>138.13</c:v>
                </c:pt>
              </c:numCache>
            </c:numRef>
          </c:val>
          <c:smooth val="0"/>
        </c:ser>
        <c:ser>
          <c:idx val="1"/>
          <c:order val="1"/>
          <c:tx>
            <c:strRef>
              <c:f>'[新建 XLSX 工作表.xlsx]Sheet1'!$C$69</c:f>
              <c:strCache>
                <c:ptCount val="1"/>
                <c:pt idx="0">
                  <c:v>2024年</c:v>
                </c:pt>
              </c:strCache>
            </c:strRef>
          </c:tx>
          <c:spPr>
            <a:ln w="28575" cap="rnd">
              <a:solidFill>
                <a:srgbClr val="C0504D"/>
              </a:solidFill>
              <a:round/>
            </a:ln>
            <a:effectLst/>
          </c:spPr>
          <c:marker>
            <c:symbol val="none"/>
          </c:marker>
          <c:dLbls>
            <c:dLbl>
              <c:idx val="0"/>
              <c:layout>
                <c:manualLayout>
                  <c:x val="0.0159210526315789"/>
                  <c:y val="-0.078254847645429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7631578947368"/>
                  <c:y val="-0.1228070175438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89473684210526"/>
                  <c:y val="-0.13688827331486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75"/>
                  <c:y val="-0.14542936288088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7894736842105"/>
                  <c:y val="-0.12834718374884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工作表.xlsx]Sheet1'!$A$70:$A$74</c:f>
              <c:strCache>
                <c:ptCount val="5"/>
                <c:pt idx="0">
                  <c:v>工资福利支出</c:v>
                </c:pt>
                <c:pt idx="1">
                  <c:v>商品和服务支出</c:v>
                </c:pt>
                <c:pt idx="2">
                  <c:v>对个人和家庭的补助</c:v>
                </c:pt>
                <c:pt idx="3">
                  <c:v>资本性支出（基本建设）</c:v>
                </c:pt>
                <c:pt idx="4">
                  <c:v>资本性支出</c:v>
                </c:pt>
              </c:strCache>
            </c:strRef>
          </c:cat>
          <c:val>
            <c:numRef>
              <c:f>'[新建 XLSX 工作表.xlsx]Sheet1'!$C$70:$C$74</c:f>
              <c:numCache>
                <c:formatCode>General</c:formatCode>
                <c:ptCount val="5"/>
                <c:pt idx="0">
                  <c:v>2060.44</c:v>
                </c:pt>
                <c:pt idx="1">
                  <c:v>721.16</c:v>
                </c:pt>
                <c:pt idx="2">
                  <c:v>127.91</c:v>
                </c:pt>
                <c:pt idx="3">
                  <c:v>8.22</c:v>
                </c:pt>
                <c:pt idx="4">
                  <c:v>80.43</c:v>
                </c:pt>
              </c:numCache>
            </c:numRef>
          </c:val>
          <c:smooth val="0"/>
        </c:ser>
        <c:dLbls>
          <c:showLegendKey val="0"/>
          <c:showVal val="1"/>
          <c:showCatName val="0"/>
          <c:showSerName val="0"/>
          <c:showPercent val="0"/>
          <c:showBubbleSize val="0"/>
        </c:dLbls>
        <c:marker val="0"/>
        <c:smooth val="0"/>
        <c:axId val="506989354"/>
        <c:axId val="157297692"/>
      </c:lineChart>
      <c:catAx>
        <c:axId val="50698935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57297692"/>
        <c:crosses val="autoZero"/>
        <c:auto val="1"/>
        <c:lblAlgn val="ctr"/>
        <c:lblOffset val="100"/>
        <c:noMultiLvlLbl val="0"/>
      </c:catAx>
      <c:valAx>
        <c:axId val="157297692"/>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069893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38973536-263c-42ca-bf2c-f759bd59a01f}"/>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决算支出经济分类变动图</a:t>
            </a:r>
          </a:p>
        </c:rich>
      </c:tx>
      <c:layout>
        <c:manualLayout>
          <c:xMode val="edge"/>
          <c:yMode val="edge"/>
          <c:x val="0.368157894736842"/>
          <c:y val="0.0583333333333333"/>
        </c:manualLayout>
      </c:layout>
      <c:overlay val="0"/>
      <c:spPr>
        <a:noFill/>
        <a:ln>
          <a:noFill/>
        </a:ln>
        <a:effectLst/>
      </c:spPr>
    </c:title>
    <c:autoTitleDeleted val="0"/>
    <c:plotArea>
      <c:layout/>
      <c:barChart>
        <c:barDir val="col"/>
        <c:grouping val="clustered"/>
        <c:varyColors val="0"/>
        <c:ser>
          <c:idx val="0"/>
          <c:order val="0"/>
          <c:tx>
            <c:strRef>
              <c:f>'[新建 XLSX 工作表.xlsx]Sheet1'!$A$99</c:f>
              <c:strCache>
                <c:ptCount val="1"/>
                <c:pt idx="0">
                  <c:v>会议费</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工作表.xlsx]Sheet1'!$B$98:$C$98</c:f>
              <c:strCache>
                <c:ptCount val="2"/>
                <c:pt idx="0">
                  <c:v>2023年</c:v>
                </c:pt>
                <c:pt idx="1">
                  <c:v>2024年</c:v>
                </c:pt>
              </c:strCache>
            </c:strRef>
          </c:cat>
          <c:val>
            <c:numRef>
              <c:f>'[新建 XLSX 工作表.xlsx]Sheet1'!$B$99:$C$99</c:f>
              <c:numCache>
                <c:formatCode>General</c:formatCode>
                <c:ptCount val="2"/>
                <c:pt idx="0">
                  <c:v>3</c:v>
                </c:pt>
                <c:pt idx="1">
                  <c:v>1.05</c:v>
                </c:pt>
              </c:numCache>
            </c:numRef>
          </c:val>
        </c:ser>
        <c:dLbls>
          <c:showLegendKey val="0"/>
          <c:showVal val="1"/>
          <c:showCatName val="0"/>
          <c:showSerName val="0"/>
          <c:showPercent val="0"/>
          <c:showBubbleSize val="0"/>
        </c:dLbls>
        <c:gapWidth val="150"/>
        <c:overlap val="0"/>
        <c:axId val="137247896"/>
        <c:axId val="933563950"/>
      </c:barChart>
      <c:catAx>
        <c:axId val="137247896"/>
        <c:scaling>
          <c:orientation val="minMax"/>
        </c:scaling>
        <c:delete val="0"/>
        <c:axPos val="b"/>
        <c:numFmt formatCode="General" sourceLinked="1"/>
        <c:majorTickMark val="none"/>
        <c:minorTickMark val="none"/>
        <c:tickLblPos val="nextTo"/>
        <c:spPr>
          <a:noFill/>
          <a:ln w="6350" cap="flat" cmpd="sng" algn="ctr">
            <a:solidFill>
              <a:srgbClr val="808080">
                <a:lumMod val="50000"/>
                <a:lumOff val="50000"/>
                <a:alpha val="25000"/>
              </a:srgbClr>
            </a:solidFill>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33563950"/>
        <c:crosses val="autoZero"/>
        <c:auto val="1"/>
        <c:lblAlgn val="ctr"/>
        <c:lblOffset val="100"/>
        <c:noMultiLvlLbl val="0"/>
      </c:catAx>
      <c:valAx>
        <c:axId val="933563950"/>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w="6350">
            <a:solidFill>
              <a:srgbClr val="808080">
                <a:lumMod val="50000"/>
                <a:lumOff val="50000"/>
                <a:alpha val="25000"/>
              </a:srgbClr>
            </a:solidFill>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3724789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fcb7a68-119d-4d08-a3dc-78537bbc7339}"/>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决算支出经济分类变动图</a:t>
            </a:r>
          </a:p>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rich>
      </c:tx>
      <c:layout/>
      <c:overlay val="0"/>
      <c:spPr>
        <a:noFill/>
        <a:ln>
          <a:noFill/>
        </a:ln>
        <a:effectLst/>
      </c:spPr>
    </c:title>
    <c:autoTitleDeleted val="0"/>
    <c:plotArea>
      <c:layout/>
      <c:barChart>
        <c:barDir val="col"/>
        <c:grouping val="clustered"/>
        <c:varyColors val="0"/>
        <c:ser>
          <c:idx val="0"/>
          <c:order val="0"/>
          <c:tx>
            <c:strRef>
              <c:f>'[新建 XLSX 工作表.xlsx]Sheet1'!$A$114</c:f>
              <c:strCache>
                <c:ptCount val="1"/>
                <c:pt idx="0">
                  <c:v>培训费</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工作表.xlsx]Sheet1'!$B$113:$C$113</c:f>
              <c:strCache>
                <c:ptCount val="2"/>
                <c:pt idx="0">
                  <c:v>2023年</c:v>
                </c:pt>
                <c:pt idx="1">
                  <c:v>2024年</c:v>
                </c:pt>
              </c:strCache>
            </c:strRef>
          </c:cat>
          <c:val>
            <c:numRef>
              <c:f>'[新建 XLSX 工作表.xlsx]Sheet1'!$B$114:$C$114</c:f>
              <c:numCache>
                <c:formatCode>General</c:formatCode>
                <c:ptCount val="2"/>
                <c:pt idx="0">
                  <c:v>10.5</c:v>
                </c:pt>
                <c:pt idx="1">
                  <c:v>10.5</c:v>
                </c:pt>
              </c:numCache>
            </c:numRef>
          </c:val>
        </c:ser>
        <c:dLbls>
          <c:showLegendKey val="0"/>
          <c:showVal val="1"/>
          <c:showCatName val="0"/>
          <c:showSerName val="0"/>
          <c:showPercent val="0"/>
          <c:showBubbleSize val="0"/>
        </c:dLbls>
        <c:gapWidth val="150"/>
        <c:overlap val="0"/>
        <c:axId val="610366778"/>
        <c:axId val="491760684"/>
      </c:barChart>
      <c:catAx>
        <c:axId val="610366778"/>
        <c:scaling>
          <c:orientation val="minMax"/>
        </c:scaling>
        <c:delete val="0"/>
        <c:axPos val="b"/>
        <c:numFmt formatCode="General" sourceLinked="1"/>
        <c:majorTickMark val="none"/>
        <c:minorTickMark val="none"/>
        <c:tickLblPos val="nextTo"/>
        <c:spPr>
          <a:noFill/>
          <a:ln w="6350" cap="flat" cmpd="sng" algn="ctr">
            <a:solidFill>
              <a:srgbClr val="808080">
                <a:lumMod val="50000"/>
                <a:lumOff val="50000"/>
                <a:alpha val="25000"/>
              </a:srgbClr>
            </a:solidFill>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91760684"/>
        <c:crosses val="autoZero"/>
        <c:auto val="1"/>
        <c:lblAlgn val="ctr"/>
        <c:lblOffset val="100"/>
        <c:noMultiLvlLbl val="0"/>
      </c:catAx>
      <c:valAx>
        <c:axId val="491760684"/>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w="6350">
            <a:solidFill>
              <a:srgbClr val="808080">
                <a:lumMod val="50000"/>
                <a:lumOff val="50000"/>
                <a:alpha val="25000"/>
              </a:srgbClr>
            </a:solidFill>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1036677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5776336-cf5e-4518-a34b-09d7d9606882}"/>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决算支出经济分类变动图</a:t>
            </a:r>
          </a:p>
        </c:rich>
      </c:tx>
      <c:layout/>
      <c:overlay val="0"/>
      <c:spPr>
        <a:noFill/>
        <a:ln>
          <a:noFill/>
        </a:ln>
        <a:effectLst/>
      </c:spPr>
    </c:title>
    <c:autoTitleDeleted val="0"/>
    <c:plotArea>
      <c:layout/>
      <c:barChart>
        <c:barDir val="col"/>
        <c:grouping val="clustered"/>
        <c:varyColors val="0"/>
        <c:ser>
          <c:idx val="0"/>
          <c:order val="0"/>
          <c:tx>
            <c:strRef>
              <c:f>'[新建 XLSX 工作表.xlsx]Sheet1'!$A$136</c:f>
              <c:strCache>
                <c:ptCount val="1"/>
                <c:pt idx="0">
                  <c:v>差旅费</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工作表.xlsx]Sheet1'!$B$135:$C$135</c:f>
              <c:strCache>
                <c:ptCount val="2"/>
                <c:pt idx="0">
                  <c:v>2023年</c:v>
                </c:pt>
                <c:pt idx="1">
                  <c:v>2024年</c:v>
                </c:pt>
              </c:strCache>
            </c:strRef>
          </c:cat>
          <c:val>
            <c:numRef>
              <c:f>'[新建 XLSX 工作表.xlsx]Sheet1'!$B$136:$C$136</c:f>
              <c:numCache>
                <c:formatCode>General</c:formatCode>
                <c:ptCount val="2"/>
                <c:pt idx="0">
                  <c:v>125.02</c:v>
                </c:pt>
                <c:pt idx="1">
                  <c:v>127.6</c:v>
                </c:pt>
              </c:numCache>
            </c:numRef>
          </c:val>
        </c:ser>
        <c:dLbls>
          <c:showLegendKey val="0"/>
          <c:showVal val="1"/>
          <c:showCatName val="0"/>
          <c:showSerName val="0"/>
          <c:showPercent val="0"/>
          <c:showBubbleSize val="0"/>
        </c:dLbls>
        <c:gapWidth val="150"/>
        <c:overlap val="0"/>
        <c:axId val="500166636"/>
        <c:axId val="496172513"/>
      </c:barChart>
      <c:catAx>
        <c:axId val="500166636"/>
        <c:scaling>
          <c:orientation val="minMax"/>
        </c:scaling>
        <c:delete val="0"/>
        <c:axPos val="b"/>
        <c:numFmt formatCode="General" sourceLinked="1"/>
        <c:majorTickMark val="none"/>
        <c:minorTickMark val="none"/>
        <c:tickLblPos val="nextTo"/>
        <c:spPr>
          <a:noFill/>
          <a:ln w="6350" cap="flat" cmpd="sng" algn="ctr">
            <a:solidFill>
              <a:srgbClr val="808080">
                <a:lumMod val="50000"/>
                <a:lumOff val="50000"/>
                <a:alpha val="25000"/>
              </a:srgbClr>
            </a:solidFill>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96172513"/>
        <c:crosses val="autoZero"/>
        <c:auto val="1"/>
        <c:lblAlgn val="ctr"/>
        <c:lblOffset val="100"/>
        <c:noMultiLvlLbl val="0"/>
      </c:catAx>
      <c:valAx>
        <c:axId val="496172513"/>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w="6350">
            <a:solidFill>
              <a:srgbClr val="808080">
                <a:lumMod val="50000"/>
                <a:lumOff val="50000"/>
                <a:alpha val="25000"/>
              </a:srgbClr>
            </a:solidFill>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0016663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efc12006-09af-4aa1-9030-cbb789d770c9}"/>
      </c:ext>
    </c:extLst>
  </c:chart>
  <c:spPr>
    <a:solidFill>
      <a:srgbClr val="FFFFFF"/>
    </a:solidFill>
    <a:ln w="6350" cap="flat" cmpd="sng" algn="ctr">
      <a:solidFill>
        <a:srgbClr val="808080">
          <a:lumMod val="50000"/>
          <a:lumOff val="50000"/>
          <a:alpha val="25000"/>
        </a:srgbClr>
      </a:solidFill>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rgbClr val="000000"/>
    </cs:fontRef>
    <cs:spPr>
      <a:gradFill>
        <a:gsLst>
          <a:gs pos="0">
            <a:srgbClr val="FFFFFF">
              <a:lumMod val="40000"/>
              <a:lumOff val="60000"/>
            </a:srgbClr>
          </a:gs>
          <a:gs pos="90000">
            <a:srgbClr val="FFFFFF"/>
          </a:gs>
        </a:gsLst>
        <a:lin ang="5400000" scaled="0"/>
      </a:gradFill>
      <a:ln>
        <a:gradFill>
          <a:gsLst>
            <a:gs pos="0">
              <a:srgbClr val="FFFFFF"/>
            </a:gs>
            <a:gs pos="100000">
              <a:srgbClr val="BFBFBF">
                <a:lumMod val="75000"/>
              </a:srgbClr>
            </a:gs>
          </a:gsLst>
          <a:lin ang="5400000" scaled="1"/>
        </a:gradFill>
      </a:ln>
      <a:effectLst>
        <a:outerShdw blurRad="76200" dist="25400" dir="2700000" algn="tl" rotWithShape="0">
          <a:srgbClr val="808080">
            <a:lumMod val="50000"/>
            <a:alpha val="30000"/>
          </a:srgbClr>
        </a:outerShdw>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rgbClr val="000000"/>
    </cs:fontRef>
    <cs:spPr>
      <a:gradFill>
        <a:gsLst>
          <a:gs pos="0">
            <a:srgbClr val="FFFFFF">
              <a:lumMod val="40000"/>
              <a:lumOff val="60000"/>
            </a:srgbClr>
          </a:gs>
          <a:gs pos="90000">
            <a:srgbClr val="FFFFFF"/>
          </a:gs>
        </a:gsLst>
        <a:lin ang="5400000" scaled="0"/>
      </a:gradFill>
      <a:ln>
        <a:gradFill>
          <a:gsLst>
            <a:gs pos="0">
              <a:srgbClr val="FFFFFF"/>
            </a:gs>
            <a:gs pos="100000">
              <a:srgbClr val="BFBFBF">
                <a:lumMod val="75000"/>
              </a:srgbClr>
            </a:gs>
          </a:gsLst>
          <a:lin ang="5400000" scaled="1"/>
        </a:gradFill>
      </a:ln>
      <a:effectLst>
        <a:outerShdw blurRad="76200" dist="25400" dir="2700000" algn="tl" rotWithShape="0">
          <a:srgbClr val="808080">
            <a:lumMod val="50000"/>
            <a:alpha val="30000"/>
          </a:srgbClr>
        </a:outerShdw>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1009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styleClr val="auto"/>
    </cs:lnRef>
    <cs:fillRef idx="1">
      <cs:styleClr val="auto"/>
    </cs:fillRef>
    <cs:effectRef idx="0"/>
    <cs:fontRef idx="minor">
      <a:srgbClr val="000000"/>
    </cs:fontRef>
    <cs:spPr>
      <a:ln>
        <a:solidFill>
          <a:srgbClr val="FFFFFF"/>
        </a:solidFill>
      </a:ln>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1009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styleClr val="auto"/>
    </cs:lnRef>
    <cs:fillRef idx="1">
      <cs:styleClr val="auto"/>
    </cs:fillRef>
    <cs:effectRef idx="0"/>
    <cs:fontRef idx="minor">
      <a:srgbClr val="000000"/>
    </cs:fontRef>
    <cs:spPr>
      <a:ln>
        <a:solidFill>
          <a:srgbClr val="FFFFFF"/>
        </a:solidFill>
      </a:ln>
      <a:effectLst/>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10028">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0">
      <cs:styleClr val="auto"/>
    </cs:fillRef>
    <cs:effectRef idx="0"/>
    <cs:fontRef idx="minor">
      <a:srgbClr val="000000"/>
    </cs:fontRef>
    <cs:spPr>
      <a:ln w="28575" cap="rnd">
        <a:solidFill>
          <a:srgbClr val="FFFFFF"/>
        </a:solidFill>
        <a:round/>
      </a:ln>
      <a:effectLst/>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10028">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0">
      <cs:styleClr val="auto"/>
    </cs:fillRef>
    <cs:effectRef idx="0"/>
    <cs:fontRef idx="minor">
      <a:srgbClr val="000000"/>
    </cs:fontRef>
    <cs:spPr>
      <a:ln w="28575" cap="rnd">
        <a:solidFill>
          <a:srgbClr val="FFFFFF"/>
        </a:solidFill>
        <a:round/>
      </a:ln>
      <a:effectLst/>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9.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5.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6.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Freesoho</Company>
  <Pages>22</Pages>
  <Words>9470</Words>
  <Characters>10886</Characters>
  <Lines>16</Lines>
  <Paragraphs>4</Paragraphs>
  <TotalTime>13</TotalTime>
  <ScaleCrop>false</ScaleCrop>
  <LinksUpToDate>false</LinksUpToDate>
  <CharactersWithSpaces>10942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2023-09-17T10:48:00Z</dcterms:created>
  <dc:creator>lfq</dc:creator>
  <cp:lastModifiedBy>岳PC端</cp:lastModifiedBy>
  <cp:lastPrinted>2025-02-08T10:14:00Z</cp:lastPrinted>
  <dcterms:modified xsi:type="dcterms:W3CDTF">2025-06-18T03:26:38Z</dcterms:modified>
  <dc:title>部门决算分析报告撰写提纲（部门用）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BA74075B1A174F44B623C9C0F4F5812C</vt:lpwstr>
  </property>
  <property fmtid="{D5CDD505-2E9C-101B-9397-08002B2CF9AE}" pid="4" name="KSOTemplateDocerSaveRecord">
    <vt:lpwstr>eyJoZGlkIjoiMjFlOTlkOWY2YWFiMjNiNTI1ZGEyOWJmNTZiNzZjZTEiLCJ1c2VySWQiOiIxNTMxMDU2NzUxIn0=</vt:lpwstr>
  </property>
</Properties>
</file>