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8441"/>
      <w:bookmarkStart w:id="1" w:name="_Toc15396597"/>
      <w:bookmarkStart w:id="2" w:name="_Toc15377425"/>
      <w:bookmarkStart w:id="3" w:name="_Toc15377193"/>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4636"/>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default" w:ascii="方正小标宋简体" w:hAnsi="方正小标宋简体" w:eastAsia="方正小标宋简体" w:cs="方正小标宋简体"/>
          <w:color w:val="auto"/>
          <w:sz w:val="72"/>
          <w:szCs w:val="72"/>
          <w:highlight w:val="none"/>
          <w:lang w:eastAsia="zh-CN"/>
        </w:rPr>
      </w:pPr>
      <w:bookmarkStart w:id="7" w:name="_Toc15396598"/>
      <w:bookmarkStart w:id="8" w:name="_Toc15377426"/>
      <w:bookmarkStart w:id="9" w:name="_Toc15306268"/>
      <w:bookmarkStart w:id="10" w:name="_Toc1710"/>
      <w:bookmarkStart w:id="11" w:name="_Toc15396476"/>
      <w:bookmarkStart w:id="12" w:name="_Toc15377194"/>
      <w:bookmarkStart w:id="13" w:name="_Toc15378442"/>
      <w:r>
        <w:rPr>
          <w:rFonts w:hint="default" w:ascii="方正小标宋简体" w:hAnsi="方正小标宋简体" w:eastAsia="方正小标宋简体" w:cs="方正小标宋简体"/>
          <w:color w:val="auto"/>
          <w:sz w:val="72"/>
          <w:szCs w:val="72"/>
          <w:highlight w:val="none"/>
          <w:lang w:eastAsia="zh-CN"/>
        </w:rPr>
        <w:t>四川省巴中市人民检察院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sdt>
      <w:sdtPr>
        <w:rPr>
          <w:rFonts w:ascii="宋体" w:hAnsi="宋体" w:eastAsia="宋体" w:cs="Times New Roman"/>
          <w:kern w:val="2"/>
          <w:sz w:val="24"/>
          <w:szCs w:val="24"/>
          <w:lang w:val="en-US" w:eastAsia="zh-CN" w:bidi="ar-SA"/>
        </w:rPr>
        <w:id w:val="14746079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sz w:val="24"/>
              <w:szCs w:val="24"/>
            </w:rPr>
          </w:pPr>
          <w:bookmarkStart w:id="14" w:name="_Toc15396599"/>
          <w:bookmarkStart w:id="15" w:name="_Toc15377196"/>
          <w:r>
            <w:rPr>
              <w:sz w:val="24"/>
              <w:szCs w:val="24"/>
            </w:rPr>
            <w:fldChar w:fldCharType="begin"/>
          </w:r>
          <w:r>
            <w:rPr>
              <w:sz w:val="24"/>
              <w:szCs w:val="24"/>
            </w:rPr>
            <w:instrText xml:space="preserve">TOC \o "1-2" \h \u </w:instrText>
          </w:r>
          <w:r>
            <w:rPr>
              <w:sz w:val="24"/>
              <w:szCs w:val="24"/>
            </w:rPr>
            <w:fldChar w:fldCharType="separate"/>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_Toc18520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 xml:space="preserve">第一部分 </w:t>
          </w:r>
          <w:r>
            <w:rPr>
              <w:rFonts w:hint="eastAsia" w:ascii="仿宋" w:hAnsi="仿宋" w:eastAsia="仿宋" w:cs="仿宋"/>
              <w:b/>
              <w:bCs w:val="0"/>
              <w:sz w:val="24"/>
              <w:szCs w:val="24"/>
              <w:highlight w:val="none"/>
            </w:rPr>
            <w:t>部门概况</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_Toc18520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_Toc7397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_Toc7397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_Toc30462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二、机</w:t>
          </w:r>
          <w:r>
            <w:rPr>
              <w:rFonts w:hint="eastAsia" w:ascii="仿宋" w:hAnsi="仿宋" w:eastAsia="仿宋" w:cs="仿宋"/>
              <w:bCs w:val="0"/>
              <w:sz w:val="24"/>
              <w:szCs w:val="24"/>
              <w:highlight w:val="none"/>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_Toc30462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_Toc13386 </w:instrText>
          </w:r>
          <w:r>
            <w:rPr>
              <w:rFonts w:hint="eastAsia" w:ascii="仿宋" w:hAnsi="仿宋" w:eastAsia="仿宋" w:cs="仿宋"/>
              <w:b/>
              <w:sz w:val="24"/>
              <w:szCs w:val="24"/>
            </w:rPr>
            <w:fldChar w:fldCharType="separate"/>
          </w:r>
          <w:r>
            <w:rPr>
              <w:rFonts w:hint="eastAsia" w:ascii="仿宋" w:hAnsi="仿宋" w:eastAsia="仿宋" w:cs="仿宋"/>
              <w:b/>
              <w:bCs/>
              <w:sz w:val="24"/>
              <w:szCs w:val="24"/>
              <w:highlight w:val="none"/>
            </w:rPr>
            <w:t xml:space="preserve">第二部分 </w:t>
          </w:r>
          <w:r>
            <w:rPr>
              <w:rFonts w:hint="eastAsia" w:ascii="仿宋" w:hAnsi="仿宋" w:eastAsia="仿宋" w:cs="仿宋"/>
              <w:b/>
              <w:bCs/>
              <w:sz w:val="24"/>
              <w:szCs w:val="24"/>
              <w:highlight w:val="none"/>
              <w:lang w:val="en-US" w:eastAsia="zh-CN"/>
            </w:rPr>
            <w:t>2022年度</w:t>
          </w:r>
          <w:r>
            <w:rPr>
              <w:rFonts w:hint="eastAsia" w:ascii="仿宋" w:hAnsi="仿宋" w:eastAsia="仿宋" w:cs="仿宋"/>
              <w:b/>
              <w:bCs/>
              <w:sz w:val="24"/>
              <w:szCs w:val="24"/>
              <w:highlight w:val="none"/>
            </w:rPr>
            <w:t>部门决算情况说明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_Toc13386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_Toc30653 </w:instrText>
          </w:r>
          <w:r>
            <w:rPr>
              <w:rFonts w:hint="eastAsia" w:ascii="仿宋" w:hAnsi="仿宋" w:eastAsia="仿宋" w:cs="仿宋"/>
              <w:sz w:val="24"/>
              <w:szCs w:val="24"/>
            </w:rPr>
            <w:fldChar w:fldCharType="separate"/>
          </w:r>
          <w:r>
            <w:rPr>
              <w:rFonts w:hint="eastAsia" w:ascii="仿宋" w:hAnsi="仿宋" w:eastAsia="仿宋" w:cs="仿宋"/>
              <w:sz w:val="24"/>
              <w:szCs w:val="24"/>
            </w:rPr>
            <w:t>一、</w:t>
          </w:r>
          <w:r>
            <w:rPr>
              <w:rFonts w:hint="eastAsia" w:ascii="仿宋" w:hAnsi="仿宋" w:eastAsia="仿宋" w:cs="仿宋"/>
              <w:sz w:val="24"/>
              <w:szCs w:val="24"/>
              <w:highlight w:val="none"/>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_Toc30653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_Toc25008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highlight w:val="none"/>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_Toc25008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_Toc834 </w:instrText>
          </w:r>
          <w:r>
            <w:rPr>
              <w:rFonts w:hint="eastAsia" w:ascii="仿宋" w:hAnsi="仿宋" w:eastAsia="仿宋" w:cs="仿宋"/>
              <w:sz w:val="24"/>
              <w:szCs w:val="24"/>
            </w:rPr>
            <w:fldChar w:fldCharType="separate"/>
          </w:r>
          <w:r>
            <w:rPr>
              <w:rFonts w:hint="eastAsia" w:ascii="仿宋" w:hAnsi="仿宋" w:eastAsia="仿宋" w:cs="仿宋"/>
              <w:sz w:val="24"/>
              <w:szCs w:val="24"/>
            </w:rPr>
            <w:t>三、</w:t>
          </w:r>
          <w:r>
            <w:rPr>
              <w:rFonts w:hint="eastAsia" w:ascii="仿宋" w:hAnsi="仿宋" w:eastAsia="仿宋" w:cs="仿宋"/>
              <w:sz w:val="24"/>
              <w:szCs w:val="24"/>
              <w:highlight w:val="none"/>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_Toc11972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_Toc11972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_Toc6906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_Toc6906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_Toc4396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_Toc2375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_Toc6418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_Toc6418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_Toc14989 </w:instrText>
          </w:r>
          <w:r>
            <w:rPr>
              <w:rFonts w:hint="eastAsia" w:ascii="仿宋" w:hAnsi="仿宋" w:eastAsia="仿宋" w:cs="仿宋"/>
              <w:sz w:val="24"/>
              <w:szCs w:val="24"/>
            </w:rPr>
            <w:fldChar w:fldCharType="separate"/>
          </w:r>
          <w:r>
            <w:rPr>
              <w:rFonts w:hint="eastAsia" w:ascii="仿宋" w:hAnsi="仿宋" w:eastAsia="仿宋" w:cs="仿宋"/>
              <w:sz w:val="24"/>
              <w:szCs w:val="24"/>
            </w:rPr>
            <w:t>九、</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_Toc14989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_Toc30716 </w:instrText>
          </w:r>
          <w:r>
            <w:rPr>
              <w:rFonts w:hint="eastAsia" w:ascii="仿宋" w:hAnsi="仿宋" w:eastAsia="仿宋" w:cs="仿宋"/>
              <w:sz w:val="24"/>
              <w:szCs w:val="24"/>
            </w:rPr>
            <w:fldChar w:fldCharType="separate"/>
          </w:r>
          <w:r>
            <w:rPr>
              <w:rFonts w:hint="eastAsia" w:ascii="仿宋" w:hAnsi="仿宋" w:eastAsia="仿宋" w:cs="仿宋"/>
              <w:sz w:val="24"/>
              <w:szCs w:val="24"/>
            </w:rPr>
            <w:t>十、</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_Toc30716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_Toc23740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第三部分 </w:t>
          </w:r>
          <w:r>
            <w:rPr>
              <w:rFonts w:hint="eastAsia" w:ascii="仿宋" w:hAnsi="仿宋" w:eastAsia="仿宋" w:cs="仿宋"/>
              <w:b/>
              <w:sz w:val="24"/>
              <w:szCs w:val="24"/>
              <w:highlight w:val="none"/>
            </w:rPr>
            <w:t>名词解释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_Toc23740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_Toc28035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第四部分 附件</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_Toc28035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_Toc26800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_Toc26800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default"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_Toc22884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第五部分 附表</w:t>
          </w:r>
          <w:r>
            <w:rPr>
              <w:rFonts w:hint="eastAsia" w:ascii="仿宋" w:hAnsi="仿宋" w:eastAsia="仿宋" w:cs="仿宋"/>
              <w:b/>
              <w:sz w:val="24"/>
              <w:szCs w:val="24"/>
            </w:rPr>
            <w:tab/>
          </w:r>
          <w:r>
            <w:rPr>
              <w:rFonts w:hint="default" w:ascii="仿宋" w:hAnsi="仿宋" w:eastAsia="仿宋" w:cs="仿宋"/>
              <w:b/>
              <w:sz w:val="24"/>
              <w:szCs w:val="24"/>
            </w:rPr>
            <w:t>7</w:t>
          </w:r>
          <w:r>
            <w:rPr>
              <w:rFonts w:hint="eastAsia" w:ascii="仿宋" w:hAnsi="仿宋" w:eastAsia="仿宋" w:cs="仿宋"/>
              <w:b/>
              <w:sz w:val="24"/>
              <w:szCs w:val="24"/>
            </w:rPr>
            <w:fldChar w:fldCharType="end"/>
          </w:r>
          <w:r>
            <w:rPr>
              <w:rFonts w:hint="default" w:ascii="仿宋" w:hAnsi="仿宋" w:eastAsia="仿宋" w:cs="仿宋"/>
              <w:b/>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一、收</w:t>
          </w:r>
          <w:r>
            <w:rPr>
              <w:rFonts w:hint="eastAsia" w:ascii="仿宋" w:hAnsi="仿宋" w:eastAsia="仿宋" w:cs="仿宋"/>
              <w:bCs w:val="0"/>
              <w:sz w:val="24"/>
              <w:szCs w:val="24"/>
              <w:highlight w:val="none"/>
            </w:rPr>
            <w:t>入支出决算总表</w:t>
          </w:r>
          <w:r>
            <w:rPr>
              <w:rFonts w:hint="eastAsia" w:ascii="仿宋" w:hAnsi="仿宋" w:eastAsia="仿宋" w:cs="仿宋"/>
              <w:sz w:val="24"/>
              <w:szCs w:val="24"/>
            </w:rPr>
            <w:tab/>
          </w:r>
          <w:r>
            <w:rPr>
              <w:rFonts w:hint="default" w:ascii="仿宋" w:hAnsi="仿宋" w:eastAsia="仿宋" w:cs="仿宋"/>
              <w:sz w:val="24"/>
              <w:szCs w:val="24"/>
            </w:rPr>
            <w:t>7</w:t>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_Toc29781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二、收</w:t>
          </w:r>
          <w:r>
            <w:rPr>
              <w:rFonts w:hint="eastAsia" w:ascii="仿宋" w:hAnsi="仿宋" w:eastAsia="仿宋" w:cs="仿宋"/>
              <w:bCs w:val="0"/>
              <w:sz w:val="24"/>
              <w:szCs w:val="24"/>
              <w:highlight w:val="none"/>
            </w:rPr>
            <w:t>入决算表</w:t>
          </w:r>
          <w:r>
            <w:rPr>
              <w:rFonts w:hint="eastAsia" w:ascii="仿宋" w:hAnsi="仿宋" w:eastAsia="仿宋" w:cs="仿宋"/>
              <w:sz w:val="24"/>
              <w:szCs w:val="24"/>
            </w:rPr>
            <w:tab/>
          </w:r>
          <w:r>
            <w:rPr>
              <w:rFonts w:hint="default" w:ascii="仿宋" w:hAnsi="仿宋" w:eastAsia="仿宋" w:cs="仿宋"/>
              <w:sz w:val="24"/>
              <w:szCs w:val="24"/>
            </w:rPr>
            <w:t>7</w:t>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_Toc32502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w:t>
          </w:r>
          <w:r>
            <w:rPr>
              <w:rFonts w:hint="eastAsia" w:ascii="仿宋" w:hAnsi="仿宋" w:eastAsia="仿宋" w:cs="仿宋"/>
              <w:sz w:val="24"/>
              <w:szCs w:val="24"/>
              <w:highlight w:val="none"/>
            </w:rPr>
            <w:t>支</w:t>
          </w:r>
          <w:r>
            <w:rPr>
              <w:rFonts w:hint="eastAsia" w:ascii="仿宋" w:hAnsi="仿宋" w:eastAsia="仿宋" w:cs="仿宋"/>
              <w:bCs w:val="0"/>
              <w:sz w:val="24"/>
              <w:szCs w:val="24"/>
              <w:highlight w:val="none"/>
            </w:rPr>
            <w:t>出决算表</w:t>
          </w:r>
          <w:r>
            <w:rPr>
              <w:rFonts w:hint="eastAsia" w:ascii="仿宋" w:hAnsi="仿宋" w:eastAsia="仿宋" w:cs="仿宋"/>
              <w:sz w:val="24"/>
              <w:szCs w:val="24"/>
            </w:rPr>
            <w:tab/>
          </w:r>
          <w:r>
            <w:rPr>
              <w:rFonts w:hint="default" w:ascii="仿宋" w:hAnsi="仿宋" w:eastAsia="仿宋" w:cs="仿宋"/>
              <w:sz w:val="24"/>
              <w:szCs w:val="24"/>
            </w:rPr>
            <w:t>7</w:t>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_Toc2005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_Toc14055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五、</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_Toc14055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_Toc16595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六、</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_Toc16595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_Toc16663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七、</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_Toc16663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_Toc31712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八、</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_Toc31712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_Toc6077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九、</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_Toc6077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_Toc8880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w:t>
          </w:r>
          <w:r>
            <w:rPr>
              <w:rFonts w:hint="eastAsia" w:ascii="仿宋" w:hAnsi="仿宋" w:eastAsia="仿宋" w:cs="仿宋"/>
              <w:sz w:val="24"/>
              <w:szCs w:val="24"/>
              <w:highlight w:val="none"/>
            </w:rPr>
            <w:t>政</w:t>
          </w:r>
          <w:r>
            <w:rPr>
              <w:rFonts w:hint="eastAsia" w:ascii="仿宋" w:hAnsi="仿宋" w:eastAsia="仿宋" w:cs="仿宋"/>
              <w:bCs w:val="0"/>
              <w:sz w:val="24"/>
              <w:szCs w:val="24"/>
              <w:highlight w:val="none"/>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_Toc8880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_Toc23717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十一、</w:t>
          </w:r>
          <w:r>
            <w:rPr>
              <w:rFonts w:hint="eastAsia" w:ascii="仿宋" w:hAnsi="仿宋" w:eastAsia="仿宋" w:cs="仿宋"/>
              <w:sz w:val="24"/>
              <w:szCs w:val="24"/>
              <w:highlight w:val="none"/>
            </w:rPr>
            <w:t>国</w:t>
          </w:r>
          <w:r>
            <w:rPr>
              <w:rFonts w:hint="eastAsia" w:ascii="仿宋" w:hAnsi="仿宋" w:eastAsia="仿宋" w:cs="仿宋"/>
              <w:bCs w:val="0"/>
              <w:sz w:val="24"/>
              <w:szCs w:val="24"/>
              <w:highlight w:val="none"/>
            </w:rPr>
            <w:t>有资本经营预算</w:t>
          </w:r>
          <w:r>
            <w:rPr>
              <w:rFonts w:hint="eastAsia" w:ascii="仿宋" w:hAnsi="仿宋" w:eastAsia="仿宋" w:cs="仿宋"/>
              <w:bCs w:val="0"/>
              <w:sz w:val="24"/>
              <w:szCs w:val="24"/>
              <w:highlight w:val="none"/>
              <w:lang w:eastAsia="zh-CN"/>
            </w:rPr>
            <w:t>财政拨款收入</w:t>
          </w:r>
          <w:r>
            <w:rPr>
              <w:rFonts w:hint="eastAsia" w:ascii="仿宋" w:hAnsi="仿宋" w:eastAsia="仿宋" w:cs="仿宋"/>
              <w:bCs w:val="0"/>
              <w:sz w:val="24"/>
              <w:szCs w:val="24"/>
              <w:highlight w:val="none"/>
            </w:rPr>
            <w:t>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_Toc23717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_Toc31497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十二、</w:t>
          </w:r>
          <w:r>
            <w:rPr>
              <w:rFonts w:hint="eastAsia" w:ascii="仿宋" w:hAnsi="仿宋" w:eastAsia="仿宋" w:cs="仿宋"/>
              <w:bCs w:val="0"/>
              <w:sz w:val="24"/>
              <w:szCs w:val="24"/>
              <w:highlight w:val="none"/>
              <w:lang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_Toc31497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pPr>
            <w:pStyle w:val="36"/>
            <w:tabs>
              <w:tab w:val="right" w:leader="dot" w:pos="8306"/>
            </w:tabs>
            <w:rPr>
              <w:rFonts w:hint="default"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_Toc25862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十三、</w:t>
          </w:r>
          <w:r>
            <w:rPr>
              <w:rFonts w:hint="eastAsia" w:ascii="仿宋" w:hAnsi="仿宋" w:eastAsia="仿宋" w:cs="仿宋"/>
              <w:bCs w:val="0"/>
              <w:sz w:val="24"/>
              <w:szCs w:val="24"/>
              <w:highlight w:val="none"/>
              <w:lang w:eastAsia="zh-CN"/>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_Toc25862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default" w:ascii="仿宋" w:hAnsi="仿宋" w:eastAsia="仿宋" w:cs="仿宋"/>
              <w:sz w:val="24"/>
              <w:szCs w:val="24"/>
            </w:rPr>
            <w:t>8</w:t>
          </w:r>
        </w:p>
        <w:p>
          <w:r>
            <w:rPr>
              <w:b/>
              <w:sz w:val="24"/>
              <w:szCs w:val="24"/>
            </w:rPr>
            <w:fldChar w:fldCharType="end"/>
          </w:r>
        </w:p>
      </w:sdtContent>
    </w:sdt>
    <w:p>
      <w:pPr>
        <w:rPr>
          <w:rFonts w:hint="eastAsia" w:ascii="黑体" w:hAnsi="黑体" w:eastAsia="黑体"/>
          <w:b w:val="0"/>
          <w:color w:val="auto"/>
          <w:highlight w:val="none"/>
        </w:rPr>
      </w:pPr>
      <w:bookmarkStart w:id="16" w:name="_Toc18520"/>
      <w:r>
        <w:rPr>
          <w:rFonts w:hint="eastAsia" w:ascii="黑体" w:hAnsi="黑体" w:eastAsia="黑体"/>
          <w:b w:val="0"/>
          <w:color w:val="auto"/>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4"/>
      <w:bookmarkEnd w:id="15"/>
      <w:bookmarkEnd w:id="16"/>
    </w:p>
    <w:p>
      <w:pPr>
        <w:pStyle w:val="4"/>
        <w:rPr>
          <w:rFonts w:hint="eastAsia" w:ascii="黑体" w:hAnsi="黑体" w:eastAsia="黑体"/>
          <w:b w:val="0"/>
          <w:color w:val="auto"/>
          <w:highlight w:val="none"/>
          <w:lang w:eastAsia="zh-CN"/>
        </w:rPr>
      </w:pPr>
      <w:bookmarkStart w:id="17" w:name="_Toc15377197"/>
      <w:bookmarkStart w:id="18" w:name="_Toc15396600"/>
      <w:bookmarkStart w:id="19" w:name="_Toc7397"/>
      <w:r>
        <w:rPr>
          <w:rFonts w:hint="eastAsia" w:ascii="黑体" w:hAnsi="黑体" w:eastAsia="黑体"/>
          <w:b w:val="0"/>
          <w:color w:val="auto"/>
          <w:highlight w:val="none"/>
        </w:rPr>
        <w:t>一、</w:t>
      </w:r>
      <w:bookmarkEnd w:id="17"/>
      <w:bookmarkEnd w:id="18"/>
      <w:r>
        <w:rPr>
          <w:rFonts w:hint="eastAsia" w:ascii="黑体" w:hAnsi="黑体" w:eastAsia="黑体"/>
          <w:b w:val="0"/>
          <w:color w:val="auto"/>
          <w:highlight w:val="none"/>
          <w:lang w:eastAsia="zh-CN"/>
        </w:rPr>
        <w:t>部门职责</w:t>
      </w:r>
      <w:bookmarkEnd w:id="19"/>
    </w:p>
    <w:p>
      <w:pPr>
        <w:ind w:firstLine="800" w:firstLineChars="250"/>
        <w:rPr>
          <w:rFonts w:hint="eastAsia" w:ascii="仿宋" w:hAnsi="仿宋" w:eastAsia="仿宋"/>
          <w:color w:val="auto"/>
          <w:sz w:val="32"/>
          <w:szCs w:val="32"/>
          <w:highlight w:val="none"/>
          <w:lang w:eastAsia="zh-CN"/>
        </w:rPr>
      </w:pPr>
      <w:bookmarkStart w:id="20" w:name="_Toc30462"/>
      <w:bookmarkStart w:id="21" w:name="_Toc15377200"/>
      <w:bookmarkStart w:id="22" w:name="_Toc15396601"/>
      <w:r>
        <w:rPr>
          <w:rFonts w:hint="eastAsia" w:ascii="仿宋" w:hAnsi="仿宋" w:eastAsia="仿宋"/>
          <w:color w:val="auto"/>
          <w:sz w:val="32"/>
          <w:szCs w:val="32"/>
          <w:highlight w:val="none"/>
          <w:lang w:eastAsia="zh-CN"/>
        </w:rPr>
        <w:t>1.依法对巴中市人民代表大会及其常务委员会负责并报告工作。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2.领导全市检察机关的工作，按照最高人民检察院、四川省人民检察院确定的工作方针，部署全市检察工作任务。</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负责全市检察机关文电、会务、机要、档案、保密等工作。组织协调全市检察机关重要工作部署、重大决策的贯彻实施。承担综合性绩效考核相关工作。起草审核相关文件文稿，处理检察信息，负责领导批办事项督查工作。负责人大代表、政协委员联络工作和特约检察员的联系工作，组织指导人民监督员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4.负责对巴中市监察委员会移送职务犯罪案件的审查逮捕、审查起诉、出庭支持公诉、抗诉，开展相关审判监督以及相关案件的补充侦查。负责对破坏社会主义市场经济秩序犯罪案件的审查逮捕、审查起诉、出庭支持公诉、抗诉，开展相关立案监督、侦查监督、审判监督以及相关案件的补充侦查。</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5.负责对第4项职能之外的刑事案件的审查逮捕、审查起诉、出庭支持公诉、抗诉，开展相关立案监督、侦查监督、审判监督以及相关案件的补充侦查。办理相关刑事申诉案件。</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6.负责对监狱、看守所、社区矫正机构等执法活动的监督，对刑事判决、裁定执行、强制医疗执行、羁押和办案期限的监督，羁押必要性审查。办理罪犯又犯罪案件。负责对司法工作人员利用职权实施的非法拘禁、刑讯逼供、非法搜查等14项侵犯公民权利、损害司法公正犯罪，以及按照刑事诉讼法规定需要人民检察院直接受理的其他重大犯罪案件的侦查。</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7.负责办理申请监督和提请抗诉的民事、行政案件的审查、抗诉。承办对巴中市中级人民法院民事、行政诉讼活动的法律监督，对审判监督程序以外的其他民事、行政审判程序中审判人员的违法行为提出检察建议，对民事执行、行政执法活动实行法律监督。开展民事支持起诉工作。办理民事、行政申诉案件。</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8.负责办理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巴中市中级人民法院开庭审理的公益诉讼案件，派员出席法庭，依照有关规定提出检察建议。办理公益诉讼申诉案件。</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9.负责对未成年人犯罪和侵害未成年人犯罪案件的审查逮捕、审查起诉、出庭支持公诉、抗诉，开展相关立案监督、侦查监督、审判监督以及相关案件的补充侦查。开展未成年人司法保护和预防未成年人犯罪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10.负责受理控告和申诉。承办国家赔偿案件和国家司法救助案件。</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11.负责法律政策、检察基础理论、检察应用理论、法治建设等方面的调查研究工作。对征求意见的立法、地方立法草案进行研究，提出修改意见和建议。负责检察委员会、检察官协会、专家咨询委员会的日常工作。编辑有关检察刊物。负责司法体制改革综合协调相关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12.负责案件的统一受理流转、办案流程监控、涉案财物管理、法律文书监管、案件信息公开，统一组织办案质量评查、业务考评和业务统计分析研判等工作。负责接待律师等诉讼参与人依法行使诉讼权利。负责业务信息化需求统筹，指导全市检察机关统一业务应用系统的应用。</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13.制定实施全市检察机关财务和装备规划，编制巴中市人民检察院支出规划和部门预决算，负责本级财务管理、国有资产管理、车辆管理、政府采购等工作，负责机关安保等工作。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14.承担对全市检察机关执行法律、法规和最高人民检察院、四川省人民检察院、巴中市人民检察院的规定、决定等情况进行督察。承担内部审计工作。承担党组巡察工作领导小组日常工作。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15.负责指导全市检察技术工作，组织全市检察机关重大技术疑难案件会检。制定全市检察机关技术工作计划和业务规章制度。依职权组织全市检察技术人员的业务培训和职称评定。受理和承办各类案件的现场勘验、检验鉴定和技术性证据审查。负责全市检察信息化和智慧检察的总体规划和统筹推进。承担相关软件研制、开发、推广和维护。负责全市检察机关通信网络系统管理和维护，承担三级专线网、检察工作网、互联网等网络的建设、维护和管理。</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16.负责全市检察机关思想政治工作、新闻宣传、舆论引导、组织人事、教育培训、离退休干部、司法警察等工作。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17.协同市委主管部门管理和考核县、区人民检察院的检察长；协同县级党委管理和考核县、区人民检察院副检察长及政治处主任；报经四川省人民检察院检察长提请省人民代表大会常务委员会批准任免本院检察长；提请市人民代表大会常务委员会批准或不批准县、区人民检察院检察长的任免；提请市人民代表大会常务委员会任免本院的副检察长、检察委员会委员、检察员。</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18.负责其它应当由市人民检察院承办的事项。</w:t>
      </w:r>
    </w:p>
    <w:p>
      <w:pPr>
        <w:pStyle w:val="2"/>
      </w:pPr>
    </w:p>
    <w:p>
      <w:pPr>
        <w:pStyle w:val="4"/>
        <w:rPr>
          <w:rStyle w:val="29"/>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0"/>
      <w:bookmarkEnd w:id="21"/>
      <w:bookmarkEnd w:id="22"/>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四川省巴中市人民检察院下属二级预算单位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个，参照公务员法管理的事业单位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个。</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纳入四川省巴中市人民检察院20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lang w:eastAsia="zh-CN"/>
        </w:rPr>
        <w:t>年度部门决算编制范围的二级预算单位包括：巴中市人民检察院信息中心。</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23" w:name="_Toc15396602"/>
      <w:bookmarkStart w:id="24" w:name="_Toc13386"/>
      <w:bookmarkStart w:id="25"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23"/>
      <w:bookmarkEnd w:id="24"/>
      <w:bookmarkEnd w:id="25"/>
    </w:p>
    <w:p>
      <w:pPr>
        <w:rPr>
          <w:color w:val="auto"/>
          <w:highlight w:val="none"/>
        </w:rPr>
      </w:pP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6" w:name="_Toc15377205"/>
      <w:bookmarkStart w:id="27" w:name="_Toc15396603"/>
      <w:bookmarkStart w:id="28" w:name="_Toc3065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2610.61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2892.61万元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483.15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386.87万元</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15.62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11.8%</w:t>
      </w:r>
      <w:r>
        <w:rPr>
          <w:rFonts w:hint="eastAsia" w:ascii="仿宋" w:hAnsi="仿宋" w:eastAsia="仿宋"/>
          <w:color w:val="auto"/>
          <w:sz w:val="32"/>
          <w:szCs w:val="32"/>
          <w:highlight w:val="none"/>
        </w:rPr>
        <w:t>。主要变动原因是</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2021年发放当年及上年司改绩效，2022年发放当年司改绩效，故人员经费较上年下降；2021年部分信息化建设项目已完成验收，并支付相关款项，故2022年项目经费较上年下降。</w:t>
      </w:r>
    </w:p>
    <w:p>
      <w:pPr>
        <w:jc w:val="both"/>
      </w:pPr>
      <w:r>
        <w:drawing>
          <wp:inline distT="0" distB="0" distL="114300" distR="114300">
            <wp:extent cx="5269230" cy="3321685"/>
            <wp:effectExtent l="4445" t="4445" r="22225" b="7620"/>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pP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9" w:name="_Toc15396604"/>
      <w:bookmarkStart w:id="30" w:name="_Toc15377206"/>
      <w:bookmarkStart w:id="31" w:name="_Toc25008"/>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rPr>
          <w:rFonts w:hint="eastAsia"/>
          <w:lang w:val="en-US" w:eastAsia="zh-CN"/>
        </w:rPr>
      </w:pPr>
      <w:bookmarkStart w:id="32" w:name="_Toc4707"/>
      <w:r>
        <w:rPr>
          <w:rFonts w:hint="eastAsia" w:ascii="仿宋" w:hAnsi="仿宋" w:eastAsia="仿宋"/>
          <w:color w:val="auto"/>
          <w:sz w:val="32"/>
          <w:szCs w:val="32"/>
          <w:highlight w:val="none"/>
          <w:lang w:val="en-US" w:eastAsia="zh-CN"/>
        </w:rPr>
        <w:t>2022年本年收入合计2610.61万元，其中：一般公共预算财政拨款收入2610.61万元，占100%</w:t>
      </w:r>
      <w:bookmarkEnd w:id="32"/>
      <w:r>
        <w:rPr>
          <w:rFonts w:hint="eastAsia" w:ascii="仿宋" w:hAnsi="仿宋" w:eastAsia="仿宋"/>
          <w:color w:val="auto"/>
          <w:sz w:val="32"/>
          <w:szCs w:val="32"/>
          <w:highlight w:val="none"/>
          <w:lang w:val="en-US" w:eastAsia="zh-CN"/>
        </w:rPr>
        <w:t>。</w:t>
      </w:r>
    </w:p>
    <w:p>
      <w:pPr>
        <w:spacing w:line="600" w:lineRule="exact"/>
        <w:ind w:firstLine="640" w:firstLineChars="200"/>
        <w:outlineLvl w:val="9"/>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pPr>
    </w:p>
    <w:p>
      <w:pPr>
        <w:tabs>
          <w:tab w:val="right" w:pos="7886"/>
        </w:tabs>
        <w:spacing w:line="600" w:lineRule="exact"/>
        <w:ind w:firstLine="420" w:firstLineChars="200"/>
        <w:rPr>
          <w:rFonts w:hint="eastAsia" w:ascii="仿宋_GB2312" w:eastAsia="仿宋_GB2312"/>
          <w:color w:val="auto"/>
          <w:sz w:val="32"/>
          <w:szCs w:val="32"/>
          <w:highlight w:val="none"/>
          <w:lang w:eastAsia="zh-CN"/>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-2491105</wp:posOffset>
            </wp:positionV>
            <wp:extent cx="4657090" cy="2787015"/>
            <wp:effectExtent l="4445" t="4445" r="5715" b="889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color w:val="auto"/>
          <w:sz w:val="32"/>
          <w:szCs w:val="32"/>
          <w:highlight w:val="none"/>
          <w:lang w:eastAsia="zh-CN"/>
        </w:rPr>
        <w:tab/>
      </w:r>
    </w:p>
    <w:p>
      <w:pPr>
        <w:pStyle w:val="2"/>
      </w:pP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33" w:name="_Toc15377207"/>
      <w:bookmarkStart w:id="34" w:name="_Toc15396605"/>
      <w:bookmarkStart w:id="35" w:name="_Toc834"/>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rPr>
          <w:rFonts w:hint="eastAsia" w:ascii="仿宋" w:hAnsi="仿宋" w:eastAsia="仿宋"/>
          <w:color w:val="auto"/>
          <w:sz w:val="32"/>
          <w:szCs w:val="32"/>
          <w:highlight w:val="none"/>
          <w:lang w:val="en-US" w:eastAsia="zh-CN"/>
        </w:rPr>
      </w:pPr>
      <w:bookmarkStart w:id="36" w:name="_Toc10582"/>
      <w:r>
        <w:rPr>
          <w:rFonts w:hint="eastAsia" w:ascii="仿宋" w:hAnsi="仿宋" w:eastAsia="仿宋"/>
          <w:color w:val="auto"/>
          <w:sz w:val="32"/>
          <w:szCs w:val="32"/>
          <w:highlight w:val="none"/>
          <w:lang w:val="en-US" w:eastAsia="zh-CN"/>
        </w:rPr>
        <w:t>2022年本年支出合计2892.61万元，其中：基本支出2202万元，占76.13%；项目支出690.61万元，占23.87%；</w:t>
      </w:r>
      <w:bookmarkEnd w:id="36"/>
    </w:p>
    <w:p>
      <w:pPr>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-2490470</wp:posOffset>
            </wp:positionV>
            <wp:extent cx="4686935" cy="2787015"/>
            <wp:effectExtent l="4445" t="5080" r="13970" b="825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bookmarkStart w:id="37" w:name="_Toc15396606"/>
      <w:bookmarkStart w:id="38" w:name="_Toc15377208"/>
      <w:bookmarkStart w:id="39" w:name="_Toc11972"/>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7"/>
      <w:bookmarkEnd w:id="38"/>
      <w:bookmarkEnd w:id="3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2022年财政拨款收、支总计2610.61万元、2892.61万元。与2021年相比，财政拨款收、支总计各减少483.15万元、570.72万元，下降15.62%、16.48%。</w:t>
      </w:r>
      <w:r>
        <w:rPr>
          <w:rFonts w:hint="eastAsia" w:ascii="仿宋" w:hAnsi="仿宋" w:eastAsia="仿宋"/>
          <w:color w:val="auto"/>
          <w:sz w:val="32"/>
          <w:szCs w:val="32"/>
          <w:highlight w:val="none"/>
        </w:rPr>
        <w:t>主要变动原因是</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2021年发放当年及上年司改绩效，2022年发放当年司改绩效，故人员经费较上年下降；2021年部分信息化建设项目已完成验收，并支付相关款项，故2022年项目经费较上年下降。</w:t>
      </w:r>
    </w:p>
    <w:p>
      <w:pPr>
        <w:pStyle w:val="2"/>
        <w:rPr>
          <w:rFonts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89535</wp:posOffset>
            </wp:positionH>
            <wp:positionV relativeFrom="paragraph">
              <wp:posOffset>153035</wp:posOffset>
            </wp:positionV>
            <wp:extent cx="5268595" cy="3275330"/>
            <wp:effectExtent l="4445" t="4445" r="22860" b="15875"/>
            <wp:wrapNone/>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
      <w:pPr>
        <w:spacing w:line="600" w:lineRule="exact"/>
        <w:outlineLvl w:val="1"/>
        <w:rPr>
          <w:rFonts w:hint="eastAsia" w:ascii="黑体" w:hAnsi="黑体" w:eastAsia="黑体"/>
          <w:color w:val="auto"/>
          <w:sz w:val="32"/>
          <w:szCs w:val="32"/>
          <w:highlight w:val="none"/>
        </w:rPr>
      </w:pPr>
      <w:bookmarkStart w:id="40" w:name="_Toc15377209"/>
      <w:bookmarkStart w:id="41" w:name="_Toc15396607"/>
      <w:bookmarkStart w:id="42" w:name="_Toc6906"/>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40"/>
      <w:bookmarkEnd w:id="41"/>
      <w:bookmarkEnd w:id="42"/>
    </w:p>
    <w:p>
      <w:pPr>
        <w:spacing w:line="600" w:lineRule="exact"/>
        <w:ind w:firstLine="642" w:firstLineChars="200"/>
        <w:outlineLvl w:val="2"/>
        <w:rPr>
          <w:rFonts w:ascii="仿宋" w:hAnsi="仿宋" w:eastAsia="仿宋"/>
          <w:b/>
          <w:color w:val="auto"/>
          <w:sz w:val="32"/>
          <w:szCs w:val="32"/>
          <w:highlight w:val="none"/>
        </w:rPr>
      </w:pPr>
      <w:bookmarkStart w:id="43" w:name="_Toc15377210"/>
      <w:r>
        <w:rPr>
          <w:rFonts w:hint="eastAsia" w:ascii="仿宋" w:hAnsi="仿宋" w:eastAsia="仿宋"/>
          <w:b/>
          <w:color w:val="auto"/>
          <w:sz w:val="32"/>
          <w:szCs w:val="32"/>
          <w:highlight w:val="none"/>
        </w:rPr>
        <w:t>（一）一般公共预算财政拨款支出决算总体情况</w:t>
      </w:r>
      <w:bookmarkEnd w:id="43"/>
    </w:p>
    <w:p>
      <w:pPr>
        <w:spacing w:line="600" w:lineRule="exact"/>
        <w:ind w:firstLine="640" w:firstLineChars="200"/>
      </w:pPr>
      <w:r>
        <w:rPr>
          <w:rFonts w:hint="eastAsia" w:ascii="仿宋" w:hAnsi="仿宋" w:eastAsia="仿宋"/>
          <w:color w:val="auto"/>
          <w:sz w:val="32"/>
          <w:szCs w:val="32"/>
          <w:highlight w:val="none"/>
          <w:lang w:val="en-US" w:eastAsia="zh-CN"/>
        </w:rPr>
        <w:t>2022年一般公共预算财政拨款支出2892.61万元，占本年支出合计的100%。与2021年相比，一般公共预算财政拨款支出减少570.72万元，下降16.48%。</w:t>
      </w:r>
      <w:r>
        <w:rPr>
          <w:rFonts w:hint="eastAsia" w:ascii="仿宋" w:hAnsi="仿宋" w:eastAsia="仿宋"/>
          <w:color w:val="auto"/>
          <w:sz w:val="32"/>
          <w:szCs w:val="32"/>
          <w:highlight w:val="none"/>
        </w:rPr>
        <w:t>主要变动原因是</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2021年发放当年及上年司改绩效，2022年发放当年司改绩效，故人员经费较上年下降；2021年部分信息化建设项目已完成验收，并支付相关款项，故2022年项目经费较上年下降。</w:t>
      </w:r>
    </w:p>
    <w:p>
      <w:pPr>
        <w:pStyle w:val="2"/>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45085</wp:posOffset>
            </wp:positionH>
            <wp:positionV relativeFrom="paragraph">
              <wp:posOffset>-33655</wp:posOffset>
            </wp:positionV>
            <wp:extent cx="5268595" cy="3275330"/>
            <wp:effectExtent l="4445" t="4445" r="22860" b="1587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pP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44" w:name="_Toc15377211"/>
      <w:r>
        <w:rPr>
          <w:rFonts w:hint="eastAsia" w:ascii="仿宋" w:hAnsi="仿宋" w:eastAsia="仿宋"/>
          <w:b/>
          <w:color w:val="auto"/>
          <w:sz w:val="32"/>
          <w:szCs w:val="32"/>
          <w:highlight w:val="none"/>
        </w:rPr>
        <w:t>（二）一般公共预算财政拨款支出决算结构情况</w:t>
      </w:r>
      <w:bookmarkEnd w:id="44"/>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w:t>
      </w:r>
      <w:r>
        <w:rPr>
          <w:rFonts w:hint="eastAsia" w:ascii="仿宋" w:hAnsi="仿宋" w:eastAsia="仿宋"/>
          <w:color w:val="auto"/>
          <w:sz w:val="32"/>
          <w:szCs w:val="32"/>
          <w:highlight w:val="none"/>
          <w:lang w:val="en-US" w:eastAsia="zh-CN"/>
        </w:rPr>
        <w:t>公共</w:t>
      </w:r>
      <w:r>
        <w:rPr>
          <w:rFonts w:hint="eastAsia" w:ascii="仿宋" w:hAnsi="仿宋" w:eastAsia="仿宋"/>
          <w:color w:val="auto"/>
          <w:sz w:val="32"/>
          <w:szCs w:val="32"/>
          <w:highlight w:val="none"/>
        </w:rPr>
        <w:t>预算财政拨款支出</w:t>
      </w:r>
      <w:r>
        <w:rPr>
          <w:rFonts w:hint="eastAsia" w:ascii="仿宋" w:hAnsi="仿宋" w:eastAsia="仿宋"/>
          <w:color w:val="auto"/>
          <w:sz w:val="32"/>
          <w:szCs w:val="32"/>
          <w:highlight w:val="none"/>
          <w:lang w:val="en-US" w:eastAsia="zh-CN"/>
        </w:rPr>
        <w:t>2892.61</w:t>
      </w:r>
      <w:r>
        <w:rPr>
          <w:rFonts w:hint="eastAsia" w:ascii="仿宋" w:hAnsi="仿宋" w:eastAsia="仿宋"/>
          <w:color w:val="auto"/>
          <w:sz w:val="32"/>
          <w:szCs w:val="32"/>
          <w:highlight w:val="none"/>
        </w:rPr>
        <w:t>万元，主要用于以下方面:</w:t>
      </w:r>
      <w:r>
        <w:rPr>
          <w:rFonts w:hint="eastAsia" w:ascii="仿宋" w:hAnsi="仿宋" w:eastAsia="仿宋"/>
          <w:b/>
          <w:color w:val="auto"/>
          <w:sz w:val="32"/>
          <w:szCs w:val="32"/>
          <w:highlight w:val="none"/>
        </w:rPr>
        <w:t>一般公共服务支出</w:t>
      </w:r>
      <w:r>
        <w:rPr>
          <w:rFonts w:hint="eastAsia" w:ascii="仿宋" w:hAnsi="仿宋" w:eastAsia="仿宋"/>
          <w:color w:val="auto"/>
          <w:sz w:val="32"/>
          <w:szCs w:val="32"/>
          <w:highlight w:val="none"/>
          <w:lang w:val="en-US" w:eastAsia="zh-CN"/>
        </w:rPr>
        <w:t>4.79</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
        </w:rPr>
        <w:t>0.1</w:t>
      </w:r>
      <w:r>
        <w:rPr>
          <w:rFonts w:hint="default" w:ascii="仿宋" w:hAnsi="仿宋" w:eastAsia="仿宋"/>
          <w:color w:val="auto"/>
          <w:sz w:val="32"/>
          <w:szCs w:val="32"/>
          <w:highlight w:val="none"/>
        </w:rPr>
        <w:t>7</w:t>
      </w:r>
      <w:r>
        <w:rPr>
          <w:rFonts w:hint="eastAsia" w:ascii="仿宋" w:hAnsi="仿宋" w:eastAsia="仿宋"/>
          <w:color w:val="auto"/>
          <w:sz w:val="32"/>
          <w:szCs w:val="32"/>
          <w:highlight w:val="none"/>
        </w:rPr>
        <w:t>%；公</w:t>
      </w:r>
      <w:r>
        <w:rPr>
          <w:rFonts w:hint="eastAsia" w:ascii="仿宋" w:hAnsi="仿宋" w:eastAsia="仿宋"/>
          <w:b/>
          <w:color w:val="auto"/>
          <w:sz w:val="32"/>
          <w:szCs w:val="32"/>
          <w:highlight w:val="none"/>
        </w:rPr>
        <w:t>共安全支出</w:t>
      </w:r>
      <w:r>
        <w:rPr>
          <w:rFonts w:hint="eastAsia" w:ascii="仿宋" w:hAnsi="仿宋" w:eastAsia="仿宋"/>
          <w:color w:val="auto"/>
          <w:sz w:val="32"/>
          <w:szCs w:val="32"/>
          <w:highlight w:val="none"/>
          <w:lang w:val="en-US" w:eastAsia="zh-CN"/>
        </w:rPr>
        <w:t>2434.33</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
        </w:rPr>
        <w:t>84.16</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社会保障和就业支出</w:t>
      </w:r>
      <w:r>
        <w:rPr>
          <w:rFonts w:hint="eastAsia" w:ascii="仿宋" w:hAnsi="仿宋" w:eastAsia="仿宋"/>
          <w:color w:val="auto"/>
          <w:sz w:val="32"/>
          <w:szCs w:val="32"/>
          <w:highlight w:val="none"/>
          <w:lang w:val="en-US" w:eastAsia="zh-CN"/>
        </w:rPr>
        <w:t>207.57</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
        </w:rPr>
        <w:t>7.18</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卫生健康支出</w:t>
      </w:r>
      <w:r>
        <w:rPr>
          <w:rFonts w:hint="eastAsia" w:ascii="仿宋" w:hAnsi="仿宋" w:eastAsia="仿宋"/>
          <w:color w:val="auto"/>
          <w:sz w:val="32"/>
          <w:szCs w:val="32"/>
          <w:highlight w:val="none"/>
          <w:lang w:val="en-US" w:eastAsia="zh-CN"/>
        </w:rPr>
        <w:t>108.5</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
        </w:rPr>
        <w:t>3.75</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住房保障支出</w:t>
      </w:r>
      <w:r>
        <w:rPr>
          <w:rFonts w:hint="eastAsia" w:ascii="仿宋" w:hAnsi="仿宋" w:eastAsia="仿宋"/>
          <w:color w:val="auto"/>
          <w:sz w:val="32"/>
          <w:szCs w:val="32"/>
          <w:highlight w:val="none"/>
          <w:lang w:val="en-US" w:eastAsia="zh-CN"/>
        </w:rPr>
        <w:t>137.41</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
        </w:rPr>
        <w:t>4.75</w:t>
      </w:r>
      <w:r>
        <w:rPr>
          <w:rFonts w:hint="eastAsia" w:ascii="仿宋" w:hAnsi="仿宋" w:eastAsia="仿宋"/>
          <w:color w:val="auto"/>
          <w:sz w:val="32"/>
          <w:szCs w:val="32"/>
          <w:highlight w:val="none"/>
        </w:rPr>
        <w:t>%。</w:t>
      </w:r>
    </w:p>
    <w:p>
      <w:pPr>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271145</wp:posOffset>
            </wp:positionH>
            <wp:positionV relativeFrom="paragraph">
              <wp:posOffset>-2490470</wp:posOffset>
            </wp:positionV>
            <wp:extent cx="4847590" cy="2787015"/>
            <wp:effectExtent l="4445" t="5080" r="5715" b="8255"/>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2" w:firstLineChars="200"/>
        <w:outlineLvl w:val="2"/>
        <w:rPr>
          <w:rFonts w:ascii="仿宋" w:hAnsi="仿宋" w:eastAsia="仿宋"/>
          <w:b/>
          <w:color w:val="auto"/>
          <w:sz w:val="32"/>
          <w:szCs w:val="32"/>
          <w:highlight w:val="none"/>
        </w:rPr>
      </w:pPr>
      <w:bookmarkStart w:id="45" w:name="_Toc15377212"/>
      <w:r>
        <w:rPr>
          <w:rFonts w:hint="eastAsia" w:ascii="仿宋" w:hAnsi="仿宋" w:eastAsia="仿宋"/>
          <w:b/>
          <w:color w:val="auto"/>
          <w:sz w:val="32"/>
          <w:szCs w:val="32"/>
          <w:highlight w:val="none"/>
        </w:rPr>
        <w:t>（三）一般公共预算财政拨款支出决算具体情况</w:t>
      </w:r>
      <w:bookmarkEnd w:id="45"/>
    </w:p>
    <w:p>
      <w:pPr>
        <w:spacing w:line="600" w:lineRule="exact"/>
        <w:ind w:firstLine="642" w:firstLineChars="200"/>
        <w:outlineLvl w:val="1"/>
        <w:rPr>
          <w:rFonts w:hint="eastAsia" w:ascii="仿宋" w:hAnsi="仿宋" w:eastAsia="仿宋"/>
          <w:b/>
          <w:color w:val="auto"/>
          <w:sz w:val="32"/>
          <w:szCs w:val="32"/>
          <w:highlight w:val="none"/>
        </w:rPr>
      </w:pPr>
      <w:bookmarkStart w:id="46" w:name="_Toc15377444"/>
      <w:bookmarkStart w:id="47" w:name="_Toc15378460"/>
      <w:bookmarkStart w:id="48" w:name="_Toc15377213"/>
      <w:bookmarkStart w:id="49" w:name="_Toc31347"/>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2892.61</w:t>
      </w:r>
      <w:r>
        <w:rPr>
          <w:rFonts w:hint="default" w:ascii="仿宋" w:hAnsi="仿宋" w:eastAsia="仿宋"/>
          <w:b/>
          <w:color w:val="auto"/>
          <w:sz w:val="32"/>
          <w:szCs w:val="32"/>
          <w:highlight w:val="none"/>
          <w:lang w:eastAsia="zh-CN"/>
        </w:rPr>
        <w:t>万元</w:t>
      </w:r>
      <w:r>
        <w:rPr>
          <w:rFonts w:hint="eastAsia" w:ascii="仿宋" w:hAnsi="仿宋" w:eastAsia="仿宋"/>
          <w:b/>
          <w:color w:val="auto"/>
          <w:sz w:val="32"/>
          <w:szCs w:val="32"/>
          <w:highlight w:val="none"/>
        </w:rPr>
        <w:t>，完成预算</w:t>
      </w:r>
      <w:r>
        <w:rPr>
          <w:rFonts w:hint="eastAsia" w:ascii="仿宋" w:hAnsi="仿宋" w:eastAsia="仿宋"/>
          <w:b/>
          <w:color w:val="auto"/>
          <w:sz w:val="32"/>
          <w:szCs w:val="32"/>
          <w:highlight w:val="none"/>
          <w:lang w:val="en-US" w:eastAsia="zh-CN"/>
        </w:rPr>
        <w:t>100</w:t>
      </w:r>
      <w:r>
        <w:rPr>
          <w:rFonts w:hint="eastAsia" w:ascii="仿宋" w:hAnsi="仿宋" w:eastAsia="仿宋"/>
          <w:b/>
          <w:color w:val="auto"/>
          <w:sz w:val="32"/>
          <w:szCs w:val="32"/>
          <w:highlight w:val="none"/>
        </w:rPr>
        <w:t>%。其中：</w:t>
      </w:r>
      <w:bookmarkEnd w:id="46"/>
      <w:bookmarkEnd w:id="47"/>
      <w:bookmarkEnd w:id="48"/>
      <w:bookmarkEnd w:id="49"/>
    </w:p>
    <w:p>
      <w:pPr>
        <w:spacing w:line="600" w:lineRule="exact"/>
        <w:ind w:firstLine="642" w:firstLineChars="200"/>
        <w:rPr>
          <w:rFonts w:hint="eastAsia" w:ascii="仿宋" w:hAnsi="仿宋" w:eastAsia="仿宋"/>
          <w:b/>
          <w:color w:val="auto"/>
          <w:sz w:val="32"/>
          <w:szCs w:val="32"/>
          <w:highlight w:val="none"/>
          <w:lang w:eastAsia="zh-CN"/>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一般公共服务（类）纪检监察事务（款）派驻派出机构（项）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4.79</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rPr>
        <w:t>2.公共安全支出（类）检察（款）行政运行（项）: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1720.74</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w:t>
      </w:r>
      <w:r>
        <w:rPr>
          <w:rStyle w:val="17"/>
          <w:rFonts w:hint="eastAsia" w:ascii="仿宋" w:hAnsi="仿宋" w:eastAsia="仿宋" w:cstheme="minorBidi"/>
          <w:b w:val="0"/>
          <w:bCs/>
          <w:color w:val="auto"/>
          <w:sz w:val="32"/>
          <w:szCs w:val="32"/>
          <w:highlight w:val="none"/>
        </w:rPr>
        <w:t>%。</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hint="eastAsia" w:eastAsia="仿宋"/>
          <w:sz w:val="32"/>
          <w:szCs w:val="32"/>
          <w:lang w:eastAsia="zh-CN"/>
        </w:rPr>
      </w:pPr>
      <w:r>
        <w:rPr>
          <w:rStyle w:val="17"/>
          <w:rFonts w:hint="eastAsia" w:ascii="仿宋" w:hAnsi="仿宋" w:eastAsia="仿宋" w:cstheme="minorBidi"/>
          <w:bCs/>
          <w:color w:val="auto"/>
          <w:sz w:val="32"/>
          <w:szCs w:val="32"/>
          <w:highlight w:val="none"/>
        </w:rPr>
        <w:t>3.公共安全支出（类）检察（款）一般行政管理事务（项）: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538.27</w:t>
      </w:r>
      <w:r>
        <w:rPr>
          <w:rStyle w:val="17"/>
          <w:rFonts w:hint="eastAsia" w:ascii="仿宋" w:hAnsi="仿宋" w:eastAsia="仿宋" w:cstheme="minorBidi"/>
          <w:b w:val="0"/>
          <w:bCs/>
          <w:color w:val="auto"/>
          <w:sz w:val="32"/>
          <w:szCs w:val="32"/>
          <w:highlight w:val="none"/>
        </w:rPr>
        <w:t>元，完成预算</w:t>
      </w:r>
      <w:r>
        <w:rPr>
          <w:rStyle w:val="17"/>
          <w:rFonts w:hint="eastAsia" w:ascii="仿宋" w:hAnsi="仿宋" w:eastAsia="仿宋" w:cstheme="minorBidi"/>
          <w:b w:val="0"/>
          <w:bCs/>
          <w:color w:val="auto"/>
          <w:sz w:val="32"/>
          <w:szCs w:val="32"/>
          <w:highlight w:val="none"/>
          <w:lang w:val="en-US" w:eastAsia="zh-CN"/>
        </w:rPr>
        <w:t>100</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rPr>
        <w:t>4.公共安全支出（类）检察（款）检察监督（项）: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85</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rPr>
        <w:t>5.公共安全支出（类）检察（款）事业运行（项）: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50.83</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hint="eastAsia" w:eastAsia="仿宋"/>
          <w:sz w:val="32"/>
          <w:szCs w:val="32"/>
          <w:lang w:eastAsia="zh-CN"/>
        </w:rPr>
      </w:pPr>
      <w:r>
        <w:rPr>
          <w:rStyle w:val="17"/>
          <w:rFonts w:hint="eastAsia" w:ascii="仿宋" w:hAnsi="仿宋" w:eastAsia="仿宋" w:cstheme="minorBidi"/>
          <w:bCs/>
          <w:color w:val="auto"/>
          <w:sz w:val="32"/>
          <w:szCs w:val="32"/>
          <w:highlight w:val="none"/>
        </w:rPr>
        <w:t>6.公共安全支出（类）检察（款）其他检察支出（项）: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39.48</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7</w:t>
      </w:r>
      <w:r>
        <w:rPr>
          <w:rStyle w:val="17"/>
          <w:rFonts w:hint="eastAsia" w:ascii="仿宋" w:hAnsi="仿宋" w:eastAsia="仿宋" w:cstheme="minorBidi"/>
          <w:bCs/>
          <w:color w:val="auto"/>
          <w:sz w:val="32"/>
          <w:szCs w:val="32"/>
          <w:highlight w:val="none"/>
        </w:rPr>
        <w:t>.社会保障和就业支出（类）行政事业单位养老支出（款）行政单位离退休（项）: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87.39</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8.社会保障和就业支出（类）行政事业单位养老支出（款）机关事业单位基本养老保险缴费支出（项）: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116.06</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9.社会保障和就业支出（类）行政事业单位养老支出（款）其他行政事业单位养老支出（项）: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2.36</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10.社会保障和就业支出（类）其他社会保障和就业支出（款）其他社会保障和就业支出（项）: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1.77</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11.卫生健康支出（类）行政事业单位医疗（款）行政单位医疗（项）: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62.59</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12.卫生健康支出（类）行政事业单位医疗（款）事业单位医疗（项）:</w:t>
      </w:r>
      <w:r>
        <w:rPr>
          <w:rStyle w:val="17"/>
          <w:rFonts w:hint="eastAsia" w:ascii="仿宋" w:hAnsi="仿宋" w:eastAsia="仿宋" w:cstheme="minorBidi"/>
          <w:b w:val="0"/>
          <w:bCs/>
          <w:color w:val="auto"/>
          <w:sz w:val="32"/>
          <w:szCs w:val="32"/>
          <w:highlight w:val="none"/>
        </w:rPr>
        <w:t>支出决算为3.</w:t>
      </w:r>
      <w:r>
        <w:rPr>
          <w:rStyle w:val="17"/>
          <w:rFonts w:hint="eastAsia" w:ascii="仿宋" w:hAnsi="仿宋" w:eastAsia="仿宋" w:cstheme="minorBidi"/>
          <w:b w:val="0"/>
          <w:bCs/>
          <w:color w:val="auto"/>
          <w:sz w:val="32"/>
          <w:szCs w:val="32"/>
          <w:highlight w:val="none"/>
          <w:lang w:val="en-US" w:eastAsia="zh-CN"/>
        </w:rPr>
        <w:t>39</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13.卫生健康支出（类）行政事业单位医疗（款）公务员医疗补助（项）:</w:t>
      </w:r>
      <w:r>
        <w:rPr>
          <w:rStyle w:val="17"/>
          <w:rFonts w:hint="eastAsia" w:ascii="仿宋" w:hAnsi="仿宋" w:eastAsia="仿宋" w:cstheme="minorBidi"/>
          <w:b w:val="0"/>
          <w:bCs/>
          <w:color w:val="auto"/>
          <w:sz w:val="32"/>
          <w:szCs w:val="32"/>
          <w:highlight w:val="none"/>
        </w:rPr>
        <w:t>支出决算为</w:t>
      </w:r>
      <w:r>
        <w:rPr>
          <w:rStyle w:val="17"/>
          <w:rFonts w:hint="eastAsia" w:ascii="仿宋" w:hAnsi="仿宋" w:eastAsia="仿宋" w:cstheme="minorBidi"/>
          <w:b w:val="0"/>
          <w:bCs/>
          <w:color w:val="auto"/>
          <w:sz w:val="32"/>
          <w:szCs w:val="32"/>
          <w:highlight w:val="none"/>
          <w:lang w:val="en-US" w:eastAsia="zh-CN"/>
        </w:rPr>
        <w:t>14.88</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pPr>
      <w:r>
        <w:rPr>
          <w:rStyle w:val="17"/>
          <w:rFonts w:hint="eastAsia" w:ascii="仿宋" w:hAnsi="仿宋" w:eastAsia="仿宋" w:cstheme="minorBidi"/>
          <w:bCs/>
          <w:color w:val="auto"/>
          <w:sz w:val="32"/>
          <w:szCs w:val="32"/>
          <w:highlight w:val="none"/>
          <w:lang w:val="en-US" w:eastAsia="zh-CN"/>
        </w:rPr>
        <w:t>14.卫生健康支出（类）行政事业单位医疗（款）其他行政事业单位医疗支出（项）:</w:t>
      </w:r>
      <w:r>
        <w:rPr>
          <w:rStyle w:val="17"/>
          <w:rFonts w:hint="eastAsia" w:ascii="仿宋" w:hAnsi="仿宋" w:eastAsia="仿宋" w:cstheme="minorBidi"/>
          <w:b w:val="0"/>
          <w:bCs/>
          <w:color w:val="auto"/>
          <w:sz w:val="32"/>
          <w:szCs w:val="32"/>
          <w:highlight w:val="none"/>
          <w:lang w:val="en-US" w:eastAsia="zh-CN"/>
        </w:rPr>
        <w:t>支</w:t>
      </w:r>
      <w:r>
        <w:rPr>
          <w:rStyle w:val="17"/>
          <w:rFonts w:hint="eastAsia" w:ascii="仿宋" w:hAnsi="仿宋" w:eastAsia="仿宋" w:cstheme="minorBidi"/>
          <w:b w:val="0"/>
          <w:bCs/>
          <w:color w:val="auto"/>
          <w:sz w:val="32"/>
          <w:szCs w:val="32"/>
          <w:highlight w:val="none"/>
        </w:rPr>
        <w:t>出决算为</w:t>
      </w:r>
      <w:r>
        <w:rPr>
          <w:rStyle w:val="17"/>
          <w:rFonts w:hint="eastAsia" w:ascii="仿宋" w:hAnsi="仿宋" w:eastAsia="仿宋" w:cstheme="minorBidi"/>
          <w:b w:val="0"/>
          <w:bCs/>
          <w:color w:val="auto"/>
          <w:sz w:val="32"/>
          <w:szCs w:val="32"/>
          <w:highlight w:val="none"/>
          <w:lang w:val="en-US" w:eastAsia="zh-CN"/>
        </w:rPr>
        <w:t>27.65</w:t>
      </w:r>
      <w:r>
        <w:rPr>
          <w:rStyle w:val="17"/>
          <w:rFonts w:hint="eastAsia" w:ascii="仿宋" w:hAnsi="仿宋" w:eastAsia="仿宋" w:cstheme="minorBidi"/>
          <w:b w:val="0"/>
          <w:bCs/>
          <w:color w:val="auto"/>
          <w:sz w:val="32"/>
          <w:szCs w:val="32"/>
          <w:highlight w:val="none"/>
        </w:rPr>
        <w:t>万元，完成预算100%。</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eastAsia="仿宋"/>
          <w:sz w:val="32"/>
          <w:szCs w:val="32"/>
        </w:rPr>
      </w:pPr>
      <w:r>
        <w:rPr>
          <w:rStyle w:val="17"/>
          <w:rFonts w:hint="eastAsia" w:ascii="仿宋" w:hAnsi="仿宋" w:eastAsia="仿宋" w:cstheme="minorBidi"/>
          <w:bCs/>
          <w:color w:val="auto"/>
          <w:sz w:val="32"/>
          <w:szCs w:val="32"/>
          <w:highlight w:val="none"/>
          <w:lang w:val="en-US" w:eastAsia="zh-CN"/>
        </w:rPr>
        <w:t>15.住房保障支出（类）住房改革支出（款）住房公积金（项）:</w:t>
      </w:r>
      <w:r>
        <w:rPr>
          <w:rStyle w:val="17"/>
          <w:rFonts w:hint="eastAsia" w:ascii="仿宋" w:hAnsi="仿宋" w:eastAsia="仿宋" w:cstheme="minorBidi"/>
          <w:b w:val="0"/>
          <w:bCs/>
          <w:color w:val="auto"/>
          <w:sz w:val="32"/>
          <w:szCs w:val="32"/>
          <w:highlight w:val="none"/>
          <w:lang w:val="en-US" w:eastAsia="zh-CN"/>
        </w:rPr>
        <w:t>支出决算为137.41万元，完成预算100%。</w:t>
      </w:r>
    </w:p>
    <w:p>
      <w:pPr>
        <w:tabs>
          <w:tab w:val="right" w:pos="8306"/>
        </w:tabs>
        <w:spacing w:line="600" w:lineRule="exact"/>
        <w:ind w:firstLine="640"/>
        <w:outlineLvl w:val="1"/>
        <w:rPr>
          <w:rFonts w:hint="eastAsia" w:ascii="黑体" w:eastAsia="黑体"/>
          <w:color w:val="auto"/>
          <w:sz w:val="32"/>
          <w:szCs w:val="32"/>
          <w:highlight w:val="none"/>
        </w:rPr>
      </w:pPr>
      <w:bookmarkStart w:id="50" w:name="_Toc4396"/>
      <w:bookmarkStart w:id="51" w:name="_Toc15396608"/>
      <w:bookmarkStart w:id="52" w:name="_Toc15377214"/>
    </w:p>
    <w:p>
      <w:pPr>
        <w:tabs>
          <w:tab w:val="right" w:pos="8306"/>
        </w:tabs>
        <w:spacing w:line="600" w:lineRule="exact"/>
        <w:ind w:firstLine="640"/>
        <w:outlineLvl w:val="1"/>
        <w:rPr>
          <w:rStyle w:val="29"/>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50"/>
      <w:bookmarkEnd w:id="51"/>
      <w:bookmarkEnd w:id="52"/>
      <w:r>
        <w:rPr>
          <w:rStyle w:val="29"/>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2202</w:t>
      </w:r>
      <w:r>
        <w:rPr>
          <w:rFonts w:hint="eastAsia" w:ascii="仿宋" w:hAnsi="仿宋" w:eastAsia="仿宋"/>
          <w:color w:val="auto"/>
          <w:sz w:val="32"/>
          <w:szCs w:val="32"/>
          <w:highlight w:val="none"/>
        </w:rPr>
        <w:t>万元，其中：</w:t>
      </w:r>
    </w:p>
    <w:p>
      <w:pPr>
        <w:spacing w:line="600" w:lineRule="exact"/>
        <w:ind w:firstLine="645"/>
        <w:rPr>
          <w:rFonts w:hint="default" w:ascii="仿宋" w:hAnsi="仿宋" w:eastAsia="仿宋"/>
          <w:color w:val="auto"/>
          <w:sz w:val="32"/>
          <w:szCs w:val="32"/>
          <w:highlight w:val="none"/>
          <w:lang w:val="en"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1850.3</w:t>
      </w:r>
      <w:r>
        <w:rPr>
          <w:rFonts w:hint="eastAsia" w:ascii="仿宋" w:hAnsi="仿宋" w:eastAsia="仿宋"/>
          <w:color w:val="auto"/>
          <w:sz w:val="32"/>
          <w:szCs w:val="32"/>
          <w:highlight w:val="none"/>
        </w:rPr>
        <w:t>万元，主要包括：基本工资、津贴补贴、奖金、绩效工资、机关事业单位基本养老保险缴费、职工基本医疗保险缴费</w:t>
      </w:r>
      <w:r>
        <w:rPr>
          <w:rFonts w:hint="eastAsia" w:ascii="仿宋" w:hAnsi="仿宋" w:eastAsia="仿宋"/>
          <w:color w:val="auto"/>
          <w:sz w:val="32"/>
          <w:szCs w:val="32"/>
          <w:highlight w:val="none"/>
          <w:lang w:eastAsia="zh-CN"/>
        </w:rPr>
        <w:t>、公务员医疗补助缴费、</w:t>
      </w:r>
      <w:r>
        <w:rPr>
          <w:rFonts w:hint="eastAsia" w:ascii="仿宋" w:hAnsi="仿宋" w:eastAsia="仿宋"/>
          <w:color w:val="auto"/>
          <w:sz w:val="32"/>
          <w:szCs w:val="32"/>
          <w:highlight w:val="none"/>
        </w:rPr>
        <w:t>其他社会保障缴费、住房公积金、其他工资福利支出</w:t>
      </w:r>
      <w:r>
        <w:rPr>
          <w:rFonts w:hint="eastAsia" w:ascii="仿宋" w:hAnsi="仿宋" w:eastAsia="仿宋"/>
          <w:color w:val="auto"/>
          <w:sz w:val="32"/>
          <w:szCs w:val="32"/>
          <w:highlight w:val="none"/>
          <w:lang w:eastAsia="zh-CN"/>
        </w:rPr>
        <w:t>、退休人员生活补助。</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default" w:ascii="仿宋" w:hAnsi="仿宋" w:eastAsia="仿宋"/>
          <w:color w:val="auto"/>
          <w:sz w:val="32"/>
          <w:szCs w:val="32"/>
          <w:highlight w:val="none"/>
        </w:rPr>
        <w:t>351.7</w:t>
      </w:r>
      <w:r>
        <w:rPr>
          <w:rFonts w:hint="eastAsia" w:ascii="仿宋" w:hAnsi="仿宋" w:eastAsia="仿宋"/>
          <w:color w:val="auto"/>
          <w:sz w:val="32"/>
          <w:szCs w:val="32"/>
          <w:highlight w:val="none"/>
        </w:rPr>
        <w:t>万元，主要包括：办公费、印刷费、咨询费、水费、电费、邮电费、物业管理费、差旅费、维修（护）费、租赁费、会议费、培训费、公务接待费、劳务费、工会经费、福利费、公务用车运行维护费、其他交通费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rPr>
        <w:t>、其他商品和服务支出、办公设备购置、专用设备购置、其他资本性支出。</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9"/>
          <w:rFonts w:ascii="黑体" w:hAnsi="黑体" w:eastAsia="黑体"/>
          <w:b w:val="0"/>
          <w:color w:val="auto"/>
          <w:highlight w:val="none"/>
        </w:rPr>
      </w:pPr>
      <w:bookmarkStart w:id="53" w:name="_Toc15377215"/>
      <w:bookmarkStart w:id="54" w:name="_Toc2375"/>
      <w:bookmarkStart w:id="55" w:name="_Toc15396609"/>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3"/>
      <w:bookmarkEnd w:id="54"/>
      <w:bookmarkEnd w:id="55"/>
    </w:p>
    <w:p>
      <w:pPr>
        <w:spacing w:line="600" w:lineRule="exact"/>
        <w:ind w:firstLine="640"/>
        <w:outlineLvl w:val="2"/>
        <w:rPr>
          <w:rFonts w:ascii="仿宋" w:hAnsi="仿宋" w:eastAsia="仿宋"/>
          <w:b/>
          <w:color w:val="auto"/>
          <w:sz w:val="32"/>
          <w:szCs w:val="32"/>
          <w:highlight w:val="none"/>
        </w:rPr>
      </w:pPr>
      <w:bookmarkStart w:id="56" w:name="_Toc15377216"/>
      <w:r>
        <w:rPr>
          <w:rFonts w:hint="eastAsia" w:ascii="仿宋" w:hAnsi="仿宋" w:eastAsia="仿宋"/>
          <w:b/>
          <w:color w:val="auto"/>
          <w:sz w:val="32"/>
          <w:szCs w:val="32"/>
          <w:highlight w:val="none"/>
        </w:rPr>
        <w:t>（一）“三公”经费财政拨款支出决算总体情况说明</w:t>
      </w:r>
      <w:bookmarkEnd w:id="56"/>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lang w:eastAsia="zh-CN"/>
        </w:rPr>
        <w:t>年“三公”经费财政拨款支出决算为</w:t>
      </w:r>
      <w:r>
        <w:rPr>
          <w:rFonts w:hint="eastAsia" w:ascii="仿宋" w:hAnsi="仿宋" w:eastAsia="仿宋"/>
          <w:color w:val="auto"/>
          <w:sz w:val="32"/>
          <w:szCs w:val="32"/>
          <w:highlight w:val="none"/>
          <w:lang w:val="en-US" w:eastAsia="zh-CN"/>
        </w:rPr>
        <w:t>45.47</w:t>
      </w:r>
      <w:r>
        <w:rPr>
          <w:rFonts w:hint="eastAsia" w:ascii="仿宋" w:hAnsi="仿宋" w:eastAsia="仿宋"/>
          <w:color w:val="auto"/>
          <w:sz w:val="32"/>
          <w:szCs w:val="32"/>
          <w:highlight w:val="none"/>
          <w:lang w:eastAsia="zh-CN"/>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减少0.21万元，下降0.46%。</w:t>
      </w:r>
    </w:p>
    <w:p>
      <w:pPr>
        <w:spacing w:line="600" w:lineRule="exact"/>
        <w:ind w:firstLine="640"/>
        <w:outlineLvl w:val="2"/>
        <w:rPr>
          <w:rFonts w:ascii="仿宋" w:hAnsi="仿宋" w:eastAsia="仿宋"/>
          <w:b/>
          <w:color w:val="auto"/>
          <w:sz w:val="32"/>
          <w:szCs w:val="32"/>
          <w:highlight w:val="none"/>
        </w:rPr>
      </w:pPr>
      <w:bookmarkStart w:id="57" w:name="_Toc15377217"/>
      <w:r>
        <w:rPr>
          <w:rFonts w:hint="eastAsia" w:ascii="仿宋" w:hAnsi="仿宋" w:eastAsia="仿宋"/>
          <w:b/>
          <w:color w:val="auto"/>
          <w:sz w:val="32"/>
          <w:szCs w:val="32"/>
          <w:highlight w:val="none"/>
        </w:rPr>
        <w:t>（二）“三公”经费财政拨款支出决算具体情况说明</w:t>
      </w:r>
      <w:bookmarkEnd w:id="57"/>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lang w:eastAsia="zh-CN"/>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%；公务用车购置及运行维护费支出决算</w:t>
      </w:r>
      <w:r>
        <w:rPr>
          <w:rFonts w:hint="eastAsia" w:ascii="仿宋" w:hAnsi="仿宋" w:eastAsia="仿宋"/>
          <w:color w:val="auto"/>
          <w:sz w:val="32"/>
          <w:szCs w:val="32"/>
          <w:highlight w:val="none"/>
          <w:lang w:val="en-US" w:eastAsia="zh-CN"/>
        </w:rPr>
        <w:t>42.8</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94.13</w:t>
      </w:r>
      <w:r>
        <w:rPr>
          <w:rFonts w:hint="eastAsia" w:ascii="仿宋" w:hAnsi="仿宋" w:eastAsia="仿宋"/>
          <w:color w:val="auto"/>
          <w:sz w:val="32"/>
          <w:szCs w:val="32"/>
          <w:highlight w:val="none"/>
          <w:lang w:eastAsia="zh-CN"/>
        </w:rPr>
        <w:t>%；公务接待费支出决算</w:t>
      </w:r>
      <w:r>
        <w:rPr>
          <w:rFonts w:hint="eastAsia" w:ascii="仿宋" w:hAnsi="仿宋" w:eastAsia="仿宋"/>
          <w:color w:val="auto"/>
          <w:sz w:val="32"/>
          <w:szCs w:val="32"/>
          <w:highlight w:val="none"/>
          <w:lang w:val="en-US" w:eastAsia="zh-CN"/>
        </w:rPr>
        <w:t>2.67</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5.87</w:t>
      </w:r>
      <w:r>
        <w:rPr>
          <w:rFonts w:hint="eastAsia" w:ascii="仿宋" w:hAnsi="仿宋" w:eastAsia="仿宋"/>
          <w:color w:val="auto"/>
          <w:sz w:val="32"/>
          <w:szCs w:val="32"/>
          <w:highlight w:val="none"/>
          <w:lang w:eastAsia="zh-CN"/>
        </w:rPr>
        <w:t>%。具体情况如下：</w:t>
      </w:r>
    </w:p>
    <w:p>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427990</wp:posOffset>
            </wp:positionH>
            <wp:positionV relativeFrom="paragraph">
              <wp:posOffset>163195</wp:posOffset>
            </wp:positionV>
            <wp:extent cx="4657090" cy="2787015"/>
            <wp:effectExtent l="4445" t="4445" r="5715" b="889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lang w:eastAsia="zh-CN"/>
        </w:rPr>
        <w:t>%。全年安排因公出国（境）团组</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次，出国（境）</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人。因公出国（境）支出决算与20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lang w:eastAsia="zh-CN"/>
        </w:rPr>
        <w:t>年决算数持平。</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 w:hAnsi="仿宋" w:eastAsia="仿宋"/>
          <w:color w:val="auto"/>
          <w:sz w:val="32"/>
          <w:szCs w:val="32"/>
          <w:highlight w:val="none"/>
          <w:lang w:val="en-US" w:eastAsia="zh-CN"/>
        </w:rPr>
        <w:t>42.8</w:t>
      </w:r>
      <w:r>
        <w:rPr>
          <w:rFonts w:hint="eastAsia" w:ascii="仿宋" w:hAnsi="仿宋" w:eastAsia="仿宋"/>
          <w:color w:val="auto"/>
          <w:sz w:val="32"/>
          <w:szCs w:val="32"/>
          <w:highlight w:val="none"/>
          <w:lang w:eastAsia="zh-CN"/>
        </w:rPr>
        <w:t>万元</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lang w:eastAsia="zh-CN"/>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lang w:eastAsia="zh-CN"/>
        </w:rPr>
        <w:t>%。公务用车购置及运行维护费支出决算与20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lang w:eastAsia="zh-CN"/>
        </w:rPr>
        <w:t>年决算数持平。</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其中：</w:t>
      </w:r>
      <w:r>
        <w:rPr>
          <w:rFonts w:hint="eastAsia" w:ascii="仿宋_GB2312" w:eastAsia="仿宋_GB2312"/>
          <w:b/>
          <w:color w:val="auto"/>
          <w:sz w:val="32"/>
          <w:szCs w:val="32"/>
          <w:highlight w:val="none"/>
        </w:rPr>
        <w:t>公务用车购置支出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万元。全年按规定更新购置公务用车</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辆。截至20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lang w:eastAsia="zh-CN"/>
        </w:rPr>
        <w:t>年12月底，单位共有公务用车</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lang w:eastAsia="zh-CN"/>
        </w:rPr>
        <w:t>辆，其中：轿车</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辆、越野车</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辆、载客汽车</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 w:hAnsi="仿宋" w:eastAsia="仿宋"/>
          <w:color w:val="auto"/>
          <w:sz w:val="32"/>
          <w:szCs w:val="32"/>
          <w:highlight w:val="none"/>
          <w:lang w:val="en-US" w:eastAsia="zh-CN"/>
        </w:rPr>
        <w:t>42.8</w:t>
      </w:r>
      <w:r>
        <w:rPr>
          <w:rFonts w:hint="eastAsia" w:ascii="仿宋" w:hAnsi="仿宋" w:eastAsia="仿宋"/>
          <w:color w:val="auto"/>
          <w:sz w:val="32"/>
          <w:szCs w:val="32"/>
          <w:highlight w:val="none"/>
          <w:lang w:eastAsia="zh-CN"/>
        </w:rPr>
        <w:t>万元。主要用于办理案件、督导工作、扶贫攻坚等所需的公务用车燃料费、维修费、过路过桥费、保险费等支出。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color w:val="auto"/>
          <w:sz w:val="32"/>
          <w:szCs w:val="32"/>
          <w:highlight w:val="none"/>
          <w:lang w:val="en-US" w:eastAsia="zh-CN"/>
        </w:rPr>
        <w:t>2.67万元，完成预算100%。公务接待费支出决算比2021年减少0.21万元，下降7.29%。主要原因是本年厉行节约精神，压缩公务接待开支。其中：</w:t>
      </w:r>
    </w:p>
    <w:p>
      <w:pPr>
        <w:pageBreakBefore w:val="0"/>
        <w:kinsoku/>
        <w:wordWrap/>
        <w:overflowPunct/>
        <w:topLinePunct w:val="0"/>
        <w:autoSpaceDE/>
        <w:autoSpaceDN/>
        <w:bidi w:val="0"/>
        <w:adjustRightInd/>
        <w:snapToGrid/>
        <w:spacing w:line="600" w:lineRule="exact"/>
        <w:ind w:firstLine="642" w:firstLineChars="200"/>
        <w:textAlignment w:val="auto"/>
        <w:outlineLvl w:val="1"/>
        <w:rPr>
          <w:rFonts w:hint="default"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2.67万元，主要用于上级机关来巴督查、检查、指导工作及市州检察院来巴交流、学习、协助办案等接待活动的用餐费开支。国内公务接待36批次，228人次（不包括陪同人员），共计支出2.67万元，具体内容包括：接待省检察院来巴办理案件、</w:t>
      </w:r>
      <w:r>
        <w:rPr>
          <w:rFonts w:hint="eastAsia" w:ascii="仿宋" w:hAnsi="仿宋" w:eastAsia="仿宋"/>
          <w:color w:val="auto"/>
          <w:sz w:val="32"/>
          <w:szCs w:val="32"/>
          <w:highlight w:val="none"/>
          <w:lang w:eastAsia="zh-CN"/>
        </w:rPr>
        <w:t>指导案件、巡回检察</w:t>
      </w:r>
      <w:r>
        <w:rPr>
          <w:rFonts w:hint="eastAsia" w:ascii="仿宋" w:hAnsi="仿宋" w:eastAsia="仿宋"/>
          <w:color w:val="auto"/>
          <w:sz w:val="32"/>
          <w:szCs w:val="32"/>
          <w:highlight w:val="none"/>
          <w:lang w:val="en-US" w:eastAsia="zh-CN"/>
        </w:rPr>
        <w:t>、调研、</w:t>
      </w:r>
      <w:r>
        <w:rPr>
          <w:rFonts w:hint="eastAsia" w:ascii="仿宋" w:hAnsi="仿宋" w:eastAsia="仿宋"/>
          <w:color w:val="auto"/>
          <w:sz w:val="32"/>
          <w:szCs w:val="32"/>
          <w:highlight w:val="none"/>
          <w:lang w:eastAsia="zh-CN"/>
        </w:rPr>
        <w:t>考察干部</w:t>
      </w:r>
      <w:r>
        <w:rPr>
          <w:rFonts w:hint="eastAsia" w:ascii="仿宋" w:hAnsi="仿宋" w:eastAsia="仿宋"/>
          <w:color w:val="auto"/>
          <w:sz w:val="32"/>
          <w:szCs w:val="32"/>
          <w:highlight w:val="none"/>
          <w:lang w:val="en-US" w:eastAsia="zh-CN"/>
        </w:rPr>
        <w:t>等支出</w:t>
      </w:r>
      <w:r>
        <w:rPr>
          <w:rFonts w:hint="default" w:ascii="仿宋" w:hAnsi="仿宋" w:eastAsia="仿宋"/>
          <w:color w:val="auto"/>
          <w:sz w:val="32"/>
          <w:szCs w:val="32"/>
          <w:highlight w:val="none"/>
          <w:lang w:eastAsia="zh-CN"/>
        </w:rPr>
        <w:t>1.62</w:t>
      </w:r>
      <w:r>
        <w:rPr>
          <w:rFonts w:hint="eastAsia" w:ascii="仿宋" w:hAnsi="仿宋" w:eastAsia="仿宋"/>
          <w:color w:val="auto"/>
          <w:sz w:val="32"/>
          <w:szCs w:val="32"/>
          <w:highlight w:val="none"/>
          <w:lang w:val="en-US" w:eastAsia="zh-CN"/>
        </w:rPr>
        <w:t>万元；接待</w:t>
      </w:r>
      <w:r>
        <w:rPr>
          <w:rFonts w:hint="eastAsia" w:ascii="仿宋" w:hAnsi="仿宋" w:eastAsia="仿宋"/>
          <w:color w:val="auto"/>
          <w:sz w:val="32"/>
          <w:szCs w:val="32"/>
          <w:highlight w:val="none"/>
          <w:lang w:eastAsia="zh-CN"/>
        </w:rPr>
        <w:t>雅安市纪委监委、仪陇县院</w:t>
      </w:r>
      <w:r>
        <w:rPr>
          <w:rFonts w:hint="eastAsia" w:ascii="仿宋" w:hAnsi="仿宋" w:eastAsia="仿宋"/>
          <w:color w:val="auto"/>
          <w:sz w:val="32"/>
          <w:szCs w:val="32"/>
          <w:highlight w:val="none"/>
          <w:lang w:val="en-US" w:eastAsia="zh-CN"/>
        </w:rPr>
        <w:t>等</w:t>
      </w:r>
      <w:r>
        <w:rPr>
          <w:rFonts w:hint="eastAsia" w:ascii="仿宋" w:hAnsi="仿宋" w:eastAsia="仿宋"/>
          <w:color w:val="auto"/>
          <w:sz w:val="32"/>
          <w:szCs w:val="32"/>
          <w:highlight w:val="none"/>
          <w:lang w:eastAsia="zh-CN"/>
        </w:rPr>
        <w:t>单位</w:t>
      </w:r>
      <w:r>
        <w:rPr>
          <w:rFonts w:hint="eastAsia" w:ascii="仿宋" w:hAnsi="仿宋" w:eastAsia="仿宋"/>
          <w:color w:val="auto"/>
          <w:sz w:val="32"/>
          <w:szCs w:val="32"/>
          <w:highlight w:val="none"/>
          <w:lang w:val="en-US" w:eastAsia="zh-CN"/>
        </w:rPr>
        <w:t>来巴调查案件、</w:t>
      </w:r>
      <w:r>
        <w:rPr>
          <w:rFonts w:hint="eastAsia" w:ascii="仿宋" w:hAnsi="仿宋" w:eastAsia="仿宋"/>
          <w:color w:val="auto"/>
          <w:sz w:val="32"/>
          <w:szCs w:val="32"/>
          <w:highlight w:val="none"/>
          <w:lang w:eastAsia="zh-CN"/>
        </w:rPr>
        <w:t>学习交流</w:t>
      </w:r>
      <w:r>
        <w:rPr>
          <w:rFonts w:hint="eastAsia" w:ascii="仿宋" w:hAnsi="仿宋" w:eastAsia="仿宋"/>
          <w:color w:val="auto"/>
          <w:sz w:val="32"/>
          <w:szCs w:val="32"/>
          <w:highlight w:val="none"/>
          <w:lang w:val="en-US" w:eastAsia="zh-CN"/>
        </w:rPr>
        <w:t>等支出</w:t>
      </w:r>
      <w:r>
        <w:rPr>
          <w:rFonts w:hint="default" w:ascii="仿宋" w:hAnsi="仿宋" w:eastAsia="仿宋"/>
          <w:color w:val="auto"/>
          <w:sz w:val="32"/>
          <w:szCs w:val="32"/>
          <w:highlight w:val="none"/>
          <w:lang w:eastAsia="zh-CN"/>
        </w:rPr>
        <w:t>1.05</w:t>
      </w:r>
      <w:r>
        <w:rPr>
          <w:rFonts w:hint="eastAsia" w:ascii="仿宋" w:hAnsi="仿宋" w:eastAsia="仿宋"/>
          <w:color w:val="auto"/>
          <w:sz w:val="32"/>
          <w:szCs w:val="32"/>
          <w:highlight w:val="none"/>
          <w:lang w:val="en-US" w:eastAsia="zh-CN"/>
        </w:rPr>
        <w:t>万元</w:t>
      </w:r>
      <w:r>
        <w:rPr>
          <w:rFonts w:hint="default" w:ascii="仿宋" w:hAnsi="仿宋" w:eastAsia="仿宋"/>
          <w:color w:val="auto"/>
          <w:sz w:val="32"/>
          <w:szCs w:val="32"/>
          <w:highlight w:val="none"/>
          <w:lang w:eastAsia="zh-CN"/>
        </w:rPr>
        <w:t>。</w:t>
      </w:r>
    </w:p>
    <w:p>
      <w:pPr>
        <w:spacing w:line="600" w:lineRule="exact"/>
        <w:ind w:firstLine="642"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0万元。</w:t>
      </w:r>
    </w:p>
    <w:p>
      <w:pPr>
        <w:spacing w:line="600" w:lineRule="exact"/>
        <w:ind w:firstLine="640"/>
        <w:outlineLvl w:val="9"/>
        <w:rPr>
          <w:rFonts w:ascii="黑体" w:eastAsia="黑体"/>
          <w:color w:val="auto"/>
          <w:sz w:val="32"/>
          <w:szCs w:val="32"/>
          <w:highlight w:val="none"/>
        </w:rPr>
      </w:pPr>
      <w:bookmarkStart w:id="58" w:name="_Toc15377218"/>
      <w:bookmarkStart w:id="59" w:name="_Toc15396610"/>
    </w:p>
    <w:p>
      <w:pPr>
        <w:spacing w:line="600" w:lineRule="exact"/>
        <w:ind w:firstLine="640"/>
        <w:outlineLvl w:val="1"/>
        <w:rPr>
          <w:rStyle w:val="29"/>
          <w:rFonts w:ascii="黑体" w:hAnsi="黑体" w:eastAsia="黑体"/>
          <w:color w:val="auto"/>
          <w:highlight w:val="none"/>
        </w:rPr>
      </w:pPr>
      <w:bookmarkStart w:id="60" w:name="_Toc6418"/>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58"/>
      <w:bookmarkEnd w:id="59"/>
      <w:bookmarkEnd w:id="60"/>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2022年政府性基金预算财政拨款支出0万元。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9"/>
          <w:rFonts w:ascii="黑体" w:hAnsi="黑体" w:eastAsia="黑体"/>
          <w:b w:val="0"/>
          <w:color w:val="auto"/>
          <w:highlight w:val="none"/>
        </w:rPr>
      </w:pPr>
      <w:bookmarkStart w:id="61" w:name="_Toc15377219"/>
      <w:bookmarkStart w:id="62" w:name="_Toc15396611"/>
      <w:bookmarkStart w:id="63" w:name="_Toc14989"/>
      <w:r>
        <w:rPr>
          <w:rStyle w:val="29"/>
          <w:rFonts w:hint="eastAsia" w:ascii="黑体" w:hAnsi="黑体" w:eastAsia="黑体"/>
          <w:b w:val="0"/>
          <w:color w:val="auto"/>
          <w:highlight w:val="none"/>
        </w:rPr>
        <w:t>国有资本经营预算支出决算情况说明</w:t>
      </w:r>
      <w:bookmarkEnd w:id="61"/>
      <w:bookmarkEnd w:id="62"/>
      <w:bookmarkEnd w:id="63"/>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2022年国有资本经营预算财政拨款支出0万元。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9"/>
          <w:rFonts w:hint="eastAsia" w:ascii="黑体" w:hAnsi="黑体" w:eastAsia="黑体"/>
          <w:b w:val="0"/>
          <w:color w:val="auto"/>
          <w:highlight w:val="none"/>
        </w:rPr>
      </w:pPr>
      <w:bookmarkStart w:id="64" w:name="_Toc15377221"/>
      <w:bookmarkStart w:id="65" w:name="_Toc15396612"/>
      <w:bookmarkStart w:id="66" w:name="_Toc30716"/>
      <w:r>
        <w:rPr>
          <w:rStyle w:val="29"/>
          <w:rFonts w:hint="eastAsia" w:ascii="黑体" w:hAnsi="黑体" w:eastAsia="黑体"/>
          <w:b w:val="0"/>
          <w:color w:val="auto"/>
          <w:highlight w:val="none"/>
        </w:rPr>
        <w:t>其他重要事项的情况说明</w:t>
      </w:r>
      <w:bookmarkEnd w:id="64"/>
      <w:bookmarkEnd w:id="65"/>
      <w:bookmarkEnd w:id="66"/>
    </w:p>
    <w:p>
      <w:pPr>
        <w:spacing w:line="600" w:lineRule="exact"/>
        <w:ind w:firstLine="642" w:firstLineChars="200"/>
        <w:outlineLvl w:val="2"/>
        <w:rPr>
          <w:rFonts w:ascii="仿宋" w:hAnsi="仿宋" w:eastAsia="仿宋"/>
          <w:color w:val="auto"/>
          <w:sz w:val="32"/>
          <w:szCs w:val="32"/>
          <w:highlight w:val="none"/>
        </w:rPr>
      </w:pPr>
      <w:bookmarkStart w:id="67" w:name="_Toc15377222"/>
      <w:r>
        <w:rPr>
          <w:rFonts w:hint="eastAsia" w:ascii="仿宋" w:hAnsi="仿宋" w:eastAsia="仿宋"/>
          <w:b/>
          <w:color w:val="auto"/>
          <w:sz w:val="32"/>
          <w:szCs w:val="32"/>
          <w:highlight w:val="none"/>
        </w:rPr>
        <w:t>（一）机关运行经费支出情况</w:t>
      </w:r>
      <w:bookmarkEnd w:id="67"/>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lang w:val="en-US" w:eastAsia="zh-CN"/>
        </w:rPr>
        <w:t>2022年，四川省巴中市人民检察院机关运行经费支出351.7万元，比2021年增加37.38万元，增长11.89%。主要原因是日常</w:t>
      </w:r>
      <w:r>
        <w:rPr>
          <w:rFonts w:hint="default" w:ascii="仿宋" w:hAnsi="仿宋" w:eastAsia="仿宋"/>
          <w:color w:val="auto"/>
          <w:sz w:val="32"/>
          <w:szCs w:val="32"/>
          <w:highlight w:val="none"/>
          <w:lang w:eastAsia="zh-CN"/>
        </w:rPr>
        <w:t>公务活动增</w:t>
      </w:r>
      <w:r>
        <w:rPr>
          <w:rFonts w:hint="eastAsia" w:ascii="仿宋" w:hAnsi="仿宋" w:eastAsia="仿宋"/>
          <w:color w:val="auto"/>
          <w:sz w:val="32"/>
          <w:szCs w:val="32"/>
          <w:highlight w:val="none"/>
          <w:lang w:eastAsia="zh-CN"/>
        </w:rPr>
        <w:t>加</w:t>
      </w:r>
      <w:r>
        <w:rPr>
          <w:rFonts w:hint="default" w:ascii="仿宋" w:hAnsi="仿宋" w:eastAsia="仿宋"/>
          <w:color w:val="auto"/>
          <w:sz w:val="32"/>
          <w:szCs w:val="32"/>
          <w:highlight w:val="none"/>
          <w:lang w:eastAsia="zh-CN"/>
        </w:rPr>
        <w:t>，办公费、印刷费等</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68" w:name="_Toc15377223"/>
      <w:r>
        <w:rPr>
          <w:rFonts w:hint="eastAsia" w:ascii="仿宋" w:hAnsi="仿宋" w:eastAsia="仿宋"/>
          <w:b/>
          <w:color w:val="auto"/>
          <w:sz w:val="32"/>
          <w:szCs w:val="32"/>
          <w:highlight w:val="none"/>
        </w:rPr>
        <w:t>（二）政府采购支出情况</w:t>
      </w:r>
      <w:bookmarkEnd w:id="68"/>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lang w:val="en-US" w:eastAsia="zh-CN"/>
        </w:rPr>
        <w:t>2022年，四川省巴中市人民检察院政府采购支出总额156.32万元，其中：政府采购货物支出156.32万元、政府采购工程支出0万元、政府采购服务支出0万元。主要用于</w:t>
      </w:r>
      <w:r>
        <w:rPr>
          <w:rFonts w:hint="eastAsia" w:ascii="仿宋" w:hAnsi="仿宋" w:eastAsia="仿宋"/>
          <w:color w:val="auto"/>
          <w:sz w:val="32"/>
          <w:szCs w:val="32"/>
          <w:highlight w:val="none"/>
          <w:lang w:eastAsia="zh-CN"/>
        </w:rPr>
        <w:t>支付密码机设备款、统一业务应用系统</w:t>
      </w:r>
      <w:r>
        <w:rPr>
          <w:rFonts w:hint="default" w:ascii="仿宋" w:hAnsi="仿宋" w:eastAsia="仿宋"/>
          <w:color w:val="auto"/>
          <w:sz w:val="32"/>
          <w:szCs w:val="32"/>
          <w:highlight w:val="none"/>
          <w:lang w:eastAsia="zh-CN"/>
        </w:rPr>
        <w:t>2.0信创运行环境设备采购项目款、驻监所检察室监控联网改造项目款。</w:t>
      </w:r>
      <w:r>
        <w:rPr>
          <w:rFonts w:hint="eastAsia" w:ascii="仿宋" w:hAnsi="仿宋" w:eastAsia="仿宋"/>
          <w:color w:val="auto"/>
          <w:sz w:val="32"/>
          <w:szCs w:val="32"/>
          <w:highlight w:val="none"/>
          <w:lang w:val="en-US" w:eastAsia="zh-CN"/>
        </w:rPr>
        <w:t>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69" w:name="_Toc15377224"/>
      <w:r>
        <w:rPr>
          <w:rFonts w:hint="eastAsia" w:ascii="仿宋" w:hAnsi="仿宋" w:eastAsia="仿宋"/>
          <w:b/>
          <w:color w:val="auto"/>
          <w:sz w:val="32"/>
          <w:szCs w:val="32"/>
          <w:highlight w:val="none"/>
        </w:rPr>
        <w:t>（三）国有资产占有使用情况</w:t>
      </w:r>
      <w:bookmarkEnd w:id="6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截至2022年12月31日，四川省巴中市人民检察院共有车辆10辆，其中：主要领导干部用车0辆、机要通信用车1辆、应急保障用车0辆、其他用车9辆，其他用车主要是用于执法执勤、案件查办、监督检查等公务出行。单价100万元以上专用设备0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根据预算绩效管理要求，本部门在2022年度预算编制阶段，组织对0个项目开展了预算事前绩效评估，对13个项目编制了绩效目标，预算执行过程中，选取13个项目开展绩效监控。</w:t>
      </w:r>
    </w:p>
    <w:p>
      <w:pPr>
        <w:spacing w:line="600" w:lineRule="exact"/>
        <w:ind w:firstLine="640" w:firstLineChars="200"/>
        <w:rPr>
          <w:rFonts w:ascii="仿宋_GB2312" w:eastAsia="仿宋_GB2312"/>
          <w:b/>
          <w:color w:val="auto"/>
          <w:sz w:val="32"/>
          <w:szCs w:val="32"/>
          <w:highlight w:val="none"/>
        </w:rPr>
      </w:pPr>
      <w:r>
        <w:rPr>
          <w:rFonts w:hint="eastAsia" w:ascii="仿宋" w:hAnsi="仿宋" w:eastAsia="仿宋"/>
          <w:color w:val="auto"/>
          <w:sz w:val="32"/>
          <w:szCs w:val="32"/>
          <w:highlight w:val="none"/>
          <w:lang w:val="en-US" w:eastAsia="zh-CN"/>
        </w:rPr>
        <w:t>组织对2022年度一般公共预算、政府性基金预算、国有资本经营预算、社会保险基金预算以及资本资产、债券资金等全面开展绩效自评，形成四川省巴中市人民检察院部门整体（含部门预算项目）绩效自评报告</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四川省巴中市人民检察院部门整体（含部门预算项目）绩效自评得分为99分，绩效自评综述</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2022年，市检察院认真贯彻执行党中央、省、市有关方针政策和法律规定，不断建立健全内控制度，加强财务管理和项目管理，较好地完成了部门整体目标任务。</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8"/>
          <w:rFonts w:ascii="黑体" w:hAnsi="黑体" w:eastAsia="黑体"/>
          <w:b w:val="0"/>
          <w:color w:val="auto"/>
          <w:highlight w:val="none"/>
        </w:rPr>
      </w:pPr>
      <w:bookmarkStart w:id="70" w:name="_Toc23740"/>
      <w:bookmarkStart w:id="71" w:name="_Toc15377225"/>
      <w:bookmarkStart w:id="72"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70"/>
      <w:bookmarkEnd w:id="71"/>
      <w:bookmarkEnd w:id="72"/>
    </w:p>
    <w:p>
      <w:pPr>
        <w:spacing w:line="600" w:lineRule="exact"/>
        <w:jc w:val="left"/>
        <w:rPr>
          <w:rFonts w:ascii="宋体"/>
          <w:b/>
          <w:color w:val="auto"/>
          <w:sz w:val="44"/>
          <w:szCs w:val="44"/>
          <w:highlight w:val="none"/>
        </w:rPr>
      </w:pPr>
    </w:p>
    <w:p>
      <w:pPr>
        <w:spacing w:line="600" w:lineRule="exact"/>
        <w:ind w:firstLine="640" w:firstLineChars="200"/>
        <w:rPr>
          <w:rFonts w:hint="eastAsia" w:ascii="仿宋" w:hAnsi="仿宋" w:eastAsia="仿宋"/>
          <w:color w:val="auto"/>
          <w:sz w:val="32"/>
          <w:szCs w:val="32"/>
          <w:highlight w:val="none"/>
          <w:lang w:val="en-US" w:eastAsia="zh-CN"/>
        </w:rPr>
      </w:pPr>
      <w:bookmarkStart w:id="73" w:name="_Toc3908"/>
      <w:r>
        <w:rPr>
          <w:rFonts w:hint="eastAsia" w:ascii="仿宋" w:hAnsi="仿宋" w:eastAsia="仿宋"/>
          <w:color w:val="auto"/>
          <w:sz w:val="32"/>
          <w:szCs w:val="32"/>
          <w:highlight w:val="none"/>
          <w:lang w:val="en-US" w:eastAsia="zh-CN"/>
        </w:rPr>
        <w:t>1.财政拨款收入：指单位从同级财政部门取得的财政预算资金。</w:t>
      </w:r>
      <w:bookmarkEnd w:id="73"/>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2.年初结转和结余：指以前年度尚未完成、结转到本年按有关规定继续使用的资金。 </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3.年末结转和结余：指单位按有关规定结转到下年或以后年度继续使用的资金。</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4.一般公共服务支出（类）纪检监察事务（款）派驻派出机构（项）:指纪检监察部门负担的派驻各部门和单位的纪检监察人员的专项业务支出。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5.公共安全支出（类）检察（款）行政运行（项）：指检察行政单位（包括实行公务员管理的事业单位）的基本支出。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6.公共安全支出（类）检察（款）一般行政管理事务（项）：指检察行政单位（包括实行公务员管理的事业单位）未单独设置项级科目的其他项目支出。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7.公共安全支出（类）检察（款）检察监督（项）：指检察机关依法开展法律监督工作的支出。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8.公共安全支出（类）检察（款）事业运行（项）：指事业单位的基本支出，不包括行政单位（包括实行公务员管理的事业单位）后勤服务中心、医务室等附属事业单位。</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9.公共安全支出（类）检察（款）其它检察支出（项）：指除上述项目以外其他用于检察方面的支出。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10.社会保障和就业支出（类）行政事业单位养老支出（款）行政单位离退休（项）：指行政单位（包括实行公务员管理的事业单位）开支的离退休经费。</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11.社会保障和就业支出（类）行政事业单位养老支出（款）机关事业单位基本养老保险缴费支出（项）：指机关事业单位实施养老保险制度由单位缴纳的基本养老保险费支出。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12.社会保障和就业支出（类）行政事业单位养老支出（款）其他行政事业单位养老支出（项）：指除上述项目以外其他用于行政事业单位养老方面的支出。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13.社会保障和就业支出（类）其他社会保障和就业支出（款）其他社会保障和就业支出（项）:指上述项目以外其他用于社会保障和就业方面的支出。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14.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15.卫生健康支出（类）行政事业单位医疗（款）事业单位医疗（项）：指指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16.卫生健康支出（类）行政事业单位医疗（款）公务员医疗补助（项）：指财政部门安排的公务员医疗补助经费。</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17.卫生健康支出（类）行政事业单位医疗（款）其他行政事业单位医疗支出（项）：指除上述项目以外其他用于行政事业单位医疗方面的支出。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18.住房保障支出（类）住房改革支出（款）住房公积金（项）：指行政事业单位按人力资源和社会保障部、财政部规定的基本工资和津贴补贴以及规定比例为职工缴纳的住房公积金。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19.基本支出：指为保障机构正常运转、完成日常工作任务而发生的人员支出和公用支出。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20.项目支出：指在基本支出之外为完成特定行政任务和事业发展目标所发生的支出。 </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74" w:name="_Toc15377226"/>
      <w:r>
        <w:rPr>
          <w:rFonts w:ascii="宋体"/>
          <w:b/>
          <w:color w:val="auto"/>
          <w:sz w:val="44"/>
          <w:szCs w:val="44"/>
          <w:highlight w:val="none"/>
        </w:rPr>
        <w:br w:type="page"/>
      </w:r>
      <w:bookmarkStart w:id="75" w:name="_Toc15396614"/>
      <w:bookmarkStart w:id="76" w:name="_Toc28035"/>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5"/>
      <w:bookmarkEnd w:id="76"/>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rPr>
      </w:pPr>
      <w:bookmarkStart w:id="77" w:name="_Toc26800"/>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bookmarkEnd w:id="77"/>
    </w:p>
    <w:p>
      <w:pPr>
        <w:pStyle w:val="2"/>
      </w:pP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宋体" w:hAnsi="宋体" w:eastAsia="宋体" w:cs="Times New Roman"/>
          <w:b/>
          <w:color w:val="auto"/>
          <w:sz w:val="44"/>
          <w:szCs w:val="44"/>
          <w:highlight w:val="none"/>
          <w:shd w:val="clear" w:color="auto" w:fill="FFFFFF"/>
        </w:rPr>
      </w:pPr>
      <w:r>
        <w:rPr>
          <w:rFonts w:hint="eastAsia" w:ascii="宋体" w:hAnsi="宋体" w:eastAsia="宋体" w:cs="Times New Roman"/>
          <w:b/>
          <w:color w:val="auto"/>
          <w:sz w:val="44"/>
          <w:szCs w:val="44"/>
          <w:highlight w:val="none"/>
          <w:shd w:val="clear" w:color="auto" w:fill="FFFFFF"/>
          <w:lang w:val="en-US" w:eastAsia="zh-CN"/>
        </w:rPr>
        <w:t>2022年市级</w:t>
      </w:r>
      <w:r>
        <w:rPr>
          <w:rFonts w:hint="default" w:ascii="宋体" w:hAnsi="宋体" w:eastAsia="宋体" w:cs="Times New Roman"/>
          <w:b/>
          <w:color w:val="auto"/>
          <w:sz w:val="44"/>
          <w:szCs w:val="44"/>
          <w:highlight w:val="none"/>
          <w:shd w:val="clear" w:color="auto" w:fill="FFFFFF"/>
        </w:rPr>
        <w:t>部门整体绩效</w:t>
      </w:r>
      <w:r>
        <w:rPr>
          <w:rFonts w:hint="eastAsia" w:ascii="宋体" w:hAnsi="宋体" w:eastAsia="宋体" w:cs="Times New Roman"/>
          <w:b/>
          <w:color w:val="auto"/>
          <w:sz w:val="44"/>
          <w:szCs w:val="44"/>
          <w:highlight w:val="none"/>
          <w:shd w:val="clear" w:color="auto" w:fill="FFFFFF"/>
          <w:lang w:eastAsia="zh-CN"/>
        </w:rPr>
        <w:t>评价</w:t>
      </w:r>
      <w:r>
        <w:rPr>
          <w:rFonts w:hint="default" w:ascii="宋体" w:hAnsi="宋体" w:eastAsia="宋体" w:cs="Times New Roman"/>
          <w:b/>
          <w:color w:val="auto"/>
          <w:sz w:val="44"/>
          <w:szCs w:val="44"/>
          <w:highlight w:val="none"/>
          <w:shd w:val="clear" w:color="auto" w:fill="FFFFFF"/>
        </w:rPr>
        <w:t>报告</w:t>
      </w:r>
    </w:p>
    <w:p>
      <w:pPr>
        <w:snapToGrid w:val="0"/>
        <w:spacing w:line="520" w:lineRule="exact"/>
        <w:rPr>
          <w:szCs w:val="32"/>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eastAsia="zh-CN"/>
        </w:rPr>
      </w:pPr>
      <w:r>
        <w:rPr>
          <w:rFonts w:hint="eastAsia" w:ascii="黑体" w:hAnsi="宋体" w:eastAsia="黑体" w:cs="宋体"/>
          <w:color w:val="auto"/>
          <w:kern w:val="0"/>
          <w:sz w:val="32"/>
          <w:szCs w:val="32"/>
          <w:highlight w:val="none"/>
          <w:shd w:val="clear" w:color="auto" w:fill="FFFFFF"/>
          <w:lang w:val="zh-CN" w:eastAsia="zh-CN"/>
        </w:rPr>
        <w:t>部门基本情况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年，市检察院独立核算机构1个，独立编制机构2个，其中：行政机构1个，事业机构1个，较上年均无增减变化。</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（二）机构职能和人员概况。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1.依法对巴中市人民代表大会及其常务委员会负责并报告工作。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2.领导全市检察机关的工作，按照最高人民检察院、四川省人民检察院确定的工作方针，部署全市检察工作任务。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负责全市检察机关文电、会务、机要、档案、保密等工作。组织协调全市检察机关重要工作部署、重大决策的贯彻实施。承担综合性绩效考核相关工作。起草审核相关文件文稿，处理检察信息，负责领导批办事项督查工作。负责人大代表、政协委员联络工作和特约检察员的联系工作，组织指导人民监督员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负责对巴中市监察委员会移送职务犯罪案件的审查逮捕、审查起诉、出庭支持公诉、抗诉，开展相关审判监督以及相关案件的补充侦查。负责对破坏社会主义市场经济秩序犯罪案件的审查逮捕、审查起诉、出庭支持公诉、抗诉，开展相关立案监督、侦查监督、审判监督以及相关案件的补充侦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5.负责对第4项职能之外的刑事案件的审查逮捕、审查起诉、出庭支持公诉、抗诉，开展相关立案监督、侦查监督、审判监督以及相关案件的补充侦查。办理相关刑事申诉案件。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负责对监狱、看守所、社区矫正机构等执法活动的监督，对刑事判决、裁定执行、强制医疗执行、羁押和办案期限的监督，羁押必要性审查。办理罪犯又犯罪案件。负责对司法工作人员利用职权实施的非法拘禁、刑讯逼供、非法搜查等14项侵犯公民权利、损害司法公正犯罪，以及按照刑事诉讼法规定需要人民检察院直接受理的其他重大犯罪案件的侦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负责办理申请监督和提请抗诉的民事、行政案件的审查、抗诉。承办对巴中市中级人民法院民事、行政诉讼活动的法律监督，对审判监督程序以外的其他民事、行政审判程序中审判人员的违法行为提出检察建议，对民事执行、行政执法活动实行法律监督。开展民事支持起诉工作。办理民事、行政申诉案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负责办理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巴中市中级人民法院开庭审理的公益诉讼案件，派员出席法庭，依照有关规定提出检察建议。办理公益诉讼申诉案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9.负责对未成年人犯罪和侵害未成年人犯罪案件的审查逮捕、审查起诉、出庭支持公诉、抗诉，开展相关立案监督、侦查监督、审判监督以及相关案件的补充侦查。开展未成年人司法保护和预防未成年人犯罪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10.负责受理控告和申诉。承办国家赔偿案件和国家司法救助案件。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11.负责法律政策、检察基础理论、检察应用理论、法治建设等方面的调查研究工作。对征求意见的立法、地方立法草案进行研究，提出修改意见和建议。负责检察委员会、检察官协会、专家咨询委员会的日常工作。编辑有关检察刊物。负责司法体制改革综合协调相关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12.负责案件的统一受理流转、办案流程监控、涉案财物管理、法律文书监管、案件信息公开，统一组织办案质量评查、业务考评和业务统计分析研判等工作。负责接待律师等诉讼参与人依法行使诉讼权利。负责业务信息化需求统筹，指导全市检察机关统一业务应用系统的应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13.制定实施全市检察机关财务和装备规划，编制巴中市人民检察院支出规划和部门预决算，负责本级财务管理、国有资产管理、车辆管理、政府采购等工作，负责机关安保等工作。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14.承担对全市检察机关执行法律、法规和最高人民检察院、四川省人民检察院、巴中市人民检察院的规定、决定等情况进行督察。承担内部审计工作。承担党组巡察工作领导小组日常工作。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负责指导全市检察技术工作，组织全市检察机关重大技术疑难案件会检。制定全市检察机关技术工作计划和业务规章制度。依职权组织全市检察技术人员的业务培训和职称评定。受理和承办各类案件的现场勘验、检验鉴定和技术性证据审查。负责全市检察信息化和智慧检察的总体规划和统筹推进。承担相关软件研制、开发、推广和维护。负责全市检察机关通信网络系统管理和维护，承担三级专线网、检察工作网、互联网等网络的建设、维护和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16.负责全市检察机关思想政治工作、新闻宣传、舆论引导、组织人事、教育培训、离退休干部、司法警察等工作。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17.协同市委主管部门管理和考核县、区人民检察院的检察长；协同县级党委管理和考核县、区人民检察院副检察长及政治处主任；报经四川省人民检察院检察长提请省人民代表大会常务委员会批准任免本院检察长；提请市人民代表大会常务委员会批准或不批准县、区人民检察院检察长的任免；提请市人民代表大会常务委员会任免本院的副检察长、检察委员会委员、检察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18.负责其它应当由市人民检察院承办的事项。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shd w:val="clear" w:color="auto" w:fill="FFFFFF"/>
          <w:lang w:val="en-US" w:eastAsia="zh-CN"/>
        </w:rPr>
        <w:t>截止到202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年底，市检察院共有编制87名，其中：政法编制69名、行政工勤编制10名、事业编制8名。年末实有在职</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在编</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83</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人，较上年减少</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人，其中：行政人员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77</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人、事业人员</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人。年末离退休人数</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36</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人，较上年增加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（三）年度主要工作任务。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始终聚焦中心工作，服务大局勇担当。围绕“三市两地一枢纽”发展定位，结合检察职能找准工作切入点、发力点，服务保障经济社会高质量发展。坚持总体国家安全观，坚决维护政治安全，积极投入更高水平的平安巴中建设。积极参与金融风险防范化解工作，持续优化法治化营商环境，服务巩固拓展脱贫攻坚成果和全面推进乡村振兴，加强生态文明司法保护。以防范和整治“村霸”为重点，常态化开展扫黑除恶斗争，推进常治长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始终聚焦法治建设，促进治理强推动。深入打击群众反映强烈的黄赌毒、盗抢骗、食药环等领域违法犯罪，切实维护大局稳定。积极参与市域社会治理，坚持和发展新时代“枫桥经验”，探索司法办案、风险评估、矛盾化解同步推进。用好“12309”检察服务中心，落实“民呼我应”机制，积极回应群众关切。开展多元化联合救助，让司法救助成为“民心产品”。强化对妇女儿童、老年人、农民工等特殊群体的司法保护。加大检察环节普法工作力度，积极引领社会法治观念。充分发挥检察建议效能，努力做到办理一案、治理一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始终聚焦主责主业，强化监督护公正。做优刑事检察。贯彻宽严相济刑事政策，推动降低审前羁押率。担当指控证明犯罪的主导责任，发挥适用认罪认罚从宽制度的主导作用，依法行使起诉裁量权。加强对刑事立案、侦查、审判活动的监督，落实行政执法与刑事司法衔接工作机制。深化“派驻+巡回”检察制度。做强民事检察。全面贯彻实施民法典，加强对民事司法活动的监督，加大对深层次违法问题的监督力度，常态化做好民事检察环节矛盾纠纷化解工作。做实行政检察。强化行政裁判结果、行政审判人员违法和行政执行监督，注重行政争议实质性化解，促进诉源治理。做好公益诉讼检察。坚持稳数量、调结构、提质效、拓领域，着力解决好九大法定领域公益损害突出问题，守护好“诗意山水·红色巴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始终聚焦队伍建设，接续发展重自强。旗帜鲜明讲政治，坚决拥护“两个确立”，坚决做到“两个维护”。持续巩固队伍教育整顿成果，坚持全面从严治检。深化司法责任制综合配套改革，大力推进检察队伍“四化”建设，着力提高法律监督能力。落实科技强检战略，加强智慧检务建设，夯实基层发展基础。深化检务公开，不断提升司法公信力。</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（四）部门整体支出绩效目标。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以习近平新时代中国特色社会主义思想为指导，落实“讲政治、顾大局、谋发展、重自强”的总体要求，坚持“稳进、落实、提升”的工作主题，围绕发展大局履职尽责，用心服务全市中心工作；坚持司法为民保障民生，全力维护社会和谐稳定；深耕“四大检察”主责主业，全心守护社会公平正义；打造四个过硬“检察铁军”，自觉接受各方监督制约。</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1"/>
        <w:rPr>
          <w:rFonts w:hint="eastAsia" w:ascii="黑体" w:hAnsi="宋体" w:eastAsia="黑体" w:cs="宋体"/>
          <w:color w:val="auto"/>
          <w:kern w:val="0"/>
          <w:sz w:val="32"/>
          <w:szCs w:val="32"/>
          <w:highlight w:val="none"/>
          <w:shd w:val="clear" w:color="auto" w:fill="FFFFFF"/>
          <w:lang w:val="zh-CN" w:eastAsia="zh-CN"/>
        </w:rPr>
      </w:pPr>
      <w:r>
        <w:rPr>
          <w:rFonts w:hint="eastAsia" w:ascii="黑体" w:hAnsi="宋体" w:eastAsia="黑体" w:cs="宋体"/>
          <w:color w:val="auto"/>
          <w:kern w:val="0"/>
          <w:sz w:val="32"/>
          <w:szCs w:val="32"/>
          <w:highlight w:val="none"/>
          <w:shd w:val="clear" w:color="auto" w:fill="FFFFFF"/>
          <w:lang w:val="zh-CN" w:eastAsia="zh-CN"/>
        </w:rPr>
        <w:t>部门资金收支情况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财政资金</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2610.61万元，较上年减少483.15万元，下降15.62%。主要变动原因是</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2021年发放当年及上年司改绩效，2022年发放当年司改绩效，故人员经费较上年下降；2021年部分信息化建设项目已完成验收，并支付相关款项，故2022年项目经费较上年下降。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部门财政资金支出情况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财政资金支出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2892.61万元，较上年减少386.87万元，下降11.79%。基本支出2202万元，占总支出的76.13%；项目支出690.61万元，占总支出的23.87%。工资福利支出1776.03万元，占总支出的61.4%；商品和服务支出858.8万元，占总支出的29.69%；对个人和家庭的补助支出94.97万元，占总支出的3.28%；资本性支出162.81万元，占总支出的5.63%。主要变动原因是</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2021年发放当年及上年司改绩效，2022年发放当年司改绩效，故人员经费较上年下降；2021年部分信息化建设项目已完成验收，并支付相关款项，故2022年项目经费较上年下降。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2022年末部门总体结转结余资金为0万元。</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2022年财政拨款</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2610.61万元，较上年减少483.15万元，下降15.62%。主要变动原因是</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2021年发放当年及上年司改绩效，2022年发放当年司改绩效，故人员经费较上年下降；2021年部分信息化建设项目已完成验收，并支付相关款项，故2022年项目经费较上年下降。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2022年财政拨款</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2892.61万元，较上年减少386.87万元，下降11.79%。基本支出2202万元，占总支出的76.13%；项目支出690.61万元，占总支出的23.87%。工资福利支出1776.03万元，占总支出的61.4%；商品和服务支出858.8万元，占总支出的29.69%；对个人和家庭的补助支出94.97万元，占总支出的3.28%；资本性支出162.81万元，占总支出的5.63%。主要变动原因是</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2021年发放当年及上年司改绩效，2022年发放当年司改绩效，故人员经费较上年下降；2021年部分信息化建设项目已完成验收，并支付相关款项，故2022年项目经费较上年下降。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2022年末财政拨款结转结余资金为0万元。</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1"/>
        <w:rPr>
          <w:rFonts w:hint="eastAsia" w:ascii="黑体" w:hAnsi="宋体" w:eastAsia="黑体" w:cs="宋体"/>
          <w:color w:val="auto"/>
          <w:kern w:val="0"/>
          <w:sz w:val="32"/>
          <w:szCs w:val="32"/>
          <w:highlight w:val="none"/>
          <w:shd w:val="clear" w:color="auto" w:fill="FFFFFF"/>
          <w:lang w:val="zh-CN" w:eastAsia="zh-CN"/>
        </w:rPr>
      </w:pPr>
      <w:r>
        <w:rPr>
          <w:rFonts w:hint="eastAsia" w:ascii="黑体" w:hAnsi="宋体" w:eastAsia="黑体" w:cs="宋体"/>
          <w:color w:val="auto"/>
          <w:kern w:val="0"/>
          <w:sz w:val="32"/>
          <w:szCs w:val="32"/>
          <w:highlight w:val="none"/>
          <w:shd w:val="clear" w:color="auto" w:fill="FFFFFF"/>
          <w:lang w:val="zh-CN" w:eastAsia="zh-CN"/>
        </w:rPr>
        <w:t>部门整体绩效分析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科学合理编制人员类项目年初预算、追加预算，减少结余资金。在人员类项目实施过程中严格执行相关政策，保障工资及时发放、足额发放；</w:t>
      </w:r>
      <w:r>
        <w:rPr>
          <w:rFonts w:hint="default" w:ascii="仿宋_GB2312" w:hAnsi="仿宋_GB2312" w:eastAsia="仿宋_GB2312" w:cs="仿宋_GB2312"/>
          <w:b w:val="0"/>
          <w:bCs w:val="0"/>
          <w:color w:val="auto"/>
          <w:kern w:val="0"/>
          <w:sz w:val="32"/>
          <w:szCs w:val="32"/>
          <w:highlight w:val="none"/>
          <w:shd w:val="clear" w:color="auto" w:fill="FFFFFF"/>
          <w:lang w:eastAsia="zh-CN"/>
        </w:rPr>
        <w:t>对</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运转类项目</w:t>
      </w:r>
      <w:r>
        <w:rPr>
          <w:rFonts w:hint="default" w:ascii="仿宋_GB2312" w:hAnsi="仿宋_GB2312" w:eastAsia="仿宋_GB2312" w:cs="仿宋_GB2312"/>
          <w:b w:val="0"/>
          <w:bCs w:val="0"/>
          <w:color w:val="auto"/>
          <w:kern w:val="0"/>
          <w:sz w:val="32"/>
          <w:szCs w:val="32"/>
          <w:highlight w:val="none"/>
          <w:shd w:val="clear" w:color="auto" w:fill="FFFFFF"/>
          <w:lang w:eastAsia="zh-CN"/>
        </w:rPr>
        <w:t>实行</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严格执行、有效控制，保障</w:t>
      </w:r>
      <w:r>
        <w:rPr>
          <w:rFonts w:hint="default" w:ascii="仿宋_GB2312" w:hAnsi="仿宋_GB2312" w:eastAsia="仿宋_GB2312" w:cs="仿宋_GB2312"/>
          <w:b w:val="0"/>
          <w:bCs w:val="0"/>
          <w:color w:val="auto"/>
          <w:kern w:val="0"/>
          <w:sz w:val="32"/>
          <w:szCs w:val="32"/>
          <w:highlight w:val="none"/>
          <w:shd w:val="clear" w:color="auto" w:fill="FFFFFF"/>
          <w:lang w:eastAsia="zh-CN"/>
        </w:rPr>
        <w:t>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单位</w:t>
      </w:r>
      <w:r>
        <w:rPr>
          <w:rFonts w:hint="default" w:ascii="仿宋_GB2312" w:hAnsi="仿宋_GB2312" w:eastAsia="仿宋_GB2312" w:cs="仿宋_GB2312"/>
          <w:b w:val="0"/>
          <w:bCs w:val="0"/>
          <w:color w:val="auto"/>
          <w:kern w:val="0"/>
          <w:sz w:val="32"/>
          <w:szCs w:val="32"/>
          <w:highlight w:val="none"/>
          <w:shd w:val="clear" w:color="auto" w:fill="FFFFFF"/>
          <w:lang w:eastAsia="zh-CN"/>
        </w:rPr>
        <w:t>的</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日常运转和各部门日常工作</w:t>
      </w:r>
      <w:r>
        <w:rPr>
          <w:rFonts w:hint="default" w:ascii="仿宋_GB2312" w:hAnsi="仿宋_GB2312" w:eastAsia="仿宋_GB2312" w:cs="仿宋_GB2312"/>
          <w:b w:val="0"/>
          <w:bCs w:val="0"/>
          <w:color w:val="auto"/>
          <w:kern w:val="0"/>
          <w:sz w:val="32"/>
          <w:szCs w:val="32"/>
          <w:highlight w:val="none"/>
          <w:shd w:val="clear" w:color="auto" w:fill="FFFFFF"/>
          <w:lang w:eastAsia="zh-CN"/>
        </w:rPr>
        <w:t>的</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开展；</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12309检察服务中心工作经费、公益诉讼经费、社区矫正经费、扫黑除恶及办案项目经费等特定目标类项目的实施，打击</w:t>
      </w:r>
      <w:r>
        <w:rPr>
          <w:rFonts w:hint="default" w:ascii="仿宋_GB2312" w:hAnsi="仿宋_GB2312" w:eastAsia="仿宋_GB2312" w:cs="仿宋_GB2312"/>
          <w:b w:val="0"/>
          <w:bCs w:val="0"/>
          <w:color w:val="auto"/>
          <w:kern w:val="0"/>
          <w:sz w:val="32"/>
          <w:szCs w:val="32"/>
          <w:highlight w:val="none"/>
          <w:shd w:val="clear" w:color="auto" w:fill="FFFFFF"/>
          <w:lang w:eastAsia="zh-CN"/>
        </w:rPr>
        <w:t>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违法犯罪，保障了公民合法权益。</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制度建设情况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市检察院不断修订完善工作制度、纪律制度、财务制度、内控制度等各种规章制度，牢固树立“过紧日子”思想，严控一般性支出，不断提高资金使用质效。市检察院在日常工作中严格执行各类规章制度，</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促进经济业务活动流程化、标准化，有效防控单位事务及管理中存在的各类风险。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zh-CN" w:eastAsia="zh-CN"/>
        </w:rPr>
        <w:t>一是科学合理编制预算。市检察院</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坚持预算编制与</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检察职能紧密衔接</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编报科学</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合理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符合法律法规、国民经济发展规划和市委、市政府决策，符合客观工作实际，切实可行</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二是规范填报绩效目标。市检察院根据相关文件要求和时间节点，报送部门整体支出、项目支出、转移支付绩效目标，做到指标细化、内容完整、科学合理、预算匹配。三是监控绩效目标运行。</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市检察院</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对202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年部门整体和</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13</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个预算项目实施绩效运行监控分析</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根据预算绩效目标完成情况和资金实际执行情况，分析绩效</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目标实现情况</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。四是开展事后绩效自评。对部门整体支出、转移支付开展绩效自评</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，并</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将绩效评价作为次年政策优化、改进管理、预算调整、项目调整等的重要支撑。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综合管理情况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zh-CN" w:eastAsia="zh-CN"/>
        </w:rPr>
        <w:t>一是强化项目采购管理。项目采购严格按规定实行政府采购、招标投标、项目监理和合同管理等管理制度，能公开采购的均由公共交易中心组织采购，涉密采购也严格按照程序执行，无违规采购现象。二是强化</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三公</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经费管理支出。市检察院坚持厉行勤俭节约，压缩一般性支出和非急需、非刚性支出，严格控制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三公</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经费。严格执行中央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八项</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规定，以及会议、差旅、培训等经费管理办法，切实加强支出事项的必要性、合理性审核。202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年，市检察院</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三公</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经费总支出为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45.47</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万元，较上年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减少</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0.21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万元，</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下降</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0.46</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%。其中</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公务用车运行维护费42.8万元，公务接待费</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2.67</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万元。三是强化资产管理。市检察院将资产管理责任到人，新购资产及时建卡入账。并对所有资产实行一物一卡、分类核算，确保账账、账证、账实相符，定期登记、定期检查，有章可循、有据可查。做到了资产管理规范、科学，各类装备统计全面、准确，上报无差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综合绩效情况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default" w:ascii="仿宋_GB2312" w:hAnsi="仿宋_GB2312" w:eastAsia="仿宋_GB2312" w:cs="仿宋_GB2312"/>
          <w:b w:val="0"/>
          <w:bCs w:val="0"/>
          <w:color w:val="auto"/>
          <w:kern w:val="0"/>
          <w:sz w:val="32"/>
          <w:szCs w:val="32"/>
          <w:highlight w:val="none"/>
          <w:shd w:val="clear" w:color="auto" w:fill="FFFFFF"/>
          <w:lang w:val="zh-CN"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全市检察机关坚持以习近平新时代中国特色社会主义思想为指导，在市委和省检察院的坚强领导下，深刻把握党的二十大政治之年主题主线，紧紧围绕全市工作大局，认真落实市五届人大一次会议决议，全面履行法律监督</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职责</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，为巴中经济社会高质量发展贡献检察智慧和力量</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。一年来，全市检察机关共办理各类案件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7462</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，实现办案质效和司法能力“双提升”。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坚持一手抓打击、一手抓治理，强力构筑老区安全和谐稳定的铜墙铁壁。一是坚定不移依法惩治刑事犯罪。全力护航党的二十大，坚守底线保安全。全年批捕各类刑事犯罪嫌疑人419</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起诉</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1952</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二是坚定不移贯彻落实宽严相济刑事政策。积极履行主导责任，推进“少捕慎诉慎押”落地见效。加强行刑衔接，避免轻微刑事案件“不诉了之”。持续落实“认罪认罚从宽”制度，最大限度地减少社会对抗，修复社会关系。三是坚定不移自觉融入市域社会治理。立足检察职能，助推依法治市。践行新时代“枫桥经验”，检调对接以和促解，定分止争，调处案件131件。四是坚定不移合力推进反腐败斗争。站位巩固党的执政高度，</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完善监</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检</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衔接机制，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强化法治反腐。共</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受理监委移送审查起诉</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35</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人，已起诉</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31</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提前介入30件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。协同</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推进受贿</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行贿一起查，</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审查</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起诉受贿2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3</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行贿5人。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严惩发生在群众身边“小官巨贪”“蚁腐蝇贪”犯罪。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坚持紧扣“拼经济、搞建设”，以能动履职筑牢巴中经济社会高质量发展的法治屏障。一是优化法治环境，</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助力安商惠企。</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认真研究处理市人大常委会《关于营造法治化营商环境的审议意见》，联合相关部门出台助企纾困解难22条措施，全力促进“稳增长、稳市场主体、稳就业”。开展涉民营企业“挂案”专项检察监督，推进</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涉企刑事“挂案”清零。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二是深化法治保障，</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助力绿色发展。</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践行“两山”理论，积极投身巴中生态文明建设示范区创建。创新“专业化监督</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恢复性司法</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社会化治理”模式，主要做法被省委办、生态环境部转发。三是强化法治手段，</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助力疫情防控。</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落实“疫情要防住”要求，会同政法部门发布“依法维护防疫秩序”通告，形成有力震慑；强化侦查引导，</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提前介入</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涉疫犯罪5</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件</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6</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。面对疫情防控严峻形势，党员干部身先士卒，下沉基层，参与值守筛查、文明劝导和维持秩序等，共同打好“动态清零”攻坚战。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在办案中监督、在监督中办案，精准发力守护社会公平正义。一是注重惩治犯罪与保障人权相统一。坚守客观公正立场，以“如我在诉”的理念，办理刑事诉讼监督案件414件，追诉犯罪、保护无辜、挽救失误者。二是注重权力监督与权利救济相结合。突出精准导向，更加注重监督方式和手段的采用，全年办理民事诉讼监督案件</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30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9件。针对生效裁判结果提出抗诉和再审检察建议</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4件，已采纳11件；针对民事审执违法提出检察建议</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9</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6件。三是注重案结事了与政通人和相协调。发挥行政检察“一手托两家”作用，践行“穿透式”监督理念，促进公正司法和依法行政。共受理行政检察监督案件103件，同比上升</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3</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。对认为确有错误的行政裁判提出抗诉和再审检察建议1件；以检察建议监督纠正行政审判和执行活动中的违法情形66件。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为民司法，聚焦群众关切，以检察自觉倾力办好民生实事。一是实施“书记项目”，守卫民生安全。围绕党建实施“公益诉讼守护群众安全”书记项目，当好国家和公共利益的守护人。二是实施“关爱行动”，护未健康成长。围绕</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涉未“两法”</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实施</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，全面加强未成年人司法保护</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。坚持“零容忍”惩治侵害未成年人犯罪，批捕53人，起诉82人。对罪行严重的未成年人犯罪，依法批捕24人，起诉41人，展示法治威严。三是实施“暖心工程”，保护弱势群体。</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围绕</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权益保障，打出司法保障“组合拳”。打击养老诈骗，起诉2人。根治欠薪顽疾，支持起诉70件，帮助农民工追回“辛苦钱”200万余元。坚持“应救尽救”，司法救助80人，发放救助金103.5万元，帮助因案致困被害人及其近亲属渡过难关，传递检察温情和司法温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坚持全面从严管党治检，持续夯基固本，着力锻造忠诚干净担当的检察铁军。一是铸忠诚之魂。通过专家讲学、干部领学、支部研学、干警自学等方式，深入学习宣传贯彻党的二十大精神，深刻领悟“两个确立”的决定性意义，增强“四个意识”、坚定“四个自信”、做到“两个维护”。二是强担当之能。以学训练赛提智增能。分层分类开展精准教培54人次。推行</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AB</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岗互补机制，对新进干警“传帮带”；组建6个特色办案组，让年轻同志在办案中磨炼提升。推出“三新课堂”“青年说”“议案堂”等平台，提升检察干警的法律素养。三是修干净之身。落实“两个责任”，全面从严管党治检。抓实巡察整改，做好“后半篇”文章。主动接受人大监督和政协民主监督，专题报告工作24次，邀请视察、参加检察活动71</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次，办理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意见</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建</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议128条。四是夯发展之基。树立全市检察“一盘棋”意识，形成齐头并进、竞相发展格局。坚持把工作重心放在基层，完善指导联系、精准帮扶等机制，激发内生动力</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市检察院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根据市财政局相关工作要求，并按照“收支真实、数额准确、内容完整、报送及时”的要求，</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主动信息公开，</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提高信息透明度</w:t>
      </w:r>
      <w:r>
        <w:rPr>
          <w:rFonts w:hint="default" w:ascii="仿宋_GB2312" w:hAnsi="仿宋_GB2312" w:eastAsia="仿宋_GB2312" w:cs="仿宋_GB2312"/>
          <w:b w:val="0"/>
          <w:bCs w:val="0"/>
          <w:color w:val="auto"/>
          <w:kern w:val="0"/>
          <w:sz w:val="32"/>
          <w:szCs w:val="32"/>
          <w:highlight w:val="none"/>
          <w:shd w:val="clear" w:color="auto" w:fill="FFFFFF"/>
          <w:lang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接受社会监督。市检察院在监督制约上始终坚持</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内</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外</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default" w:ascii="仿宋_GB2312" w:hAnsi="仿宋_GB2312" w:eastAsia="仿宋_GB2312" w:cs="仿宋_GB2312"/>
          <w:b w:val="0"/>
          <w:bCs w:val="0"/>
          <w:color w:val="auto"/>
          <w:kern w:val="0"/>
          <w:sz w:val="32"/>
          <w:szCs w:val="32"/>
          <w:highlight w:val="none"/>
          <w:shd w:val="clear" w:color="auto" w:fill="FFFFFF"/>
          <w:lang w:val="zh-CN" w:eastAsia="zh-CN"/>
        </w:rPr>
        <w:t>联动，主动加强内部监督工作的同时，积极配合外部审计工作，对存在的问题及时纠正，全面整改到位。</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eastAsia="zh-CN"/>
        </w:rPr>
        <w:t>（四）自评质量。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市检察院严格对照2023年市级部门整体支出绩效评价指标体系，认真组织开展整体自评工作，部门项目自评率100%，资金评价覆盖率100%，不断强化责任约束，有效提升绩效管理质效。</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1"/>
        <w:rPr>
          <w:rFonts w:hint="eastAsia" w:ascii="黑体" w:hAnsi="宋体" w:eastAsia="黑体" w:cs="宋体"/>
          <w:color w:val="auto"/>
          <w:kern w:val="0"/>
          <w:sz w:val="32"/>
          <w:szCs w:val="32"/>
          <w:highlight w:val="none"/>
          <w:shd w:val="clear" w:color="auto" w:fill="FFFFFF"/>
          <w:lang w:val="zh-CN" w:eastAsia="zh-CN"/>
        </w:rPr>
      </w:pPr>
      <w:r>
        <w:rPr>
          <w:rFonts w:hint="eastAsia" w:ascii="黑体" w:hAnsi="宋体" w:eastAsia="黑体" w:cs="宋体"/>
          <w:color w:val="auto"/>
          <w:kern w:val="0"/>
          <w:sz w:val="32"/>
          <w:szCs w:val="32"/>
          <w:highlight w:val="none"/>
          <w:shd w:val="clear" w:color="auto" w:fill="FFFFFF"/>
          <w:lang w:val="zh-CN" w:eastAsia="zh-CN"/>
        </w:rPr>
        <w:t>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市检察院认真贯彻执行党中央、省、市有关方针政策和法律规定，不断建立健全内控制度，加强财务管理和项目管理，较好地完成了部门整体目标任务。</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市检察院</w:t>
      </w:r>
      <w:r>
        <w:rPr>
          <w:rFonts w:hint="default" w:ascii="仿宋_GB2312" w:hAnsi="仿宋_GB2312" w:eastAsia="仿宋_GB2312" w:cs="仿宋_GB2312"/>
          <w:b w:val="0"/>
          <w:bCs w:val="0"/>
          <w:color w:val="auto"/>
          <w:kern w:val="0"/>
          <w:sz w:val="32"/>
          <w:szCs w:val="32"/>
          <w:highlight w:val="none"/>
          <w:shd w:val="clear" w:color="auto" w:fill="FFFFFF"/>
          <w:lang w:eastAsia="zh-CN"/>
        </w:rPr>
        <w:t>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整体支出绩效自评得分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99</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分，具体为：基础工作管理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分，绩效目标管理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分，绩效监控运行</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未开展资产清查，扣1分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），绩效评价实施</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分，评价结果应用</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项目支出绩效管理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分，加分项0分，</w:t>
      </w:r>
      <w:bookmarkStart w:id="106" w:name="_GoBack"/>
      <w:bookmarkEnd w:id="106"/>
      <w:r>
        <w:rPr>
          <w:rFonts w:hint="eastAsia" w:ascii="仿宋_GB2312" w:hAnsi="仿宋_GB2312" w:eastAsia="仿宋_GB2312" w:cs="仿宋_GB2312"/>
          <w:b w:val="0"/>
          <w:bCs w:val="0"/>
          <w:color w:val="auto"/>
          <w:kern w:val="0"/>
          <w:sz w:val="32"/>
          <w:szCs w:val="32"/>
          <w:highlight w:val="none"/>
          <w:shd w:val="clear" w:color="auto" w:fill="FFFFFF"/>
          <w:lang w:val="zh-CN" w:eastAsia="zh-CN"/>
        </w:rPr>
        <w:t>减分项0分。</w:t>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Style w:val="28"/>
          <w:rFonts w:ascii="黑体" w:hAnsi="黑体" w:eastAsia="黑体"/>
          <w:b w:val="0"/>
          <w:color w:val="auto"/>
          <w:highlight w:val="none"/>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spacing w:line="600" w:lineRule="exact"/>
        <w:jc w:val="center"/>
        <w:outlineLvl w:val="0"/>
        <w:rPr>
          <w:rFonts w:hint="eastAsia" w:ascii="仿宋" w:hAnsi="仿宋" w:eastAsia="仿宋"/>
          <w:b w:val="0"/>
          <w:color w:val="auto"/>
          <w:highlight w:val="none"/>
        </w:rPr>
      </w:pPr>
      <w:bookmarkStart w:id="78" w:name="_Toc22884"/>
      <w:bookmarkStart w:id="79" w:name="_Toc15396618"/>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74"/>
      <w:bookmarkEnd w:id="78"/>
      <w:bookmarkEnd w:id="79"/>
      <w:bookmarkStart w:id="80" w:name="_Toc15396619"/>
    </w:p>
    <w:p>
      <w:pPr>
        <w:pStyle w:val="4"/>
        <w:rPr>
          <w:rFonts w:ascii="仿宋" w:hAnsi="仿宋" w:eastAsia="仿宋"/>
          <w:color w:val="auto"/>
          <w:highlight w:val="none"/>
        </w:rPr>
      </w:pPr>
      <w:bookmarkStart w:id="81" w:name="_Toc2757"/>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80"/>
      <w:bookmarkEnd w:id="81"/>
    </w:p>
    <w:p>
      <w:pPr>
        <w:pStyle w:val="4"/>
        <w:rPr>
          <w:rFonts w:ascii="仿宋" w:hAnsi="仿宋" w:eastAsia="仿宋"/>
          <w:color w:val="auto"/>
          <w:highlight w:val="none"/>
        </w:rPr>
      </w:pPr>
      <w:bookmarkStart w:id="82" w:name="_Toc15396620"/>
      <w:bookmarkStart w:id="83" w:name="_Toc29781"/>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82"/>
      <w:bookmarkEnd w:id="83"/>
    </w:p>
    <w:p>
      <w:pPr>
        <w:pStyle w:val="4"/>
        <w:rPr>
          <w:rFonts w:ascii="仿宋" w:hAnsi="仿宋" w:eastAsia="仿宋"/>
          <w:color w:val="auto"/>
          <w:highlight w:val="none"/>
        </w:rPr>
      </w:pPr>
      <w:bookmarkStart w:id="84" w:name="_Toc15396621"/>
      <w:bookmarkStart w:id="85" w:name="_Toc32502"/>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84"/>
      <w:bookmarkEnd w:id="85"/>
    </w:p>
    <w:p>
      <w:pPr>
        <w:pStyle w:val="4"/>
        <w:rPr>
          <w:rFonts w:ascii="仿宋" w:hAnsi="仿宋" w:eastAsia="仿宋"/>
          <w:b w:val="0"/>
          <w:color w:val="auto"/>
          <w:highlight w:val="none"/>
        </w:rPr>
      </w:pPr>
      <w:bookmarkStart w:id="86" w:name="_Toc2005"/>
      <w:bookmarkStart w:id="8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86"/>
      <w:bookmarkEnd w:id="87"/>
    </w:p>
    <w:p>
      <w:pPr>
        <w:pStyle w:val="4"/>
        <w:rPr>
          <w:rStyle w:val="29"/>
          <w:rFonts w:ascii="仿宋" w:hAnsi="仿宋" w:eastAsia="仿宋"/>
          <w:b w:val="0"/>
          <w:bCs w:val="0"/>
          <w:color w:val="auto"/>
          <w:highlight w:val="none"/>
        </w:rPr>
      </w:pPr>
      <w:bookmarkStart w:id="88" w:name="_Toc15396623"/>
      <w:bookmarkStart w:id="89" w:name="_Toc14055"/>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88"/>
      <w:bookmarkEnd w:id="89"/>
      <w:bookmarkStart w:id="90" w:name="_Toc15396624"/>
    </w:p>
    <w:p>
      <w:pPr>
        <w:pStyle w:val="4"/>
        <w:rPr>
          <w:rFonts w:ascii="仿宋" w:hAnsi="仿宋" w:eastAsia="仿宋"/>
          <w:color w:val="auto"/>
          <w:highlight w:val="none"/>
        </w:rPr>
      </w:pPr>
      <w:bookmarkStart w:id="91" w:name="_Toc16595"/>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90"/>
      <w:bookmarkEnd w:id="91"/>
    </w:p>
    <w:p>
      <w:pPr>
        <w:pStyle w:val="4"/>
        <w:rPr>
          <w:rFonts w:ascii="仿宋" w:hAnsi="仿宋" w:eastAsia="仿宋"/>
          <w:color w:val="auto"/>
          <w:highlight w:val="none"/>
        </w:rPr>
      </w:pPr>
      <w:bookmarkStart w:id="92" w:name="_Toc15396625"/>
      <w:bookmarkStart w:id="93" w:name="_Toc16663"/>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92"/>
      <w:bookmarkEnd w:id="93"/>
    </w:p>
    <w:p>
      <w:pPr>
        <w:pStyle w:val="4"/>
        <w:rPr>
          <w:rFonts w:ascii="仿宋" w:hAnsi="仿宋" w:eastAsia="仿宋"/>
          <w:color w:val="auto"/>
          <w:highlight w:val="none"/>
        </w:rPr>
      </w:pPr>
      <w:bookmarkStart w:id="94" w:name="_Toc31712"/>
      <w:bookmarkStart w:id="95"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94"/>
      <w:bookmarkEnd w:id="95"/>
    </w:p>
    <w:p>
      <w:pPr>
        <w:pStyle w:val="4"/>
        <w:rPr>
          <w:rFonts w:ascii="仿宋" w:hAnsi="仿宋" w:eastAsia="仿宋"/>
          <w:color w:val="auto"/>
          <w:highlight w:val="none"/>
        </w:rPr>
      </w:pPr>
      <w:bookmarkStart w:id="96" w:name="_Toc6077"/>
      <w:bookmarkStart w:id="97"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96"/>
      <w:bookmarkEnd w:id="97"/>
    </w:p>
    <w:p>
      <w:pPr>
        <w:pStyle w:val="4"/>
        <w:rPr>
          <w:rFonts w:ascii="仿宋" w:hAnsi="仿宋" w:eastAsia="仿宋"/>
          <w:color w:val="auto"/>
          <w:highlight w:val="none"/>
        </w:rPr>
      </w:pPr>
      <w:bookmarkStart w:id="98" w:name="_Toc15396628"/>
      <w:bookmarkStart w:id="99" w:name="_Toc8880"/>
      <w:r>
        <w:rPr>
          <w:rStyle w:val="29"/>
          <w:rFonts w:hint="eastAsia" w:ascii="仿宋" w:hAnsi="仿宋" w:eastAsia="仿宋"/>
          <w:b w:val="0"/>
          <w:bCs w:val="0"/>
          <w:color w:val="auto"/>
          <w:highlight w:val="none"/>
        </w:rPr>
        <w:t>十、</w:t>
      </w:r>
      <w:bookmarkEnd w:id="98"/>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99"/>
    </w:p>
    <w:p>
      <w:pPr>
        <w:pStyle w:val="4"/>
        <w:rPr>
          <w:rFonts w:ascii="仿宋" w:hAnsi="仿宋" w:eastAsia="仿宋"/>
          <w:color w:val="auto"/>
          <w:highlight w:val="none"/>
        </w:rPr>
      </w:pPr>
      <w:bookmarkStart w:id="100" w:name="_Toc15396629"/>
      <w:bookmarkStart w:id="101" w:name="_Toc23717"/>
      <w:r>
        <w:rPr>
          <w:rStyle w:val="29"/>
          <w:rFonts w:hint="eastAsia" w:ascii="仿宋" w:hAnsi="仿宋" w:eastAsia="仿宋"/>
          <w:b w:val="0"/>
          <w:bCs w:val="0"/>
          <w:color w:val="auto"/>
          <w:highlight w:val="none"/>
        </w:rPr>
        <w:t>十一、</w:t>
      </w:r>
      <w:bookmarkEnd w:id="100"/>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01"/>
    </w:p>
    <w:p>
      <w:pPr>
        <w:pStyle w:val="4"/>
        <w:rPr>
          <w:rFonts w:ascii="仿宋" w:hAnsi="仿宋" w:eastAsia="仿宋"/>
          <w:color w:val="auto"/>
          <w:highlight w:val="none"/>
        </w:rPr>
      </w:pPr>
      <w:bookmarkStart w:id="102" w:name="_Toc15396630"/>
      <w:bookmarkStart w:id="103" w:name="_Toc31497"/>
      <w:r>
        <w:rPr>
          <w:rStyle w:val="29"/>
          <w:rFonts w:hint="eastAsia" w:ascii="仿宋" w:hAnsi="仿宋" w:eastAsia="仿宋"/>
          <w:b w:val="0"/>
          <w:bCs w:val="0"/>
          <w:color w:val="auto"/>
          <w:highlight w:val="none"/>
        </w:rPr>
        <w:t>十二、</w:t>
      </w:r>
      <w:bookmarkEnd w:id="102"/>
      <w:r>
        <w:rPr>
          <w:rStyle w:val="29"/>
          <w:rFonts w:hint="eastAsia" w:ascii="仿宋" w:hAnsi="仿宋" w:eastAsia="仿宋"/>
          <w:b w:val="0"/>
          <w:bCs w:val="0"/>
          <w:color w:val="auto"/>
          <w:highlight w:val="none"/>
          <w:lang w:eastAsia="zh-CN"/>
        </w:rPr>
        <w:t>国有资本经营预算财政拨款支出决算表</w:t>
      </w:r>
      <w:bookmarkEnd w:id="103"/>
    </w:p>
    <w:p>
      <w:pPr>
        <w:pStyle w:val="4"/>
        <w:rPr>
          <w:rFonts w:hint="eastAsia" w:eastAsia="仿宋"/>
          <w:color w:val="auto"/>
          <w:highlight w:val="none"/>
          <w:lang w:eastAsia="zh-CN"/>
        </w:rPr>
      </w:pPr>
      <w:bookmarkStart w:id="104" w:name="_Toc15396631"/>
      <w:bookmarkStart w:id="105" w:name="_Toc25862"/>
      <w:r>
        <w:rPr>
          <w:rStyle w:val="29"/>
          <w:rFonts w:hint="eastAsia" w:ascii="仿宋" w:hAnsi="仿宋" w:eastAsia="仿宋"/>
          <w:b w:val="0"/>
          <w:bCs w:val="0"/>
          <w:color w:val="auto"/>
          <w:highlight w:val="none"/>
        </w:rPr>
        <w:t>十三、</w:t>
      </w:r>
      <w:bookmarkEnd w:id="104"/>
      <w:r>
        <w:rPr>
          <w:rStyle w:val="29"/>
          <w:rFonts w:hint="eastAsia" w:ascii="仿宋" w:hAnsi="仿宋" w:eastAsia="仿宋"/>
          <w:b w:val="0"/>
          <w:bCs w:val="0"/>
          <w:color w:val="auto"/>
          <w:highlight w:val="none"/>
          <w:lang w:eastAsia="zh-CN"/>
        </w:rPr>
        <w:t>财政拨款“三公”经费支出决算表</w:t>
      </w:r>
      <w:bookmarkEnd w:id="105"/>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Calibri">
    <w:altName w:val="DejaVu Sans"/>
    <w:panose1 w:val="020F0502020204030204"/>
    <w:charset w:val="01"/>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mMyMGQzNmZlNTM3YmNjYmYzZGJlZDVmMGE2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C055FF"/>
    <w:rsid w:val="118107EC"/>
    <w:rsid w:val="13B5C7C2"/>
    <w:rsid w:val="13D50BC4"/>
    <w:rsid w:val="16BB723D"/>
    <w:rsid w:val="1BE8440E"/>
    <w:rsid w:val="1D155CEE"/>
    <w:rsid w:val="1FF35744"/>
    <w:rsid w:val="23860B96"/>
    <w:rsid w:val="240371BF"/>
    <w:rsid w:val="26727C5E"/>
    <w:rsid w:val="29FD04D3"/>
    <w:rsid w:val="2C8A61B5"/>
    <w:rsid w:val="2D8D7F0D"/>
    <w:rsid w:val="2DF04E50"/>
    <w:rsid w:val="2DFFC9F8"/>
    <w:rsid w:val="2E5C8ED7"/>
    <w:rsid w:val="2F040D46"/>
    <w:rsid w:val="319F7F4E"/>
    <w:rsid w:val="3304709D"/>
    <w:rsid w:val="36AA5135"/>
    <w:rsid w:val="3766D13E"/>
    <w:rsid w:val="376D39B2"/>
    <w:rsid w:val="37E16F03"/>
    <w:rsid w:val="387602DD"/>
    <w:rsid w:val="38D469F0"/>
    <w:rsid w:val="38E7876F"/>
    <w:rsid w:val="3BEE6A4E"/>
    <w:rsid w:val="3D98207C"/>
    <w:rsid w:val="3E78745D"/>
    <w:rsid w:val="44E268DA"/>
    <w:rsid w:val="46CF6026"/>
    <w:rsid w:val="47F467F4"/>
    <w:rsid w:val="4A627F82"/>
    <w:rsid w:val="4B0E749A"/>
    <w:rsid w:val="4B4F25DA"/>
    <w:rsid w:val="4BE068DB"/>
    <w:rsid w:val="4D577224"/>
    <w:rsid w:val="4EAB630A"/>
    <w:rsid w:val="4ECE2238"/>
    <w:rsid w:val="4ECF6C78"/>
    <w:rsid w:val="4EFEF70A"/>
    <w:rsid w:val="530FF796"/>
    <w:rsid w:val="537E6D0A"/>
    <w:rsid w:val="559B2FF3"/>
    <w:rsid w:val="564FFF85"/>
    <w:rsid w:val="597CC68D"/>
    <w:rsid w:val="5AF92295"/>
    <w:rsid w:val="5CD71FC4"/>
    <w:rsid w:val="5D2D02DE"/>
    <w:rsid w:val="5EBBDAB6"/>
    <w:rsid w:val="5EDE8299"/>
    <w:rsid w:val="5F891BFD"/>
    <w:rsid w:val="5FE8575E"/>
    <w:rsid w:val="67FF67A7"/>
    <w:rsid w:val="6C4A05C8"/>
    <w:rsid w:val="6D7B32C8"/>
    <w:rsid w:val="6E7E3605"/>
    <w:rsid w:val="6EFF071A"/>
    <w:rsid w:val="6FF5CC65"/>
    <w:rsid w:val="715C0E4B"/>
    <w:rsid w:val="72734D90"/>
    <w:rsid w:val="729F423A"/>
    <w:rsid w:val="73AD73D5"/>
    <w:rsid w:val="73B6EB34"/>
    <w:rsid w:val="744731E5"/>
    <w:rsid w:val="74F63F29"/>
    <w:rsid w:val="769A548D"/>
    <w:rsid w:val="76E3355F"/>
    <w:rsid w:val="776D40A9"/>
    <w:rsid w:val="778769C8"/>
    <w:rsid w:val="77D215AB"/>
    <w:rsid w:val="77F932D2"/>
    <w:rsid w:val="797DACAE"/>
    <w:rsid w:val="79EE5BA4"/>
    <w:rsid w:val="79F7A81C"/>
    <w:rsid w:val="79FF063D"/>
    <w:rsid w:val="7A894339"/>
    <w:rsid w:val="7AEC2473"/>
    <w:rsid w:val="7B956679"/>
    <w:rsid w:val="7DD341A3"/>
    <w:rsid w:val="7DDFE689"/>
    <w:rsid w:val="7E6F60A9"/>
    <w:rsid w:val="7EEF11D3"/>
    <w:rsid w:val="7EFF1C20"/>
    <w:rsid w:val="7F576E1D"/>
    <w:rsid w:val="7FA30C79"/>
    <w:rsid w:val="7FB7269E"/>
    <w:rsid w:val="7FC96657"/>
    <w:rsid w:val="7FDD33AA"/>
    <w:rsid w:val="9DF6668D"/>
    <w:rsid w:val="9E9D66B6"/>
    <w:rsid w:val="9F3F3806"/>
    <w:rsid w:val="A5F9BB3C"/>
    <w:rsid w:val="AEB7EBFE"/>
    <w:rsid w:val="B7FF625F"/>
    <w:rsid w:val="BCFF8667"/>
    <w:rsid w:val="BF76DD5E"/>
    <w:rsid w:val="BFD336E0"/>
    <w:rsid w:val="BFDA314A"/>
    <w:rsid w:val="BFED2616"/>
    <w:rsid w:val="C5FABC02"/>
    <w:rsid w:val="C7DE1861"/>
    <w:rsid w:val="CDFF1162"/>
    <w:rsid w:val="CF2FB536"/>
    <w:rsid w:val="D8D6DB89"/>
    <w:rsid w:val="DB6F4CAB"/>
    <w:rsid w:val="DF6F9789"/>
    <w:rsid w:val="DF7353CC"/>
    <w:rsid w:val="E777E2F0"/>
    <w:rsid w:val="E7F61759"/>
    <w:rsid w:val="EB9B04B4"/>
    <w:rsid w:val="ED3B569A"/>
    <w:rsid w:val="EDDA14D3"/>
    <w:rsid w:val="EDEF06EC"/>
    <w:rsid w:val="EEF692F8"/>
    <w:rsid w:val="EF4B65C8"/>
    <w:rsid w:val="EF7DC972"/>
    <w:rsid w:val="EF7FA0BA"/>
    <w:rsid w:val="F3B78730"/>
    <w:rsid w:val="F3FB97A9"/>
    <w:rsid w:val="F6C9F8DE"/>
    <w:rsid w:val="F6FF2928"/>
    <w:rsid w:val="F7576927"/>
    <w:rsid w:val="FDB22401"/>
    <w:rsid w:val="FF38473E"/>
    <w:rsid w:val="FFECFD0B"/>
    <w:rsid w:val="FFF8F172"/>
    <w:rsid w:val="FFFD8B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HTML Address"/>
    <w:basedOn w:val="1"/>
    <w:qFormat/>
    <w:uiPriority w:val="0"/>
    <w:rPr>
      <w:i/>
      <w:iCs/>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home/uos/Desktop/10&#26376;-2022&#24180;&#24230;&#37096;&#38376;&#20915;&#31639;&#25209;&#22797;&#21450;&#20844;&#24320;/&#19978;&#25253;/&#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home/uos/Desktop/10&#26376;-2022&#24180;&#24230;&#37096;&#38376;&#20915;&#31639;&#25209;&#22797;&#21450;&#20844;&#24320;/&#19978;&#25253;/&#2227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ome/uos/Desktop/10&#26376;-2022&#24180;&#24230;&#37096;&#38376;&#20915;&#31639;&#25209;&#22797;&#21450;&#20844;&#24320;/&#19978;&#25253;/&#2227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ome/uos/Desktop/10&#26376;-2022&#24180;&#24230;&#37096;&#38376;&#20915;&#31639;&#25209;&#22797;&#21450;&#20844;&#24320;/&#19978;&#25253;/&#2227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ome/uos/Desktop/10&#26376;-2022&#24180;&#24230;&#37096;&#38376;&#20915;&#31639;&#25209;&#22797;&#21450;&#20844;&#24320;/&#19978;&#25253;/&#2227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ome/uos/Desktop/10&#26376;-2022&#24180;&#24230;&#37096;&#38376;&#20915;&#31639;&#25209;&#22797;&#21450;&#20844;&#24320;/&#2227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ome/uos/Desktop/10&#26376;-2022&#24180;&#24230;&#37096;&#38376;&#20915;&#31639;&#25209;&#22797;&#21450;&#20844;&#24320;/&#19978;&#2525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985129012557908"/>
          <c:y val="0.0572706827822898"/>
          <c:w val="0.733793477968754"/>
          <c:h val="0.768998369508756"/>
        </c:manualLayout>
      </c:layout>
      <c:barChart>
        <c:barDir val="col"/>
        <c:grouping val="clustered"/>
        <c:varyColors val="false"/>
        <c:ser>
          <c:idx val="0"/>
          <c:order val="0"/>
          <c:tx>
            <c:strRef>
              <c:f>[图.xlsx]Sheet1!$G$3</c:f>
              <c:strCache>
                <c:ptCount val="1"/>
                <c:pt idx="0">
                  <c:v>2021年</c:v>
                </c:pt>
              </c:strCache>
            </c:strRef>
          </c:tx>
          <c:invertIfNegative val="false"/>
          <c:dLbls>
            <c:delete val="true"/>
          </c:dLbls>
          <c:cat>
            <c:strRef>
              <c:f>[图.xlsx]Sheet1!$H$2:$I$2</c:f>
              <c:strCache>
                <c:ptCount val="2"/>
                <c:pt idx="0">
                  <c:v>收入总计</c:v>
                </c:pt>
                <c:pt idx="1">
                  <c:v>支出总计</c:v>
                </c:pt>
              </c:strCache>
            </c:strRef>
          </c:cat>
          <c:val>
            <c:numRef>
              <c:f>[图.xlsx]Sheet1!$H$3:$I$3</c:f>
              <c:numCache>
                <c:formatCode>General</c:formatCode>
                <c:ptCount val="2"/>
                <c:pt idx="0">
                  <c:v>3093.76</c:v>
                </c:pt>
                <c:pt idx="1">
                  <c:v>3279.48</c:v>
                </c:pt>
              </c:numCache>
            </c:numRef>
          </c:val>
        </c:ser>
        <c:ser>
          <c:idx val="1"/>
          <c:order val="1"/>
          <c:tx>
            <c:strRef>
              <c:f>[图.xlsx]Sheet1!$G$4</c:f>
              <c:strCache>
                <c:ptCount val="1"/>
                <c:pt idx="0">
                  <c:v>2022年</c:v>
                </c:pt>
              </c:strCache>
            </c:strRef>
          </c:tx>
          <c:invertIfNegative val="false"/>
          <c:dLbls>
            <c:delete val="true"/>
          </c:dLbls>
          <c:cat>
            <c:strRef>
              <c:f>[图.xlsx]Sheet1!$H$2:$I$2</c:f>
              <c:strCache>
                <c:ptCount val="2"/>
                <c:pt idx="0">
                  <c:v>收入总计</c:v>
                </c:pt>
                <c:pt idx="1">
                  <c:v>支出总计</c:v>
                </c:pt>
              </c:strCache>
            </c:strRef>
          </c:cat>
          <c:val>
            <c:numRef>
              <c:f>[图.xlsx]Sheet1!$H$4:$I$4</c:f>
              <c:numCache>
                <c:formatCode>General</c:formatCode>
                <c:ptCount val="2"/>
                <c:pt idx="0">
                  <c:v>2610.61</c:v>
                </c:pt>
                <c:pt idx="1">
                  <c:v>2892.61</c:v>
                </c:pt>
              </c:numCache>
            </c:numRef>
          </c:val>
        </c:ser>
        <c:dLbls>
          <c:showLegendKey val="false"/>
          <c:showVal val="false"/>
          <c:showCatName val="false"/>
          <c:showSerName val="false"/>
          <c:showPercent val="false"/>
          <c:showBubbleSize val="false"/>
        </c:dLbls>
        <c:gapWidth val="150"/>
        <c:axId val="153216128"/>
        <c:axId val="153217664"/>
      </c:barChart>
      <c:catAx>
        <c:axId val="15321612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217664"/>
        <c:crosses val="autoZero"/>
        <c:auto val="true"/>
        <c:lblAlgn val="ctr"/>
        <c:lblOffset val="100"/>
        <c:noMultiLvlLbl val="false"/>
      </c:catAx>
      <c:valAx>
        <c:axId val="15321766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216128"/>
        <c:crosses val="autoZero"/>
        <c:crossBetween val="between"/>
      </c:valAx>
    </c:plotArea>
    <c:legend>
      <c:legendPos val="r"/>
      <c:layout>
        <c:manualLayout>
          <c:xMode val="edge"/>
          <c:yMode val="edge"/>
          <c:x val="0.849588307087234"/>
          <c:y val="0.348466440388877"/>
          <c:w val="0.134254442000448"/>
          <c:h val="0.12887948704782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822579110214636"/>
          <c:y val="0.0265546728772446"/>
          <c:w val="0.520789626947366"/>
          <c:h val="0.87030297368399"/>
        </c:manualLayout>
      </c:layout>
      <c:pieChart>
        <c:varyColors val="true"/>
        <c:ser>
          <c:idx val="0"/>
          <c:order val="0"/>
          <c:explosion val="0"/>
          <c:dPt>
            <c:idx val="0"/>
            <c:bubble3D val="false"/>
          </c:dPt>
          <c:dPt>
            <c:idx val="1"/>
            <c:bubble3D val="false"/>
          </c:dPt>
          <c:dPt>
            <c:idx val="2"/>
            <c:bubble3D val="false"/>
          </c:dPt>
          <c:dLbls>
            <c:dLbl>
              <c:idx val="0"/>
              <c:layout>
                <c:manualLayout>
                  <c:x val="0.000797087726710283"/>
                  <c:y val="-0.34400091278671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32036024445159"/>
                      <c:h val="0.108913142337426"/>
                    </c:manualLayout>
                  </c15:layout>
                </c:ext>
              </c:extLst>
            </c:dLbl>
            <c:dLbl>
              <c:idx val="1"/>
              <c:layout>
                <c:manualLayout>
                  <c:x val="-0.0385822462189822"/>
                  <c:y val="-0.20840789041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9</a:t>
                    </a:r>
                    <a:r>
                      <a:rPr lang="en-US" altLang="zh-CN"/>
                      <a:t>3.7</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15798248839216"/>
                  <c:y val="0.16175099501888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[图.xlsx]图2!$F$116:$F$118</c:f>
              <c:strCache>
                <c:ptCount val="3"/>
                <c:pt idx="0">
                  <c:v>一般公共预算财政拨款收入</c:v>
                </c:pt>
              </c:strCache>
            </c:strRef>
          </c:cat>
          <c:val>
            <c:numRef>
              <c:f>[图.xlsx]图2!$G$116:$G$118</c:f>
              <c:numCache>
                <c:formatCode>0%</c:formatCode>
                <c:ptCount val="3"/>
                <c:pt idx="0">
                  <c:v>1</c:v>
                </c:pt>
              </c:numCache>
            </c:numRef>
          </c:val>
        </c:ser>
        <c:dLbls>
          <c:showLegendKey val="false"/>
          <c:showVal val="true"/>
          <c:showCatName val="false"/>
          <c:showSerName val="false"/>
          <c:showPercent val="false"/>
          <c:showBubbleSize val="false"/>
          <c:showLeaderLines val="true"/>
        </c:dLbls>
        <c:firstSliceAng val="0"/>
      </c:pieChart>
    </c:plotArea>
    <c:legend>
      <c:legendPos val="r"/>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delete val="true"/>
      </c:legendEntry>
      <c:legendEntry>
        <c:idx val="2"/>
        <c:delete val="true"/>
      </c:legendEntry>
      <c:layout>
        <c:manualLayout>
          <c:xMode val="edge"/>
          <c:yMode val="edge"/>
          <c:x val="0.692486022091913"/>
          <c:y val="0.126908179539758"/>
          <c:w val="0.250102277376244"/>
          <c:h val="0.599225336067441"/>
        </c:manualLayout>
      </c:layout>
      <c:overlay val="false"/>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423424630153011"/>
          <c:y val="0.0185383259818653"/>
          <c:w val="0.552702835733736"/>
          <c:h val="0.87486629962241"/>
        </c:manualLayout>
      </c:layout>
      <c:pieChart>
        <c:varyColors val="true"/>
        <c:ser>
          <c:idx val="0"/>
          <c:order val="0"/>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[图.xlsx]Sheet1!$G$133:$G$136</c:f>
              <c:strCache>
                <c:ptCount val="4"/>
                <c:pt idx="0">
                  <c:v>基本支出</c:v>
                </c:pt>
                <c:pt idx="1">
                  <c:v>项目支出</c:v>
                </c:pt>
              </c:strCache>
            </c:strRef>
          </c:cat>
          <c:val>
            <c:numRef>
              <c:f>[图.xlsx]Sheet1!$H$133:$H$136</c:f>
              <c:numCache>
                <c:formatCode>0.00%</c:formatCode>
                <c:ptCount val="4"/>
                <c:pt idx="0">
                  <c:v>0.7613</c:v>
                </c:pt>
                <c:pt idx="1">
                  <c:v>0.2387</c:v>
                </c:pt>
              </c:numCache>
            </c:numRef>
          </c:val>
        </c:ser>
        <c:dLbls>
          <c:showLegendKey val="false"/>
          <c:showVal val="true"/>
          <c:showCatName val="false"/>
          <c:showSerName val="false"/>
          <c:showPercent val="false"/>
          <c:showBubbleSize val="false"/>
          <c:showLeaderLines val="true"/>
        </c:dLbls>
        <c:firstSliceAng val="0"/>
      </c:pieChart>
    </c:plotArea>
    <c:legend>
      <c:legendPos val="r"/>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2"/>
        <c:delete val="true"/>
      </c:legendEntry>
      <c:legendEntry>
        <c:idx val="3"/>
        <c:delete val="true"/>
      </c:legendEntry>
      <c:layout>
        <c:manualLayout>
          <c:xMode val="edge"/>
          <c:yMode val="edge"/>
          <c:x val="0.680894308943089"/>
          <c:y val="0.165869218500797"/>
          <c:w val="0.24349593495935"/>
          <c:h val="0.54978354978355"/>
        </c:manualLayout>
      </c:layout>
      <c:overlay val="false"/>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99992913935377"/>
          <c:y val="0.0384894024618674"/>
          <c:w val="0.744714912089119"/>
          <c:h val="0.769884407863956"/>
        </c:manualLayout>
      </c:layout>
      <c:barChart>
        <c:barDir val="col"/>
        <c:grouping val="clustered"/>
        <c:varyColors val="false"/>
        <c:ser>
          <c:idx val="0"/>
          <c:order val="0"/>
          <c:tx>
            <c:strRef>
              <c:f>[图.xlsx]Sheet1!$F$33</c:f>
              <c:strCache>
                <c:ptCount val="1"/>
                <c:pt idx="0">
                  <c:v>财政拨款收入</c:v>
                </c:pt>
              </c:strCache>
            </c:strRef>
          </c:tx>
          <c:invertIfNegative val="false"/>
          <c:dLbls>
            <c:delete val="true"/>
          </c:dLbls>
          <c:cat>
            <c:strRef>
              <c:f>[图.xlsx]Sheet1!$G$32:$H$32</c:f>
              <c:strCache>
                <c:ptCount val="2"/>
                <c:pt idx="0">
                  <c:v>2021年</c:v>
                </c:pt>
                <c:pt idx="1">
                  <c:v>2022年</c:v>
                </c:pt>
              </c:strCache>
            </c:strRef>
          </c:cat>
          <c:val>
            <c:numRef>
              <c:f>[图.xlsx]Sheet1!$G$33:$H$33</c:f>
              <c:numCache>
                <c:formatCode>General</c:formatCode>
                <c:ptCount val="2"/>
                <c:pt idx="0">
                  <c:v>3093.76</c:v>
                </c:pt>
                <c:pt idx="1">
                  <c:v>2610.61</c:v>
                </c:pt>
              </c:numCache>
            </c:numRef>
          </c:val>
        </c:ser>
        <c:ser>
          <c:idx val="1"/>
          <c:order val="1"/>
          <c:tx>
            <c:strRef>
              <c:f>[图.xlsx]Sheet1!$F$34</c:f>
              <c:strCache>
                <c:ptCount val="1"/>
                <c:pt idx="0">
                  <c:v>财政拨款支出</c:v>
                </c:pt>
              </c:strCache>
            </c:strRef>
          </c:tx>
          <c:invertIfNegative val="false"/>
          <c:dLbls>
            <c:delete val="true"/>
          </c:dLbls>
          <c:cat>
            <c:strRef>
              <c:f>[图.xlsx]Sheet1!$G$32:$H$32</c:f>
              <c:strCache>
                <c:ptCount val="2"/>
                <c:pt idx="0">
                  <c:v>2021年</c:v>
                </c:pt>
                <c:pt idx="1">
                  <c:v>2022年</c:v>
                </c:pt>
              </c:strCache>
            </c:strRef>
          </c:cat>
          <c:val>
            <c:numRef>
              <c:f>[图.xlsx]Sheet1!$G$34:$H$34</c:f>
              <c:numCache>
                <c:formatCode>General</c:formatCode>
                <c:ptCount val="2"/>
                <c:pt idx="0">
                  <c:v>3279.48</c:v>
                </c:pt>
                <c:pt idx="1">
                  <c:v>2892.61</c:v>
                </c:pt>
              </c:numCache>
            </c:numRef>
          </c:val>
        </c:ser>
        <c:dLbls>
          <c:showLegendKey val="false"/>
          <c:showVal val="false"/>
          <c:showCatName val="false"/>
          <c:showSerName val="false"/>
          <c:showPercent val="false"/>
          <c:showBubbleSize val="false"/>
        </c:dLbls>
        <c:gapWidth val="150"/>
        <c:axId val="153656704"/>
        <c:axId val="153678976"/>
      </c:barChart>
      <c:catAx>
        <c:axId val="15365670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678976"/>
        <c:crosses val="autoZero"/>
        <c:auto val="true"/>
        <c:lblAlgn val="ctr"/>
        <c:lblOffset val="100"/>
        <c:noMultiLvlLbl val="false"/>
      </c:catAx>
      <c:valAx>
        <c:axId val="15367897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656704"/>
        <c:crosses val="autoZero"/>
        <c:crossBetween val="between"/>
      </c:valAx>
    </c:plotArea>
    <c:legend>
      <c:legendPos val="r"/>
      <c:layout>
        <c:manualLayout>
          <c:xMode val="edge"/>
          <c:yMode val="edge"/>
          <c:x val="0.865192032574007"/>
          <c:y val="0.184424778761062"/>
          <c:w val="0.119951579179047"/>
          <c:h val="0.530619469026549"/>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99992913935377"/>
          <c:y val="0.0384894024618674"/>
          <c:w val="0.744714912089119"/>
          <c:h val="0.769884407863956"/>
        </c:manualLayout>
      </c:layout>
      <c:barChart>
        <c:barDir val="col"/>
        <c:grouping val="clustered"/>
        <c:varyColors val="false"/>
        <c:ser>
          <c:idx val="0"/>
          <c:order val="0"/>
          <c:tx>
            <c:strRef>
              <c:f>[图.xlsx]图5!$F$4</c:f>
              <c:strCache>
                <c:ptCount val="1"/>
                <c:pt idx="0">
                  <c:v>一般公共预算财政拨款支出</c:v>
                </c:pt>
              </c:strCache>
            </c:strRef>
          </c:tx>
          <c:invertIfNegative val="false"/>
          <c:dLbls>
            <c:delete val="true"/>
          </c:dLbls>
          <c:cat>
            <c:strRef>
              <c:f>[图.xlsx]图5!$G$3:$H$3</c:f>
              <c:strCache>
                <c:ptCount val="2"/>
                <c:pt idx="0">
                  <c:v>2021年</c:v>
                </c:pt>
                <c:pt idx="1">
                  <c:v>2022年</c:v>
                </c:pt>
              </c:strCache>
            </c:strRef>
          </c:cat>
          <c:val>
            <c:numRef>
              <c:f>[图.xlsx]图5!$G$4:$H$4</c:f>
              <c:numCache>
                <c:formatCode>General</c:formatCode>
                <c:ptCount val="2"/>
                <c:pt idx="0">
                  <c:v>3279.48</c:v>
                </c:pt>
                <c:pt idx="1">
                  <c:v>2892.61</c:v>
                </c:pt>
              </c:numCache>
            </c:numRef>
          </c:val>
        </c:ser>
        <c:ser>
          <c:idx val="1"/>
          <c:order val="1"/>
          <c:tx>
            <c:strRef>
              <c:f>[图.xlsx]图5!#REF!</c:f>
              <c:strCache>
                <c:ptCount val="1"/>
                <c:pt idx="0">
                  <c:v/>
                </c:pt>
              </c:strCache>
            </c:strRef>
          </c:tx>
          <c:invertIfNegative val="false"/>
          <c:dLbls>
            <c:delete val="true"/>
          </c:dLbls>
          <c:cat>
            <c:strRef>
              <c:f>[图.xlsx]图5!$G$3:$H$3</c:f>
              <c:strCache>
                <c:ptCount val="2"/>
                <c:pt idx="0">
                  <c:v>2021年</c:v>
                </c:pt>
                <c:pt idx="1">
                  <c:v>2022年</c:v>
                </c:pt>
              </c:strCache>
            </c:strRef>
          </c:cat>
          <c:val>
            <c:numRef>
              <c:f>[图.xlsx]图5!#REF!</c:f>
              <c:numCache>
                <c:formatCode>General</c:formatCode>
                <c:ptCount val="1"/>
                <c:pt idx="0">
                  <c:v>1</c:v>
                </c:pt>
              </c:numCache>
            </c:numRef>
          </c:val>
        </c:ser>
        <c:dLbls>
          <c:showLegendKey val="false"/>
          <c:showVal val="false"/>
          <c:showCatName val="false"/>
          <c:showSerName val="false"/>
          <c:showPercent val="false"/>
          <c:showBubbleSize val="false"/>
        </c:dLbls>
        <c:gapWidth val="150"/>
        <c:axId val="153656704"/>
        <c:axId val="153678976"/>
      </c:barChart>
      <c:catAx>
        <c:axId val="15365670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678976"/>
        <c:crosses val="autoZero"/>
        <c:auto val="true"/>
        <c:lblAlgn val="ctr"/>
        <c:lblOffset val="100"/>
        <c:noMultiLvlLbl val="false"/>
      </c:catAx>
      <c:valAx>
        <c:axId val="15367897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656704"/>
        <c:crosses val="autoZero"/>
        <c:crossBetween val="between"/>
      </c:valAx>
    </c:plotArea>
    <c:legend>
      <c:legendPos val="r"/>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delete val="true"/>
      </c:legendEntry>
      <c:layout>
        <c:manualLayout>
          <c:xMode val="edge"/>
          <c:yMode val="edge"/>
          <c:x val="0.865192032574007"/>
          <c:y val="0.184424778761062"/>
          <c:w val="0.119951579179047"/>
          <c:h val="0.530619469026549"/>
        </c:manualLayout>
      </c:layout>
      <c:overlay val="false"/>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822579110214636"/>
          <c:y val="0.0265546728772446"/>
          <c:w val="0.520789626947366"/>
          <c:h val="0.87030297368399"/>
        </c:manualLayout>
      </c:layout>
      <c:pieChart>
        <c:varyColors val="true"/>
        <c:ser>
          <c:idx val="0"/>
          <c:order val="0"/>
          <c:explosion val="0"/>
          <c:dPt>
            <c:idx val="0"/>
            <c:bubble3D val="false"/>
          </c:dPt>
          <c:dPt>
            <c:idx val="1"/>
            <c:bubble3D val="false"/>
          </c:dPt>
          <c:dPt>
            <c:idx val="2"/>
            <c:bubble3D val="false"/>
          </c:dPt>
          <c:dPt>
            <c:idx val="3"/>
            <c:bubble3D val="false"/>
          </c:dPt>
          <c:dPt>
            <c:idx val="4"/>
            <c:bubble3D val="false"/>
          </c:dPt>
          <c:dLbls>
            <c:dLbl>
              <c:idx val="0"/>
              <c:layout>
                <c:manualLayout>
                  <c:x val="0.0180095094713329"/>
                  <c:y val="0.348621626836429"/>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0</a:t>
                    </a:r>
                    <a:r>
                      <a:rPr lang="en-US" altLang="zh-CN"/>
                      <a:t>.17</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32036024445159"/>
                      <c:h val="0.108913142337426"/>
                    </c:manualLayout>
                  </c15:layout>
                </c:ext>
              </c:extLst>
            </c:dLbl>
            <c:dLbl>
              <c:idx val="1"/>
              <c:layout>
                <c:manualLayout>
                  <c:x val="-0.140770114684854"/>
                  <c:y val="-0.246001875374406"/>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84.16</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984439590793635"/>
                  <c:y val="0.167681750459378"/>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7</a:t>
                    </a:r>
                    <a:r>
                      <a:rPr lang="en-US" altLang="zh-CN"/>
                      <a:t>.18</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76277316640938"/>
                  <c:y val="0.116577795504573"/>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3.75</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4.75</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09540636042403"/>
                      <c:h val="0.0694283730617913"/>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[图.xlsx]图5、6!$F$31:$F$35</c:f>
              <c:strCache>
                <c:ptCount val="5"/>
                <c:pt idx="0">
                  <c:v>一般公共服务支出</c:v>
                </c:pt>
                <c:pt idx="1">
                  <c:v>公共安全支出</c:v>
                </c:pt>
                <c:pt idx="2">
                  <c:v>社会保障和就业支出</c:v>
                </c:pt>
                <c:pt idx="3">
                  <c:v>卫生健康支出</c:v>
                </c:pt>
                <c:pt idx="4">
                  <c:v>住房保障支出</c:v>
                </c:pt>
              </c:strCache>
            </c:strRef>
          </c:cat>
          <c:val>
            <c:numRef>
              <c:f>[图.xlsx]图5、6!$G$31:$G$35</c:f>
              <c:numCache>
                <c:formatCode>0%</c:formatCode>
                <c:ptCount val="5"/>
                <c:pt idx="0">
                  <c:v>0</c:v>
                </c:pt>
                <c:pt idx="1">
                  <c:v>0.8416</c:v>
                </c:pt>
                <c:pt idx="2">
                  <c:v>0.07</c:v>
                </c:pt>
                <c:pt idx="3">
                  <c:v>0.0375</c:v>
                </c:pt>
                <c:pt idx="4">
                  <c:v>0.0475</c:v>
                </c:pt>
              </c:numCache>
            </c:numRef>
          </c:val>
        </c:ser>
        <c:dLbls>
          <c:showLegendKey val="false"/>
          <c:showVal val="true"/>
          <c:showCatName val="false"/>
          <c:showSerName val="false"/>
          <c:showPercent val="false"/>
          <c:showBubbleSize val="false"/>
          <c:showLeaderLines val="true"/>
        </c:dLbls>
        <c:firstSliceAng val="0"/>
      </c:pieChart>
    </c:plotArea>
    <c:legend>
      <c:legendPos val="r"/>
      <c:legendEntry>
        <c:idx val="3"/>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legendEntry>
      <c:layout>
        <c:manualLayout>
          <c:xMode val="edge"/>
          <c:yMode val="edge"/>
          <c:x val="0.672017980414192"/>
          <c:y val="0.191912268677176"/>
          <c:w val="0.276609407609568"/>
          <c:h val="0.49714416266849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1"/>
    </mc:Choice>
    <mc:Fallback>
      <c:style val="11"/>
    </mc:Fallback>
  </mc:AlternateContent>
  <c:chart>
    <c:autoTitleDeleted val="true"/>
    <c:plotArea>
      <c:layout>
        <c:manualLayout>
          <c:layoutTarget val="inner"/>
          <c:xMode val="edge"/>
          <c:yMode val="edge"/>
          <c:x val="0.0822579110214636"/>
          <c:y val="0.0265546728772446"/>
          <c:w val="0.520789626947366"/>
          <c:h val="0.87030297368399"/>
        </c:manualLayout>
      </c:layout>
      <c:pieChart>
        <c:varyColors val="true"/>
        <c:ser>
          <c:idx val="0"/>
          <c:order val="0"/>
          <c:explosion val="0"/>
          <c:dPt>
            <c:idx val="0"/>
            <c:bubble3D val="false"/>
          </c:dPt>
          <c:dPt>
            <c:idx val="1"/>
            <c:bubble3D val="false"/>
          </c:dPt>
          <c:dPt>
            <c:idx val="2"/>
            <c:bubble3D val="false"/>
          </c:dPt>
          <c:dLbls>
            <c:dLbl>
              <c:idx val="0"/>
              <c:layout>
                <c:manualLayout>
                  <c:x val="0.00897927782626026"/>
                  <c:y val="0.275741118167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32036024445159"/>
                      <c:h val="0.108913142337426"/>
                    </c:manualLayout>
                  </c15:layout>
                </c:ext>
              </c:extLst>
            </c:dLbl>
            <c:dLbl>
              <c:idx val="1"/>
              <c:layout>
                <c:manualLayout>
                  <c:x val="-0.0385822462189822"/>
                  <c:y val="-0.20840789041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9</a:t>
                    </a:r>
                    <a:r>
                      <a:rPr lang="en-US" altLang="zh-CN"/>
                      <a:t>4.13</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620598860120282"/>
                  <c:y val="0.16050727953613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[图.xlsx]Sheet1!$F$61:$F$63</c:f>
              <c:strCache>
                <c:ptCount val="3"/>
                <c:pt idx="0">
                  <c:v>因公出国（境）费</c:v>
                </c:pt>
                <c:pt idx="1">
                  <c:v>公务用车购置及运行维护费</c:v>
                </c:pt>
                <c:pt idx="2">
                  <c:v>公务接待费</c:v>
                </c:pt>
              </c:strCache>
            </c:strRef>
          </c:cat>
          <c:val>
            <c:numRef>
              <c:f>[图.xlsx]Sheet1!$G$61:$G$63</c:f>
              <c:numCache>
                <c:formatCode>0%</c:formatCode>
                <c:ptCount val="3"/>
                <c:pt idx="0">
                  <c:v>0</c:v>
                </c:pt>
                <c:pt idx="1">
                  <c:v>0.9413</c:v>
                </c:pt>
                <c:pt idx="2" c:formatCode="0.00%">
                  <c:v>0.0587</c:v>
                </c:pt>
              </c:numCache>
            </c:numRef>
          </c:val>
        </c:ser>
        <c:dLbls>
          <c:showLegendKey val="false"/>
          <c:showVal val="true"/>
          <c:showCatName val="false"/>
          <c:showSerName val="false"/>
          <c:showPercent val="false"/>
          <c:showBubbleSize val="false"/>
          <c:showLeaderLines val="true"/>
        </c:dLbls>
        <c:firstSliceAng val="0"/>
      </c:pieChart>
    </c:plotArea>
    <c:legend>
      <c:legendPos val="r"/>
      <c:layout>
        <c:manualLayout>
          <c:xMode val="edge"/>
          <c:yMode val="edge"/>
          <c:x val="0.672017980414192"/>
          <c:y val="0.191912268677176"/>
          <c:w val="0.276609407609568"/>
          <c:h val="0.49714416266849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drawings/drawing1.xml><?xml version="1.0" encoding="utf-8"?>
<c:userShapes xmlns:c="http://schemas.openxmlformats.org/drawingml/2006/chart">
  <cdr:relSizeAnchor xmlns:cdr="http://schemas.openxmlformats.org/drawingml/2006/chartDrawing">
    <cdr:from>
      <cdr:x>0.37331</cdr:x>
      <cdr:y>0.89305</cdr:y>
    </cdr:from>
    <cdr:to>
      <cdr:x>0.63992</cdr:x>
      <cdr:y>0.97733</cdr:y>
    </cdr:to>
    <cdr:sp>
      <cdr:nvSpPr>
        <cdr:cNvPr id="2" name="矩形 1"/>
        <cdr:cNvSpPr/>
      </cdr:nvSpPr>
      <cdr:spPr xmlns:a="http://schemas.openxmlformats.org/drawingml/2006/main">
        <a:xfrm xmlns:a="http://schemas.openxmlformats.org/drawingml/2006/main">
          <a:off x="1619250" y="2447192"/>
          <a:ext cx="1156406" cy="230966"/>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a:t>
          </a:r>
          <a:r>
            <a:rPr lang="en-US" altLang="zh-CN" sz="1100"/>
            <a:t>3  </a:t>
          </a:r>
          <a:r>
            <a:rPr lang="zh-CN" altLang="en-US" sz="1100"/>
            <a:t>支出决算结构图</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0.179435070582864</cdr:x>
      <cdr:y>0.897558043805194</cdr:y>
    </cdr:from>
    <cdr:to>
      <cdr:x>0.447855070582864</cdr:x>
      <cdr:y>0.981838043805194</cdr:y>
    </cdr:to>
    <cdr:sp>
      <cdr:nvSpPr>
        <cdr:cNvPr id="2" name="矩形 1"/>
        <cdr:cNvSpPr/>
      </cdr:nvSpPr>
      <cdr:spPr xmlns:a="http://schemas.openxmlformats.org/drawingml/2006/main">
        <a:xfrm xmlns:a="http://schemas.openxmlformats.org/drawingml/2006/main">
          <a:off x="709740" y="2494668"/>
          <a:ext cx="1061712" cy="234247"/>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a:t>
          </a:r>
          <a:r>
            <a:rPr lang="en-US" altLang="zh-CN" sz="1100"/>
            <a:t>6  </a:t>
          </a:r>
          <a:r>
            <a:rPr lang="zh-CN" altLang="en-US" sz="1100"/>
            <a:t>一般公共预算财政拨款支出决算结构图</a:t>
          </a:r>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0.243063674480026</cdr:x>
      <cdr:y>0.91313</cdr:y>
    </cdr:from>
    <cdr:to>
      <cdr:x>0.666113674480026</cdr:x>
      <cdr:y>0.98141</cdr:y>
    </cdr:to>
    <cdr:sp>
      <cdr:nvSpPr>
        <cdr:cNvPr id="2" name="矩形 1"/>
        <cdr:cNvSpPr/>
      </cdr:nvSpPr>
      <cdr:spPr xmlns:a="http://schemas.openxmlformats.org/drawingml/2006/main">
        <a:xfrm xmlns:a="http://schemas.openxmlformats.org/drawingml/2006/main">
          <a:off x="1402537" y="3276082"/>
          <a:ext cx="2441102" cy="244972"/>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a:t>
          </a:r>
          <a:r>
            <a:rPr lang="en-US" altLang="zh-CN" sz="1100"/>
            <a:t>5  </a:t>
          </a:r>
          <a:r>
            <a:rPr lang="zh-CN" altLang="en-US" sz="1100"/>
            <a:t>一般公共预算财政拨款支出计算变动情况图</a:t>
          </a:r>
          <a:endParaRPr lang="zh-CN"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0.28103</cdr:x>
      <cdr:y>0.91313</cdr:y>
    </cdr:from>
    <cdr:to>
      <cdr:x>0.70408</cdr:x>
      <cdr:y>0.98141</cdr:y>
    </cdr:to>
    <cdr:sp>
      <cdr:nvSpPr>
        <cdr:cNvPr id="2" name="矩形 1"/>
        <cdr:cNvSpPr/>
      </cdr:nvSpPr>
      <cdr:spPr xmlns:a="http://schemas.openxmlformats.org/drawingml/2006/main">
        <a:xfrm xmlns:a="http://schemas.openxmlformats.org/drawingml/2006/main">
          <a:off x="1514475" y="3275561"/>
          <a:ext cx="2279892" cy="244962"/>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图4</a:t>
          </a:r>
          <a:r>
            <a:rPr lang="en-US" altLang="zh-CN" sz="1100"/>
            <a:t>  </a:t>
          </a:r>
          <a:r>
            <a:rPr lang="zh-CN" altLang="en-US" sz="1100"/>
            <a:t>财政拨款收、支决算总计变动情况图</a:t>
          </a:r>
          <a:endParaRPr lang="zh-CN"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0.179435070582864</cdr:x>
      <cdr:y>0.897558043805194</cdr:y>
    </cdr:from>
    <cdr:to>
      <cdr:x>0.447855070582864</cdr:x>
      <cdr:y>0.981838043805194</cdr:y>
    </cdr:to>
    <cdr:sp>
      <cdr:nvSpPr>
        <cdr:cNvPr id="2" name="矩形 1"/>
        <cdr:cNvSpPr/>
      </cdr:nvSpPr>
      <cdr:spPr xmlns:a="http://schemas.openxmlformats.org/drawingml/2006/main">
        <a:xfrm xmlns:a="http://schemas.openxmlformats.org/drawingml/2006/main">
          <a:off x="709740" y="2494668"/>
          <a:ext cx="1061712" cy="234247"/>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图7</a:t>
          </a:r>
          <a:r>
            <a:rPr lang="en-US" altLang="zh-CN" sz="1100"/>
            <a:t>  </a:t>
          </a:r>
          <a:r>
            <a:rPr lang="zh-CN" altLang="en-US" sz="1100"/>
            <a:t>“三公”经费财政拨款支出结构图</a:t>
          </a:r>
          <a:endParaRPr lang="zh-CN" alt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0.365579895347626</cdr:x>
      <cdr:y>0.912302365003417</cdr:y>
    </cdr:from>
    <cdr:to>
      <cdr:x>0.633999895347626</cdr:x>
      <cdr:y>0.996582365003418</cdr:y>
    </cdr:to>
    <cdr:sp>
      <cdr:nvSpPr>
        <cdr:cNvPr id="2" name="矩形 1"/>
        <cdr:cNvSpPr/>
      </cdr:nvSpPr>
      <cdr:spPr xmlns:a="http://schemas.openxmlformats.org/drawingml/2006/main">
        <a:xfrm xmlns:a="http://schemas.openxmlformats.org/drawingml/2006/main">
          <a:off x="1702306" y="2542600"/>
          <a:ext cx="1249886" cy="23489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zh-CN" altLang="en-US" sz="1100"/>
            <a:t>图</a:t>
          </a:r>
          <a:r>
            <a:rPr lang="en-US" altLang="zh-CN" sz="1100"/>
            <a:t>2  </a:t>
          </a:r>
          <a:r>
            <a:rPr lang="zh-CN" altLang="en-US" sz="1100"/>
            <a:t>收入决算结构图</a:t>
          </a:r>
          <a:endParaRPr lang="zh-CN" altLang="en-US" sz="1100"/>
        </a:p>
      </cdr:txBody>
    </cdr:sp>
  </cdr:relSizeAnchor>
</c:userShapes>
</file>

<file path=word/drawings/drawing7.xml><?xml version="1.0" encoding="utf-8"?>
<c:userShapes xmlns:c="http://schemas.openxmlformats.org/drawingml/2006/chart">
  <cdr:relSizeAnchor xmlns:cdr="http://schemas.openxmlformats.org/drawingml/2006/chartDrawing">
    <cdr:from>
      <cdr:x>0.43979</cdr:x>
      <cdr:y>0.1108</cdr:y>
    </cdr:from>
    <cdr:to>
      <cdr:x>0.68272</cdr:x>
      <cdr:y>0.4964</cdr:y>
    </cdr:to>
    <cdr:sp>
      <cdr:nvSpPr>
        <cdr:cNvPr id="2" name="矩形 1"/>
        <cdr:cNvSpPr/>
      </cdr:nvSpPr>
      <cdr:spPr xmlns:a="http://schemas.openxmlformats.org/drawingml/2006/main">
        <a:xfrm xmlns:a="http://schemas.openxmlformats.org/drawingml/2006/main">
          <a:off x="1655379" y="262758"/>
          <a:ext cx="914400" cy="91440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dr:relSizeAnchor xmlns:cdr="http://schemas.openxmlformats.org/drawingml/2006/chartDrawing">
    <cdr:from>
      <cdr:x>0.2695</cdr:x>
      <cdr:y>0.91687</cdr:y>
    </cdr:from>
    <cdr:to>
      <cdr:x>0.69298</cdr:x>
      <cdr:y>0.98427</cdr:y>
    </cdr:to>
    <cdr:sp>
      <cdr:nvSpPr>
        <cdr:cNvPr id="3" name="矩形 2"/>
        <cdr:cNvSpPr/>
      </cdr:nvSpPr>
      <cdr:spPr xmlns:a="http://schemas.openxmlformats.org/drawingml/2006/main">
        <a:xfrm xmlns:a="http://schemas.openxmlformats.org/drawingml/2006/main">
          <a:off x="1454083" y="3380162"/>
          <a:ext cx="2284802" cy="248479"/>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r>
            <a:rPr lang="zh-CN" altLang="en-US" sz="1100"/>
            <a:t>图</a:t>
          </a:r>
          <a:r>
            <a:rPr lang="en-US" altLang="zh-CN" sz="1100"/>
            <a:t>1  </a:t>
          </a:r>
          <a:r>
            <a:rPr lang="zh-CN" altLang="en-US" sz="1100"/>
            <a:t>收、支决算总计变动情况图</a:t>
          </a:r>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17</TotalTime>
  <ScaleCrop>false</ScaleCrop>
  <LinksUpToDate>false</LinksUpToDate>
  <CharactersWithSpaces>8692</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uos</cp:lastModifiedBy>
  <cp:lastPrinted>2023-10-08T23:42:00Z</cp:lastPrinted>
  <dcterms:modified xsi:type="dcterms:W3CDTF">2023-10-09T09:57:22Z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890C28EDF7EA48CB940EEFCAD2DBFF04_12</vt:lpwstr>
  </property>
</Properties>
</file>