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765E0">
      <w:pPr>
        <w:rPr>
          <w:rFonts w:ascii="Times New Roman" w:hAnsi="Times New Roman"/>
        </w:rPr>
      </w:pPr>
      <w:bookmarkStart w:id="0" w:name="_Toc15396475"/>
      <w:bookmarkStart w:id="1" w:name="_Toc15396597"/>
      <w:bookmarkStart w:id="2" w:name="_Toc15377425"/>
      <w:bookmarkStart w:id="3" w:name="_Toc15377193"/>
      <w:bookmarkStart w:id="4" w:name="_Toc15378441"/>
      <w:bookmarkStart w:id="5" w:name="_Toc15306267"/>
    </w:p>
    <w:p w14:paraId="51BCBFB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1DCA24F6">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E6CCE27">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3F9151F7">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198D567">
      <w:pPr>
        <w:pStyle w:val="5"/>
        <w:jc w:val="center"/>
        <w:rPr>
          <w:rFonts w:hint="eastAsia" w:ascii="Times New Roman" w:eastAsia="方正小标宋简体" w:cs="Times New Roman"/>
          <w:color w:val="auto"/>
          <w:kern w:val="2"/>
          <w:sz w:val="44"/>
          <w:szCs w:val="44"/>
          <w:highlight w:val="none"/>
          <w:lang w:val="en-US" w:eastAsia="zh-CN" w:bidi="ar-SA"/>
        </w:rPr>
      </w:pPr>
      <w:bookmarkStart w:id="6" w:name="_Toc15396476"/>
      <w:bookmarkStart w:id="7" w:name="_Toc15396598"/>
      <w:bookmarkStart w:id="8" w:name="_Toc15377194"/>
      <w:bookmarkStart w:id="9" w:name="_Toc15377426"/>
      <w:bookmarkStart w:id="10" w:name="_Toc15378442"/>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 xml:space="preserve">巴中市恩阳区人民检察院 </w:t>
      </w:r>
    </w:p>
    <w:p w14:paraId="6F394DA9">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62975E92">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4331268">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07E7240">
      <w:pPr>
        <w:widowControl/>
        <w:jc w:val="center"/>
        <w:rPr>
          <w:rFonts w:ascii="Times New Roman" w:hAnsi="Times New Roman" w:eastAsia="黑体" w:cstheme="minorBidi"/>
          <w:color w:val="auto"/>
          <w:sz w:val="28"/>
          <w:szCs w:val="28"/>
          <w:highlight w:val="none"/>
        </w:rPr>
      </w:pPr>
    </w:p>
    <w:p w14:paraId="5543DB0E">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255725B7">
      <w:pPr>
        <w:rPr>
          <w:rFonts w:ascii="Times New Roman" w:hAnsi="Times New Roman"/>
          <w:color w:val="auto"/>
          <w:highlight w:val="none"/>
        </w:rPr>
      </w:pPr>
    </w:p>
    <w:p w14:paraId="087DE5F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4B3058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677AAD9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3687C2A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A4833B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27C9B1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7FCAF2E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90F2B3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0A9C2F9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27F609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3502A6C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0A9841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83A121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FBE3D2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2DDD8DA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4FF0C8E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075DEE4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3405F6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FA90D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9B6B0B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402254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A971DA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12C7B7E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0D4C67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4A0595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F3EBE8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0DDDC4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3185B2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0DD38A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D46DFE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4844062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6A41B69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6C289B35">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559E76A1">
      <w:pPr>
        <w:widowControl/>
        <w:jc w:val="left"/>
        <w:rPr>
          <w:rFonts w:ascii="Times New Roman" w:hAnsi="Times New Roman" w:eastAsia="黑体"/>
          <w:color w:val="auto"/>
          <w:sz w:val="32"/>
          <w:szCs w:val="32"/>
          <w:highlight w:val="none"/>
        </w:rPr>
      </w:pPr>
    </w:p>
    <w:p w14:paraId="13BF0237">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6BFFB604">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1.对公安机关侦查的刑事案件进行审查，决定是否批准逮捕；对公安机关的立案活动、侦查活动是否合法实行监督。</w:t>
      </w:r>
    </w:p>
    <w:p w14:paraId="6FA382E7">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2.对监察委员会移送和公安机关侦查终结的案件进行审查，决定是否起诉、不起诉，并出庭支持公诉。</w:t>
      </w:r>
    </w:p>
    <w:p w14:paraId="6D7E5464">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3.对同级人民法院确有错误的判决和裁定，依法提请市人民检察院向中级人民法院抗诉。</w:t>
      </w:r>
    </w:p>
    <w:p w14:paraId="59567CAA">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4.对同级人民法院的民事和行政诉讼和执行活动实施法律监督。</w:t>
      </w:r>
    </w:p>
    <w:p w14:paraId="1BBF9A80">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5.对“4+10”提起公益诉讼。</w:t>
      </w:r>
    </w:p>
    <w:p w14:paraId="0528597C">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6.受理单位和个人报案、控告、申诉和检举，接受犯罪人的自首。</w:t>
      </w:r>
    </w:p>
    <w:p w14:paraId="06140452">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7.对刑事案件判决、裁定的执行和监狱、看守所、劳动改造机关的活动是否合法实行法律监督。</w:t>
      </w:r>
    </w:p>
    <w:p w14:paraId="4447C7D4">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8.负责跨省、市、县区域案件的协查工作。</w:t>
      </w:r>
    </w:p>
    <w:p w14:paraId="5DA1699A">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9.对检察工作中具体应用法律进行调研积极参与社会治安综合治理，搞好信息反馈及法制宣传，为上级检察机关和地方党委政府正确决策提供依据。</w:t>
      </w:r>
    </w:p>
    <w:p w14:paraId="13A657FC">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10.经四川省人民检察院批准对需要直接受理的其他重大犯罪案件进行侦查。</w:t>
      </w:r>
    </w:p>
    <w:p w14:paraId="046021A8">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11.负责本院思想政治工作和队伍建设;依法管理检察官和其他检察人员。</w:t>
      </w:r>
    </w:p>
    <w:p w14:paraId="1AB8B30C">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12.制订和实施本院财务装备计划。</w:t>
      </w:r>
    </w:p>
    <w:p w14:paraId="10F25BB9">
      <w:pPr>
        <w:ind w:firstLine="800" w:firstLineChars="250"/>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13.承办区委、人大以及上级检察机关交办事项。</w:t>
      </w:r>
    </w:p>
    <w:p w14:paraId="3A8C0F87">
      <w:pPr>
        <w:ind w:firstLine="800" w:firstLineChars="250"/>
        <w:rPr>
          <w:rFonts w:hint="eastAsia"/>
          <w:lang w:eastAsia="zh-CN"/>
        </w:rPr>
      </w:pPr>
      <w:r>
        <w:rPr>
          <w:rFonts w:hint="eastAsia" w:ascii="仿宋" w:hAnsi="仿宋" w:eastAsia="仿宋" w:cs="Times New Roman"/>
          <w:color w:val="auto"/>
          <w:sz w:val="32"/>
          <w:szCs w:val="32"/>
          <w:highlight w:val="none"/>
          <w:lang w:eastAsia="zh-CN"/>
        </w:rPr>
        <w:t>14.法律规定的其他职权。</w:t>
      </w:r>
    </w:p>
    <w:p w14:paraId="305B8616">
      <w:pPr>
        <w:pStyle w:val="3"/>
        <w:rPr>
          <w:rStyle w:val="30"/>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56ADD8AC">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巴中市恩阳区人民检察院</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3E32B700">
      <w:pPr>
        <w:widowControl/>
        <w:jc w:val="left"/>
        <w:rPr>
          <w:rFonts w:ascii="Times New Roman" w:hAnsi="Times New Roman" w:eastAsia="仿宋"/>
          <w:color w:val="auto"/>
          <w:kern w:val="0"/>
          <w:sz w:val="32"/>
          <w:szCs w:val="32"/>
          <w:highlight w:val="none"/>
        </w:rPr>
      </w:pPr>
      <w:r>
        <w:rPr>
          <w:rFonts w:hint="eastAsia" w:ascii="仿宋" w:hAnsi="仿宋" w:eastAsia="仿宋"/>
          <w:color w:val="auto"/>
          <w:sz w:val="32"/>
          <w:szCs w:val="32"/>
          <w:highlight w:val="none"/>
          <w:lang w:val="en-US" w:eastAsia="zh-CN"/>
        </w:rPr>
        <w:t>现有内设机构5个，分别是：办公室、政治部（检务督察部、司法警察大队）、第一检察部、第二检察部、第三检察部。</w:t>
      </w:r>
    </w:p>
    <w:p w14:paraId="021F3A44">
      <w:pPr>
        <w:pStyle w:val="2"/>
        <w:jc w:val="center"/>
        <w:rPr>
          <w:rFonts w:hint="eastAsia" w:ascii="Times New Roman" w:hAnsi="Times New Roman" w:eastAsia="方正小标宋简体" w:cs="方正小标宋简体"/>
          <w:b w:val="0"/>
          <w:color w:val="auto"/>
          <w:highlight w:val="none"/>
        </w:rPr>
      </w:pPr>
      <w:bookmarkStart w:id="16" w:name="_Toc15396602"/>
      <w:bookmarkStart w:id="17" w:name="_Toc15377204"/>
    </w:p>
    <w:p w14:paraId="09B2654B">
      <w:pPr>
        <w:pStyle w:val="2"/>
        <w:jc w:val="center"/>
        <w:rPr>
          <w:rFonts w:hint="eastAsia" w:ascii="Times New Roman" w:hAnsi="Times New Roman" w:eastAsia="方正小标宋简体" w:cs="方正小标宋简体"/>
          <w:b w:val="0"/>
          <w:color w:val="auto"/>
          <w:highlight w:val="none"/>
        </w:rPr>
      </w:pPr>
    </w:p>
    <w:p w14:paraId="10D3930F">
      <w:pPr>
        <w:pStyle w:val="2"/>
        <w:jc w:val="center"/>
        <w:rPr>
          <w:rFonts w:hint="eastAsia" w:ascii="Times New Roman" w:hAnsi="Times New Roman" w:eastAsia="方正小标宋简体" w:cs="方正小标宋简体"/>
          <w:b w:val="0"/>
          <w:color w:val="auto"/>
          <w:highlight w:val="none"/>
        </w:rPr>
      </w:pPr>
    </w:p>
    <w:p w14:paraId="3EE79B76">
      <w:pPr>
        <w:pStyle w:val="2"/>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5A2F453C">
      <w:pPr>
        <w:rPr>
          <w:rFonts w:ascii="Times New Roman" w:hAnsi="Times New Roman"/>
          <w:color w:val="auto"/>
          <w:highlight w:val="none"/>
        </w:rPr>
      </w:pPr>
    </w:p>
    <w:p w14:paraId="0342EF9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2CC4250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144.37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13.65</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eastAsia="zh-CN"/>
        </w:rPr>
        <w:t>政法转移支付支出减少。</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4B9B8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826000" cy="2743200"/>
            <wp:effectExtent l="4445" t="4445" r="8255" b="825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71D003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425FB6D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%。（图2：收入决算结构图）（饼状图）</w:t>
      </w:r>
    </w:p>
    <w:p w14:paraId="112B19F0">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825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728ABC">
      <w:pPr>
        <w:rPr>
          <w:rFonts w:hint="eastAsia" w:ascii="Times New Roman" w:hAnsi="Times New Roman" w:eastAsia="仿宋_GB2312" w:cs="仿宋_GB2312"/>
          <w:color w:val="auto"/>
          <w:sz w:val="32"/>
          <w:szCs w:val="32"/>
          <w:highlight w:val="none"/>
          <w:lang w:eastAsia="zh-CN"/>
        </w:rPr>
      </w:pPr>
    </w:p>
    <w:p w14:paraId="4C44307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28D64BD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652.37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71.45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260.63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28.54</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%。（图3：支出决算结构图）（饼状图）</w:t>
      </w:r>
    </w:p>
    <w:p w14:paraId="16DA90AF">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825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BEE308F">
      <w:pPr>
        <w:ind w:firstLine="800" w:firstLineChars="250"/>
        <w:rPr>
          <w:rFonts w:hint="eastAsia" w:ascii="Times New Roman" w:hAnsi="Times New Roman" w:eastAsia="仿宋_GB2312" w:cs="仿宋_GB2312"/>
          <w:color w:val="auto"/>
          <w:sz w:val="32"/>
          <w:szCs w:val="32"/>
          <w:highlight w:val="none"/>
          <w:lang w:eastAsia="zh-CN"/>
        </w:rPr>
      </w:pPr>
    </w:p>
    <w:p w14:paraId="177F09EB">
      <w:pPr>
        <w:spacing w:line="600" w:lineRule="exact"/>
        <w:ind w:firstLine="640" w:firstLineChars="200"/>
        <w:outlineLvl w:val="1"/>
        <w:rPr>
          <w:rStyle w:val="30"/>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24AA01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w:t>
      </w:r>
      <w:r>
        <w:rPr>
          <w:rFonts w:hint="eastAsia" w:ascii="Times New Roman" w:hAnsi="Times New Roman" w:eastAsia="仿宋_GB2312" w:cs="仿宋_GB2312"/>
          <w:color w:val="auto"/>
          <w:sz w:val="32"/>
          <w:szCs w:val="32"/>
          <w:highlight w:val="none"/>
        </w:rPr>
        <w:t>各减少</w:t>
      </w:r>
      <w:r>
        <w:rPr>
          <w:rFonts w:hint="eastAsia" w:eastAsia="仿宋_GB2312" w:cs="仿宋_GB2312"/>
          <w:color w:val="auto"/>
          <w:sz w:val="32"/>
          <w:szCs w:val="32"/>
          <w:highlight w:val="none"/>
          <w:lang w:val="en-US" w:eastAsia="zh-CN"/>
        </w:rPr>
        <w:t>144.37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13.65</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eastAsia="zh-CN"/>
        </w:rPr>
        <w:t>政法转移支付支出减少。</w:t>
      </w:r>
    </w:p>
    <w:p w14:paraId="5A48388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D480A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33B434">
      <w:pPr>
        <w:spacing w:line="600" w:lineRule="exact"/>
        <w:ind w:firstLine="640"/>
      </w:pPr>
    </w:p>
    <w:p w14:paraId="0718502F">
      <w:pPr>
        <w:spacing w:line="600" w:lineRule="exact"/>
        <w:ind w:firstLine="640"/>
      </w:pPr>
    </w:p>
    <w:p w14:paraId="627177F5">
      <w:pPr>
        <w:spacing w:line="600" w:lineRule="exact"/>
        <w:ind w:firstLine="640"/>
      </w:pPr>
    </w:p>
    <w:p w14:paraId="6690E05E">
      <w:pPr>
        <w:spacing w:line="600" w:lineRule="exact"/>
        <w:ind w:firstLine="640"/>
      </w:pPr>
    </w:p>
    <w:p w14:paraId="6F42D159">
      <w:pPr>
        <w:spacing w:line="600" w:lineRule="exact"/>
        <w:ind w:firstLine="640"/>
      </w:pPr>
    </w:p>
    <w:p w14:paraId="2B9BAD2A">
      <w:pPr>
        <w:spacing w:line="600" w:lineRule="exact"/>
        <w:ind w:firstLine="640"/>
      </w:pPr>
    </w:p>
    <w:p w14:paraId="0CEF806B">
      <w:pPr>
        <w:spacing w:line="600" w:lineRule="exact"/>
        <w:ind w:firstLine="640"/>
      </w:pPr>
    </w:p>
    <w:p w14:paraId="55FA39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0" locked="0" layoutInCell="1" allowOverlap="1">
            <wp:simplePos x="0" y="0"/>
            <wp:positionH relativeFrom="column">
              <wp:posOffset>410845</wp:posOffset>
            </wp:positionH>
            <wp:positionV relativeFrom="paragraph">
              <wp:posOffset>-2446655</wp:posOffset>
            </wp:positionV>
            <wp:extent cx="4768215" cy="2735580"/>
            <wp:effectExtent l="4445" t="4445" r="15240" b="15875"/>
            <wp:wrapSquare wrapText="bothSides"/>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C02C433">
      <w:pPr>
        <w:spacing w:line="600" w:lineRule="exact"/>
        <w:ind w:firstLine="640" w:firstLineChars="200"/>
        <w:outlineLvl w:val="1"/>
        <w:rPr>
          <w:rStyle w:val="30"/>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21C07E8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4B35F6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144.37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13.65</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eastAsia="zh-CN"/>
        </w:rPr>
        <w:t>政法转移支付支出减少。</w:t>
      </w:r>
    </w:p>
    <w:p w14:paraId="1545CE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1BC81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68BD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F717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5782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A513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F1AE9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D4B50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97DDE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0" locked="0" layoutInCell="1" allowOverlap="1">
            <wp:simplePos x="0" y="0"/>
            <wp:positionH relativeFrom="column">
              <wp:posOffset>410845</wp:posOffset>
            </wp:positionH>
            <wp:positionV relativeFrom="paragraph">
              <wp:posOffset>-2446655</wp:posOffset>
            </wp:positionV>
            <wp:extent cx="4826000" cy="2743200"/>
            <wp:effectExtent l="4445" t="4445" r="8255" b="8255"/>
            <wp:wrapSquare wrapText="bothSides"/>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1F3A311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5CC303C7">
      <w:pPr>
        <w:spacing w:line="600" w:lineRule="exact"/>
        <w:ind w:firstLine="640"/>
        <w:rPr>
          <w:rFonts w:ascii="仿宋" w:hAnsi="仿宋" w:eastAsia="仿宋"/>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仿宋" w:hAnsi="仿宋" w:eastAsia="仿宋"/>
          <w:b/>
          <w:color w:val="auto"/>
          <w:sz w:val="32"/>
          <w:szCs w:val="32"/>
          <w:highlight w:val="none"/>
          <w:lang w:eastAsia="zh-CN"/>
        </w:rPr>
        <w:t>公共安全支出</w:t>
      </w:r>
      <w:r>
        <w:rPr>
          <w:rFonts w:hint="eastAsia" w:ascii="仿宋" w:hAnsi="仿宋" w:eastAsia="仿宋"/>
          <w:color w:val="auto"/>
          <w:sz w:val="32"/>
          <w:szCs w:val="32"/>
          <w:highlight w:val="none"/>
          <w:lang w:val="en-US" w:eastAsia="zh-CN"/>
        </w:rPr>
        <w:t>799.1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87.52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43.09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4.72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30.2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3.31</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s="Times New Roman"/>
          <w:color w:val="auto"/>
          <w:sz w:val="32"/>
          <w:szCs w:val="32"/>
          <w:highlight w:val="none"/>
          <w:lang w:val="en-US" w:eastAsia="zh-CN"/>
        </w:rPr>
        <w:t>40.61</w:t>
      </w:r>
      <w:r>
        <w:rPr>
          <w:rFonts w:hint="eastAsia" w:ascii="仿宋" w:hAnsi="仿宋" w:eastAsia="仿宋" w:cs="Times New Roman"/>
          <w:color w:val="auto"/>
          <w:sz w:val="32"/>
          <w:szCs w:val="32"/>
          <w:highlight w:val="none"/>
        </w:rPr>
        <w:t>万元，占</w:t>
      </w:r>
      <w:r>
        <w:rPr>
          <w:rFonts w:hint="eastAsia" w:ascii="仿宋" w:hAnsi="仿宋" w:eastAsia="仿宋" w:cs="Times New Roman"/>
          <w:color w:val="auto"/>
          <w:sz w:val="32"/>
          <w:szCs w:val="32"/>
          <w:highlight w:val="none"/>
          <w:lang w:val="en-US" w:eastAsia="zh-CN"/>
        </w:rPr>
        <w:t>4.45</w:t>
      </w:r>
      <w:r>
        <w:rPr>
          <w:rFonts w:hint="eastAsia" w:ascii="仿宋" w:hAnsi="仿宋" w:eastAsia="仿宋" w:cs="Times New Roman"/>
          <w:color w:val="auto"/>
          <w:sz w:val="32"/>
          <w:szCs w:val="32"/>
          <w:highlight w:val="none"/>
        </w:rPr>
        <w:t>%。</w:t>
      </w:r>
    </w:p>
    <w:p w14:paraId="307692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2C07F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23470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421E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21A32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CEE56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A15F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ED590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BFBA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410845</wp:posOffset>
            </wp:positionH>
            <wp:positionV relativeFrom="paragraph">
              <wp:posOffset>-2446655</wp:posOffset>
            </wp:positionV>
            <wp:extent cx="4826000" cy="2743200"/>
            <wp:effectExtent l="4445" t="4445" r="8255" b="8255"/>
            <wp:wrapSquare wrapText="bothSides"/>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EF9E4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052786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7444"/>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913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07578381">
      <w:pPr>
        <w:numPr>
          <w:ilvl w:val="0"/>
          <w:numId w:val="0"/>
        </w:numPr>
        <w:spacing w:line="600" w:lineRule="exact"/>
        <w:ind w:firstLine="643" w:firstLineChars="200"/>
        <w:rPr>
          <w:rStyle w:val="18"/>
          <w:rFonts w:hint="eastAsia" w:ascii="仿宋" w:hAnsi="仿宋" w:eastAsia="仿宋"/>
          <w:b w:val="0"/>
          <w:bCs/>
          <w:color w:val="auto"/>
          <w:sz w:val="32"/>
          <w:szCs w:val="32"/>
          <w:highlight w:val="none"/>
        </w:rPr>
      </w:pPr>
      <w:bookmarkStart w:id="34" w:name="_Toc15396608"/>
      <w:bookmarkStart w:id="35" w:name="_Toc15377214"/>
      <w:r>
        <w:rPr>
          <w:rStyle w:val="18"/>
          <w:rFonts w:hint="eastAsia" w:ascii="仿宋" w:hAnsi="仿宋" w:eastAsia="仿宋"/>
          <w:bCs/>
          <w:color w:val="auto"/>
          <w:sz w:val="32"/>
          <w:szCs w:val="32"/>
          <w:highlight w:val="none"/>
          <w:lang w:val="en-US" w:eastAsia="zh-CN"/>
        </w:rPr>
        <w:t>1.</w:t>
      </w:r>
      <w:r>
        <w:rPr>
          <w:rStyle w:val="18"/>
          <w:rFonts w:hint="eastAsia" w:ascii="仿宋" w:hAnsi="仿宋" w:eastAsia="仿宋"/>
          <w:bCs/>
          <w:color w:val="auto"/>
          <w:sz w:val="32"/>
          <w:szCs w:val="32"/>
          <w:highlight w:val="none"/>
          <w:lang w:eastAsia="zh-CN"/>
        </w:rPr>
        <w:t>公共安全支出</w:t>
      </w:r>
      <w:r>
        <w:rPr>
          <w:rStyle w:val="18"/>
          <w:rFonts w:hint="eastAsia" w:ascii="仿宋" w:hAnsi="仿宋" w:eastAsia="仿宋"/>
          <w:bCs/>
          <w:color w:val="auto"/>
          <w:sz w:val="32"/>
          <w:szCs w:val="32"/>
          <w:highlight w:val="none"/>
        </w:rPr>
        <w:t>（类）</w:t>
      </w:r>
      <w:r>
        <w:rPr>
          <w:rStyle w:val="18"/>
          <w:rFonts w:hint="eastAsia" w:ascii="仿宋" w:hAnsi="仿宋" w:eastAsia="仿宋"/>
          <w:bCs/>
          <w:color w:val="auto"/>
          <w:sz w:val="32"/>
          <w:szCs w:val="32"/>
          <w:highlight w:val="none"/>
          <w:lang w:eastAsia="zh-CN"/>
        </w:rPr>
        <w:t>检察</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行政运行</w:t>
      </w:r>
      <w:r>
        <w:rPr>
          <w:rStyle w:val="18"/>
          <w:rFonts w:hint="eastAsia" w:ascii="仿宋" w:hAnsi="仿宋" w:eastAsia="仿宋"/>
          <w:bCs/>
          <w:color w:val="auto"/>
          <w:sz w:val="32"/>
          <w:szCs w:val="32"/>
          <w:highlight w:val="none"/>
        </w:rPr>
        <w:t>（项）</w:t>
      </w:r>
      <w:r>
        <w:rPr>
          <w:rStyle w:val="18"/>
          <w:rFonts w:ascii="仿宋" w:hAnsi="仿宋" w:eastAsia="仿宋"/>
          <w:bCs/>
          <w:color w:val="auto"/>
          <w:sz w:val="32"/>
          <w:szCs w:val="32"/>
          <w:highlight w:val="none"/>
        </w:rPr>
        <w:t>:</w:t>
      </w:r>
      <w:r>
        <w:rPr>
          <w:rStyle w:val="18"/>
          <w:rFonts w:ascii="仿宋" w:hAnsi="仿宋" w:eastAsia="仿宋"/>
          <w:b w:val="0"/>
          <w:bCs/>
          <w:color w:val="auto"/>
          <w:sz w:val="32"/>
          <w:szCs w:val="32"/>
          <w:highlight w:val="none"/>
        </w:rPr>
        <w:t xml:space="preserve"> </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504.59</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19D6B4BA">
      <w:pPr>
        <w:spacing w:line="600" w:lineRule="exact"/>
        <w:ind w:firstLine="643" w:firstLineChars="200"/>
        <w:rPr>
          <w:rStyle w:val="18"/>
          <w:rFonts w:hint="eastAsia" w:ascii="仿宋" w:hAnsi="仿宋" w:eastAsia="仿宋"/>
          <w:b w:val="0"/>
          <w:bCs/>
          <w:color w:val="auto"/>
          <w:sz w:val="32"/>
          <w:szCs w:val="32"/>
          <w:highlight w:val="none"/>
        </w:rPr>
      </w:pPr>
      <w:r>
        <w:rPr>
          <w:rStyle w:val="18"/>
          <w:rFonts w:ascii="仿宋" w:hAnsi="仿宋" w:eastAsia="仿宋"/>
          <w:bCs/>
          <w:color w:val="auto"/>
          <w:sz w:val="32"/>
          <w:szCs w:val="32"/>
          <w:highlight w:val="none"/>
        </w:rPr>
        <w:t>2.</w:t>
      </w:r>
      <w:r>
        <w:rPr>
          <w:rStyle w:val="18"/>
          <w:rFonts w:hint="eastAsia" w:ascii="仿宋" w:hAnsi="仿宋" w:eastAsia="仿宋"/>
          <w:bCs/>
          <w:color w:val="auto"/>
          <w:sz w:val="32"/>
          <w:szCs w:val="32"/>
          <w:highlight w:val="none"/>
          <w:lang w:eastAsia="zh-CN"/>
        </w:rPr>
        <w:t>公共安全支出</w:t>
      </w:r>
      <w:r>
        <w:rPr>
          <w:rStyle w:val="18"/>
          <w:rFonts w:hint="eastAsia" w:ascii="仿宋" w:hAnsi="仿宋" w:eastAsia="仿宋"/>
          <w:bCs/>
          <w:color w:val="auto"/>
          <w:sz w:val="32"/>
          <w:szCs w:val="32"/>
          <w:highlight w:val="none"/>
        </w:rPr>
        <w:t>（类）</w:t>
      </w:r>
      <w:r>
        <w:rPr>
          <w:rStyle w:val="18"/>
          <w:rFonts w:hint="eastAsia" w:ascii="仿宋" w:hAnsi="仿宋" w:eastAsia="仿宋"/>
          <w:bCs/>
          <w:color w:val="auto"/>
          <w:sz w:val="32"/>
          <w:szCs w:val="32"/>
          <w:highlight w:val="none"/>
          <w:lang w:eastAsia="zh-CN"/>
        </w:rPr>
        <w:t>检察</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检察监督</w:t>
      </w:r>
      <w:r>
        <w:rPr>
          <w:rStyle w:val="18"/>
          <w:rFonts w:hint="eastAsia" w:ascii="仿宋" w:hAnsi="仿宋" w:eastAsia="仿宋"/>
          <w:bCs/>
          <w:color w:val="auto"/>
          <w:sz w:val="32"/>
          <w:szCs w:val="32"/>
          <w:highlight w:val="none"/>
        </w:rPr>
        <w:t>（项）</w:t>
      </w:r>
      <w:r>
        <w:rPr>
          <w:rStyle w:val="18"/>
          <w:rFonts w:ascii="仿宋" w:hAnsi="仿宋" w:eastAsia="仿宋"/>
          <w:bCs/>
          <w:color w:val="auto"/>
          <w:sz w:val="32"/>
          <w:szCs w:val="32"/>
          <w:highlight w:val="none"/>
        </w:rPr>
        <w:t>:</w:t>
      </w:r>
      <w:r>
        <w:rPr>
          <w:rStyle w:val="18"/>
          <w:rFonts w:ascii="仿宋" w:hAnsi="仿宋" w:eastAsia="仿宋"/>
          <w:b w:val="0"/>
          <w:bCs/>
          <w:color w:val="auto"/>
          <w:sz w:val="32"/>
          <w:szCs w:val="32"/>
          <w:highlight w:val="none"/>
        </w:rPr>
        <w:t xml:space="preserve"> </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150</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5383F9AE">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color w:val="auto"/>
          <w:sz w:val="32"/>
          <w:szCs w:val="32"/>
          <w:highlight w:val="none"/>
          <w:lang w:val="en-US" w:eastAsia="zh-CN"/>
        </w:rPr>
        <w:t>3</w:t>
      </w:r>
      <w:r>
        <w:rPr>
          <w:rStyle w:val="18"/>
          <w:rFonts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公共安全支出</w:t>
      </w:r>
      <w:r>
        <w:rPr>
          <w:rStyle w:val="18"/>
          <w:rFonts w:hint="eastAsia" w:ascii="仿宋" w:hAnsi="仿宋" w:eastAsia="仿宋"/>
          <w:bCs/>
          <w:color w:val="auto"/>
          <w:sz w:val="32"/>
          <w:szCs w:val="32"/>
          <w:highlight w:val="none"/>
        </w:rPr>
        <w:t>（类）</w:t>
      </w:r>
      <w:r>
        <w:rPr>
          <w:rStyle w:val="18"/>
          <w:rFonts w:hint="eastAsia" w:ascii="仿宋" w:hAnsi="仿宋" w:eastAsia="仿宋"/>
          <w:bCs/>
          <w:color w:val="auto"/>
          <w:sz w:val="32"/>
          <w:szCs w:val="32"/>
          <w:highlight w:val="none"/>
          <w:lang w:eastAsia="zh-CN"/>
        </w:rPr>
        <w:t>检察</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事业运行</w:t>
      </w:r>
      <w:r>
        <w:rPr>
          <w:rStyle w:val="18"/>
          <w:rFonts w:hint="eastAsia" w:ascii="仿宋" w:hAnsi="仿宋" w:eastAsia="仿宋"/>
          <w:bCs/>
          <w:color w:val="auto"/>
          <w:sz w:val="32"/>
          <w:szCs w:val="32"/>
          <w:highlight w:val="none"/>
        </w:rPr>
        <w:t>（项）</w:t>
      </w:r>
      <w:r>
        <w:rPr>
          <w:rStyle w:val="18"/>
          <w:rFonts w:ascii="仿宋" w:hAnsi="仿宋" w:eastAsia="仿宋"/>
          <w:bCs/>
          <w:color w:val="auto"/>
          <w:sz w:val="32"/>
          <w:szCs w:val="32"/>
          <w:highlight w:val="none"/>
        </w:rPr>
        <w:t>:</w:t>
      </w:r>
      <w:r>
        <w:rPr>
          <w:rStyle w:val="18"/>
          <w:rFonts w:ascii="仿宋" w:hAnsi="仿宋" w:eastAsia="仿宋"/>
          <w:b w:val="0"/>
          <w:bCs/>
          <w:color w:val="auto"/>
          <w:sz w:val="32"/>
          <w:szCs w:val="32"/>
          <w:highlight w:val="none"/>
        </w:rPr>
        <w:t xml:space="preserve"> </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33.89</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7F1556B9">
      <w:pPr>
        <w:pStyle w:val="8"/>
        <w:rPr>
          <w:rStyle w:val="18"/>
          <w:rFonts w:hint="default" w:ascii="仿宋" w:hAnsi="仿宋" w:eastAsia="仿宋" w:cstheme="minorBidi"/>
          <w:b w:val="0"/>
          <w:bCs/>
          <w:i w:val="0"/>
          <w:iCs w:val="0"/>
          <w:color w:val="auto"/>
          <w:kern w:val="2"/>
          <w:sz w:val="32"/>
          <w:szCs w:val="32"/>
          <w:highlight w:val="none"/>
          <w:lang w:val="en-US" w:eastAsia="zh-CN" w:bidi="ar-SA"/>
        </w:rPr>
      </w:pPr>
      <w:r>
        <w:rPr>
          <w:rStyle w:val="18"/>
          <w:rFonts w:hint="eastAsia" w:ascii="仿宋" w:hAnsi="仿宋" w:eastAsia="仿宋"/>
          <w:b w:val="0"/>
          <w:bCs/>
          <w:color w:val="auto"/>
          <w:sz w:val="32"/>
          <w:szCs w:val="32"/>
          <w:highlight w:val="none"/>
          <w:lang w:val="en-US" w:eastAsia="zh-CN"/>
        </w:rPr>
        <w:t xml:space="preserve">    </w:t>
      </w:r>
      <w:r>
        <w:rPr>
          <w:rStyle w:val="18"/>
          <w:rFonts w:hint="eastAsia" w:ascii="仿宋" w:hAnsi="仿宋" w:eastAsia="仿宋" w:cstheme="minorBidi"/>
          <w:bCs/>
          <w:i w:val="0"/>
          <w:iCs w:val="0"/>
          <w:color w:val="auto"/>
          <w:kern w:val="2"/>
          <w:sz w:val="32"/>
          <w:szCs w:val="32"/>
          <w:highlight w:val="none"/>
          <w:lang w:val="en-US" w:eastAsia="zh-CN" w:bidi="ar-SA"/>
        </w:rPr>
        <w:t>4.公共安全支出（类）检察（款）其他检察支出（项）</w:t>
      </w:r>
      <w:r>
        <w:rPr>
          <w:rStyle w:val="18"/>
          <w:rFonts w:ascii="仿宋" w:hAnsi="仿宋" w:eastAsia="仿宋" w:cstheme="minorBidi"/>
          <w:bCs/>
          <w:i w:val="0"/>
          <w:iCs w:val="0"/>
          <w:color w:val="auto"/>
          <w:kern w:val="2"/>
          <w:sz w:val="32"/>
          <w:szCs w:val="32"/>
          <w:highlight w:val="none"/>
          <w:lang w:val="en-US" w:eastAsia="zh-CN" w:bidi="ar-SA"/>
        </w:rPr>
        <w:t xml:space="preserve">: </w:t>
      </w:r>
      <w:r>
        <w:rPr>
          <w:rStyle w:val="18"/>
          <w:rFonts w:hint="eastAsia" w:ascii="仿宋" w:hAnsi="仿宋" w:eastAsia="仿宋" w:cstheme="minorBidi"/>
          <w:b w:val="0"/>
          <w:bCs/>
          <w:i w:val="0"/>
          <w:iCs w:val="0"/>
          <w:color w:val="auto"/>
          <w:kern w:val="2"/>
          <w:sz w:val="32"/>
          <w:szCs w:val="32"/>
          <w:highlight w:val="none"/>
          <w:lang w:val="en-US" w:eastAsia="zh-CN" w:bidi="ar-SA"/>
        </w:rPr>
        <w:t>支出决算为110.63万元，完成预算100%，决算数等于预算数。</w:t>
      </w:r>
    </w:p>
    <w:p w14:paraId="42029A8A">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color w:val="auto"/>
          <w:sz w:val="32"/>
          <w:szCs w:val="32"/>
          <w:highlight w:val="none"/>
          <w:lang w:val="en-US" w:eastAsia="zh-CN"/>
        </w:rPr>
        <w:t>5</w:t>
      </w:r>
      <w:r>
        <w:rPr>
          <w:rStyle w:val="18"/>
          <w:rFonts w:ascii="仿宋" w:hAnsi="仿宋" w:eastAsia="仿宋"/>
          <w:bCs/>
          <w:color w:val="auto"/>
          <w:sz w:val="32"/>
          <w:szCs w:val="32"/>
          <w:highlight w:val="none"/>
        </w:rPr>
        <w:t>.</w:t>
      </w:r>
      <w:r>
        <w:rPr>
          <w:rStyle w:val="18"/>
          <w:rFonts w:hint="eastAsia" w:ascii="仿宋" w:hAnsi="仿宋" w:eastAsia="仿宋"/>
          <w:bCs/>
          <w:color w:val="auto"/>
          <w:sz w:val="32"/>
          <w:szCs w:val="32"/>
          <w:highlight w:val="none"/>
        </w:rPr>
        <w:t>社会保障和就业（类）</w:t>
      </w:r>
      <w:r>
        <w:rPr>
          <w:rStyle w:val="18"/>
          <w:rFonts w:hint="eastAsia" w:ascii="仿宋" w:hAnsi="仿宋" w:eastAsia="仿宋"/>
          <w:bCs/>
          <w:color w:val="auto"/>
          <w:sz w:val="32"/>
          <w:szCs w:val="32"/>
          <w:highlight w:val="none"/>
          <w:lang w:eastAsia="zh-CN"/>
        </w:rPr>
        <w:t>行政事业单位养老支出</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机关事业单位基本养老保险缴费支出</w:t>
      </w:r>
      <w:r>
        <w:rPr>
          <w:rStyle w:val="18"/>
          <w:rFonts w:hint="eastAsia" w:ascii="仿宋" w:hAnsi="仿宋" w:eastAsia="仿宋"/>
          <w:bCs/>
          <w:color w:val="auto"/>
          <w:sz w:val="32"/>
          <w:szCs w:val="32"/>
          <w:highlight w:val="none"/>
        </w:rPr>
        <w:t>（项）</w:t>
      </w:r>
      <w:r>
        <w:rPr>
          <w:rStyle w:val="18"/>
          <w:rFonts w:ascii="仿宋" w:hAnsi="仿宋" w:eastAsia="仿宋"/>
          <w:bCs/>
          <w:color w:val="auto"/>
          <w:sz w:val="32"/>
          <w:szCs w:val="32"/>
          <w:highlight w:val="none"/>
        </w:rPr>
        <w:t>:</w:t>
      </w:r>
      <w:r>
        <w:rPr>
          <w:rStyle w:val="18"/>
          <w:rFonts w:ascii="仿宋" w:hAnsi="仿宋" w:eastAsia="仿宋"/>
          <w:b w:val="0"/>
          <w:bCs/>
          <w:color w:val="auto"/>
          <w:sz w:val="32"/>
          <w:szCs w:val="32"/>
          <w:highlight w:val="none"/>
        </w:rPr>
        <w:t xml:space="preserve"> </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43.04</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270716A6">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color w:val="auto"/>
          <w:sz w:val="32"/>
          <w:szCs w:val="32"/>
          <w:highlight w:val="none"/>
          <w:lang w:val="en-US" w:eastAsia="zh-CN"/>
        </w:rPr>
        <w:t>6</w:t>
      </w:r>
      <w:r>
        <w:rPr>
          <w:rStyle w:val="18"/>
          <w:rFonts w:ascii="仿宋" w:hAnsi="仿宋" w:eastAsia="仿宋"/>
          <w:bCs/>
          <w:color w:val="auto"/>
          <w:sz w:val="32"/>
          <w:szCs w:val="32"/>
          <w:highlight w:val="none"/>
        </w:rPr>
        <w:t>.</w:t>
      </w:r>
      <w:r>
        <w:rPr>
          <w:rStyle w:val="18"/>
          <w:rFonts w:hint="eastAsia" w:ascii="仿宋" w:hAnsi="仿宋" w:eastAsia="仿宋"/>
          <w:bCs/>
          <w:color w:val="auto"/>
          <w:sz w:val="32"/>
          <w:szCs w:val="32"/>
          <w:highlight w:val="none"/>
        </w:rPr>
        <w:t>社会保障和就业（类）</w:t>
      </w:r>
      <w:r>
        <w:rPr>
          <w:rStyle w:val="18"/>
          <w:rFonts w:hint="eastAsia" w:ascii="仿宋" w:hAnsi="仿宋" w:eastAsia="仿宋"/>
          <w:bCs/>
          <w:color w:val="auto"/>
          <w:sz w:val="32"/>
          <w:szCs w:val="32"/>
          <w:highlight w:val="none"/>
          <w:lang w:eastAsia="zh-CN"/>
        </w:rPr>
        <w:t>行政事业单位养老支出</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其他社会保障和就业支出</w:t>
      </w:r>
      <w:r>
        <w:rPr>
          <w:rStyle w:val="18"/>
          <w:rFonts w:hint="eastAsia" w:ascii="仿宋" w:hAnsi="仿宋" w:eastAsia="仿宋"/>
          <w:bCs/>
          <w:color w:val="auto"/>
          <w:sz w:val="32"/>
          <w:szCs w:val="32"/>
          <w:highlight w:val="none"/>
        </w:rPr>
        <w:t>（项）</w:t>
      </w:r>
      <w:r>
        <w:rPr>
          <w:rStyle w:val="18"/>
          <w:rFonts w:ascii="仿宋" w:hAnsi="仿宋" w:eastAsia="仿宋"/>
          <w:bCs/>
          <w:color w:val="auto"/>
          <w:sz w:val="32"/>
          <w:szCs w:val="32"/>
          <w:highlight w:val="none"/>
        </w:rPr>
        <w:t>:</w:t>
      </w:r>
      <w:r>
        <w:rPr>
          <w:rStyle w:val="18"/>
          <w:rFonts w:ascii="仿宋" w:hAnsi="仿宋" w:eastAsia="仿宋"/>
          <w:b w:val="0"/>
          <w:bCs/>
          <w:color w:val="auto"/>
          <w:sz w:val="32"/>
          <w:szCs w:val="32"/>
          <w:highlight w:val="none"/>
        </w:rPr>
        <w:t xml:space="preserve"> </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0.04</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0984C853">
      <w:pPr>
        <w:spacing w:line="600" w:lineRule="exact"/>
        <w:ind w:firstLine="643" w:firstLineChars="200"/>
      </w:pPr>
      <w:r>
        <w:rPr>
          <w:rStyle w:val="18"/>
          <w:rFonts w:hint="eastAsia" w:ascii="仿宋" w:hAnsi="仿宋" w:eastAsia="仿宋"/>
          <w:bCs/>
          <w:color w:val="auto"/>
          <w:sz w:val="32"/>
          <w:szCs w:val="32"/>
          <w:highlight w:val="none"/>
          <w:lang w:val="en-US" w:eastAsia="zh-CN"/>
        </w:rPr>
        <w:t>7</w:t>
      </w:r>
      <w:r>
        <w:rPr>
          <w:rStyle w:val="18"/>
          <w:rFonts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卫生健康支出</w:t>
      </w:r>
      <w:r>
        <w:rPr>
          <w:rStyle w:val="18"/>
          <w:rFonts w:hint="eastAsia" w:ascii="仿宋" w:hAnsi="仿宋" w:eastAsia="仿宋"/>
          <w:bCs/>
          <w:color w:val="auto"/>
          <w:sz w:val="32"/>
          <w:szCs w:val="32"/>
          <w:highlight w:val="none"/>
        </w:rPr>
        <w:t>（类）</w:t>
      </w:r>
      <w:r>
        <w:rPr>
          <w:rStyle w:val="18"/>
          <w:rFonts w:hint="eastAsia" w:ascii="仿宋" w:hAnsi="仿宋" w:eastAsia="仿宋"/>
          <w:bCs/>
          <w:color w:val="auto"/>
          <w:sz w:val="32"/>
          <w:szCs w:val="32"/>
          <w:highlight w:val="none"/>
          <w:lang w:eastAsia="zh-CN"/>
        </w:rPr>
        <w:t>行政事业单位医疗</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行政单位医疗</w:t>
      </w:r>
      <w:r>
        <w:rPr>
          <w:rStyle w:val="18"/>
          <w:rFonts w:hint="eastAsia" w:ascii="仿宋" w:hAnsi="仿宋" w:eastAsia="仿宋"/>
          <w:bCs/>
          <w:color w:val="auto"/>
          <w:sz w:val="32"/>
          <w:szCs w:val="32"/>
          <w:highlight w:val="none"/>
        </w:rPr>
        <w:t>（项）</w:t>
      </w:r>
      <w:r>
        <w:rPr>
          <w:rStyle w:val="18"/>
          <w:rFonts w:ascii="仿宋" w:hAnsi="仿宋" w:eastAsia="仿宋"/>
          <w:bCs/>
          <w:color w:val="auto"/>
          <w:sz w:val="32"/>
          <w:szCs w:val="32"/>
          <w:highlight w:val="none"/>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22.87</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68B970C9">
      <w:pPr>
        <w:spacing w:line="600" w:lineRule="exact"/>
        <w:ind w:firstLine="643" w:firstLineChars="200"/>
        <w:rPr>
          <w:rFonts w:hint="eastAsia" w:ascii="仿宋" w:hAnsi="仿宋" w:eastAsia="仿宋"/>
          <w:b/>
          <w:color w:val="auto"/>
          <w:sz w:val="32"/>
          <w:szCs w:val="32"/>
          <w:highlight w:val="none"/>
        </w:rPr>
      </w:pPr>
      <w:r>
        <w:rPr>
          <w:rStyle w:val="18"/>
          <w:rFonts w:hint="eastAsia" w:ascii="仿宋" w:hAnsi="仿宋" w:eastAsia="仿宋"/>
          <w:bCs/>
          <w:color w:val="auto"/>
          <w:sz w:val="32"/>
          <w:szCs w:val="32"/>
          <w:highlight w:val="none"/>
          <w:lang w:val="en-US" w:eastAsia="zh-CN"/>
        </w:rPr>
        <w:t>8</w:t>
      </w:r>
      <w:r>
        <w:rPr>
          <w:rStyle w:val="18"/>
          <w:rFonts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卫生健康支出</w:t>
      </w:r>
      <w:r>
        <w:rPr>
          <w:rStyle w:val="18"/>
          <w:rFonts w:hint="eastAsia" w:ascii="仿宋" w:hAnsi="仿宋" w:eastAsia="仿宋"/>
          <w:bCs/>
          <w:color w:val="auto"/>
          <w:sz w:val="32"/>
          <w:szCs w:val="32"/>
          <w:highlight w:val="none"/>
        </w:rPr>
        <w:t>（类）</w:t>
      </w:r>
      <w:r>
        <w:rPr>
          <w:rStyle w:val="18"/>
          <w:rFonts w:hint="eastAsia" w:ascii="仿宋" w:hAnsi="仿宋" w:eastAsia="仿宋"/>
          <w:bCs/>
          <w:color w:val="auto"/>
          <w:sz w:val="32"/>
          <w:szCs w:val="32"/>
          <w:highlight w:val="none"/>
          <w:lang w:eastAsia="zh-CN"/>
        </w:rPr>
        <w:t>行政事业单位医疗</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事业单位医疗</w:t>
      </w:r>
      <w:r>
        <w:rPr>
          <w:rStyle w:val="18"/>
          <w:rFonts w:hint="eastAsia" w:ascii="仿宋" w:hAnsi="仿宋" w:eastAsia="仿宋"/>
          <w:bCs/>
          <w:color w:val="auto"/>
          <w:sz w:val="32"/>
          <w:szCs w:val="32"/>
          <w:highlight w:val="none"/>
        </w:rPr>
        <w:t>（项）</w:t>
      </w:r>
      <w:r>
        <w:rPr>
          <w:rStyle w:val="18"/>
          <w:rFonts w:ascii="仿宋" w:hAnsi="仿宋" w:eastAsia="仿宋"/>
          <w:bCs/>
          <w:color w:val="auto"/>
          <w:sz w:val="32"/>
          <w:szCs w:val="32"/>
          <w:highlight w:val="none"/>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2.41</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41A30F8F">
      <w:pPr>
        <w:spacing w:line="600" w:lineRule="exact"/>
        <w:ind w:firstLine="643" w:firstLineChars="200"/>
        <w:rPr>
          <w:rFonts w:hint="eastAsia" w:ascii="仿宋" w:hAnsi="仿宋" w:eastAsia="仿宋"/>
          <w:b/>
          <w:color w:val="auto"/>
          <w:sz w:val="32"/>
          <w:szCs w:val="32"/>
          <w:highlight w:val="none"/>
        </w:rPr>
      </w:pPr>
      <w:r>
        <w:rPr>
          <w:rStyle w:val="18"/>
          <w:rFonts w:hint="eastAsia" w:ascii="仿宋" w:hAnsi="仿宋" w:eastAsia="仿宋"/>
          <w:bCs/>
          <w:color w:val="auto"/>
          <w:sz w:val="32"/>
          <w:szCs w:val="32"/>
          <w:highlight w:val="none"/>
          <w:lang w:val="en-US" w:eastAsia="zh-CN"/>
        </w:rPr>
        <w:t>9</w:t>
      </w:r>
      <w:r>
        <w:rPr>
          <w:rStyle w:val="18"/>
          <w:rFonts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卫生健康支出</w:t>
      </w:r>
      <w:r>
        <w:rPr>
          <w:rStyle w:val="18"/>
          <w:rFonts w:hint="eastAsia" w:ascii="仿宋" w:hAnsi="仿宋" w:eastAsia="仿宋"/>
          <w:bCs/>
          <w:color w:val="auto"/>
          <w:sz w:val="32"/>
          <w:szCs w:val="32"/>
          <w:highlight w:val="none"/>
        </w:rPr>
        <w:t>（类）</w:t>
      </w:r>
      <w:r>
        <w:rPr>
          <w:rStyle w:val="18"/>
          <w:rFonts w:hint="eastAsia" w:ascii="仿宋" w:hAnsi="仿宋" w:eastAsia="仿宋"/>
          <w:bCs/>
          <w:color w:val="auto"/>
          <w:sz w:val="32"/>
          <w:szCs w:val="32"/>
          <w:highlight w:val="none"/>
          <w:lang w:eastAsia="zh-CN"/>
        </w:rPr>
        <w:t>行政事业单位医疗</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公务员医疗补助</w:t>
      </w:r>
      <w:r>
        <w:rPr>
          <w:rStyle w:val="18"/>
          <w:rFonts w:hint="eastAsia" w:ascii="仿宋" w:hAnsi="仿宋" w:eastAsia="仿宋"/>
          <w:bCs/>
          <w:color w:val="auto"/>
          <w:sz w:val="32"/>
          <w:szCs w:val="32"/>
          <w:highlight w:val="none"/>
        </w:rPr>
        <w:t>（项）</w:t>
      </w:r>
      <w:r>
        <w:rPr>
          <w:rStyle w:val="18"/>
          <w:rFonts w:ascii="仿宋" w:hAnsi="仿宋" w:eastAsia="仿宋"/>
          <w:bCs/>
          <w:color w:val="auto"/>
          <w:sz w:val="32"/>
          <w:szCs w:val="32"/>
          <w:highlight w:val="none"/>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4.92</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272ED68A">
      <w:pPr>
        <w:spacing w:line="600" w:lineRule="exact"/>
        <w:ind w:firstLine="643" w:firstLineChars="200"/>
        <w:rPr>
          <w:rFonts w:ascii="仿宋" w:hAnsi="仿宋" w:eastAsia="仿宋"/>
          <w:b/>
          <w:color w:val="auto"/>
          <w:sz w:val="32"/>
          <w:szCs w:val="32"/>
          <w:highlight w:val="none"/>
        </w:rPr>
      </w:pPr>
      <w:r>
        <w:rPr>
          <w:rStyle w:val="18"/>
          <w:rFonts w:hint="eastAsia" w:ascii="仿宋" w:hAnsi="仿宋" w:eastAsia="仿宋"/>
          <w:bCs/>
          <w:color w:val="auto"/>
          <w:sz w:val="32"/>
          <w:szCs w:val="32"/>
          <w:highlight w:val="none"/>
          <w:lang w:val="en-US" w:eastAsia="zh-CN"/>
        </w:rPr>
        <w:t>10</w:t>
      </w:r>
      <w:r>
        <w:rPr>
          <w:rStyle w:val="18"/>
          <w:rFonts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住房保障支出</w:t>
      </w:r>
      <w:r>
        <w:rPr>
          <w:rStyle w:val="18"/>
          <w:rFonts w:hint="eastAsia" w:ascii="仿宋" w:hAnsi="仿宋" w:eastAsia="仿宋"/>
          <w:bCs/>
          <w:color w:val="auto"/>
          <w:sz w:val="32"/>
          <w:szCs w:val="32"/>
          <w:highlight w:val="none"/>
        </w:rPr>
        <w:t>（类）</w:t>
      </w:r>
      <w:r>
        <w:rPr>
          <w:rStyle w:val="18"/>
          <w:rFonts w:hint="eastAsia" w:ascii="仿宋" w:hAnsi="仿宋" w:eastAsia="仿宋"/>
          <w:bCs/>
          <w:color w:val="auto"/>
          <w:sz w:val="32"/>
          <w:szCs w:val="32"/>
          <w:highlight w:val="none"/>
          <w:lang w:eastAsia="zh-CN"/>
        </w:rPr>
        <w:t>住房改革支出</w:t>
      </w:r>
      <w:r>
        <w:rPr>
          <w:rStyle w:val="18"/>
          <w:rFonts w:hint="eastAsia" w:ascii="仿宋" w:hAnsi="仿宋" w:eastAsia="仿宋"/>
          <w:bCs/>
          <w:color w:val="auto"/>
          <w:sz w:val="32"/>
          <w:szCs w:val="32"/>
          <w:highlight w:val="none"/>
        </w:rPr>
        <w:t>（款）</w:t>
      </w:r>
      <w:r>
        <w:rPr>
          <w:rStyle w:val="18"/>
          <w:rFonts w:hint="eastAsia" w:ascii="仿宋" w:hAnsi="仿宋" w:eastAsia="仿宋"/>
          <w:bCs/>
          <w:color w:val="auto"/>
          <w:sz w:val="32"/>
          <w:szCs w:val="32"/>
          <w:highlight w:val="none"/>
          <w:lang w:eastAsia="zh-CN"/>
        </w:rPr>
        <w:t>住房公积金</w:t>
      </w:r>
      <w:r>
        <w:rPr>
          <w:rStyle w:val="18"/>
          <w:rFonts w:ascii="仿宋" w:hAnsi="仿宋" w:eastAsia="仿宋"/>
          <w:bCs/>
          <w:color w:val="auto"/>
          <w:sz w:val="32"/>
          <w:szCs w:val="32"/>
          <w:highlight w:val="none"/>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40.61</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722C47E0">
      <w:pPr>
        <w:tabs>
          <w:tab w:val="right" w:pos="8306"/>
        </w:tabs>
        <w:spacing w:line="600" w:lineRule="exact"/>
        <w:ind w:firstLine="640"/>
        <w:outlineLvl w:val="1"/>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3D415B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652.37</w:t>
      </w:r>
      <w:r>
        <w:rPr>
          <w:rFonts w:hint="eastAsia" w:ascii="Times New Roman" w:hAnsi="Times New Roman" w:eastAsia="仿宋_GB2312" w:cs="仿宋_GB2312"/>
          <w:color w:val="auto"/>
          <w:kern w:val="2"/>
          <w:sz w:val="32"/>
          <w:szCs w:val="32"/>
          <w:highlight w:val="none"/>
          <w:lang w:val="en-US" w:eastAsia="zh-CN" w:bidi="ar-SA"/>
        </w:rPr>
        <w:t>万元，其中：</w:t>
      </w:r>
    </w:p>
    <w:p w14:paraId="16C3EC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532.12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120.26</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2428615">
      <w:pPr>
        <w:spacing w:line="600" w:lineRule="exact"/>
        <w:ind w:firstLine="640"/>
        <w:outlineLvl w:val="1"/>
        <w:rPr>
          <w:rStyle w:val="30"/>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3A8BA1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025EFD8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7.8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42.85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84.6</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387411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214C6F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575FEC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1A356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B9D37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5467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B719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6474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8105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410845</wp:posOffset>
            </wp:positionH>
            <wp:positionV relativeFrom="paragraph">
              <wp:posOffset>-1621155</wp:posOffset>
            </wp:positionV>
            <wp:extent cx="4233545" cy="1919605"/>
            <wp:effectExtent l="4445" t="4445" r="16510" b="6350"/>
            <wp:wrapSquare wrapText="bothSides"/>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0C6454D">
      <w:pPr>
        <w:numPr>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67F3120">
      <w:pPr>
        <w:numPr>
          <w:ilvl w:val="0"/>
          <w:numId w:val="0"/>
        </w:numPr>
        <w:spacing w:line="600" w:lineRule="exact"/>
        <w:ind w:firstLine="643"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7.8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42.3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84.44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上年度新增车辆2台。</w:t>
      </w:r>
    </w:p>
    <w:p w14:paraId="7ECBA3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185727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7.8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执法执勤</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04106FA6">
      <w:pPr>
        <w:numPr>
          <w:numId w:val="0"/>
        </w:numPr>
        <w:spacing w:line="600" w:lineRule="exact"/>
        <w:ind w:left="64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0.55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本年度无公务接待支出</w:t>
      </w:r>
      <w:r>
        <w:rPr>
          <w:rFonts w:hint="eastAsia" w:ascii="Times New Roman" w:hAnsi="Times New Roman" w:eastAsia="仿宋_GB2312" w:cs="仿宋_GB2312"/>
          <w:color w:val="auto"/>
          <w:kern w:val="2"/>
          <w:sz w:val="32"/>
          <w:szCs w:val="32"/>
          <w:highlight w:val="none"/>
          <w:lang w:val="en-US" w:eastAsia="zh-CN" w:bidi="ar-SA"/>
        </w:rPr>
        <w:t>。</w:t>
      </w:r>
      <w:bookmarkStart w:id="40" w:name="_Toc15377218"/>
      <w:bookmarkStart w:id="41" w:name="_Toc15396610"/>
    </w:p>
    <w:p w14:paraId="1B4509EE">
      <w:pPr>
        <w:numPr>
          <w:ilvl w:val="0"/>
          <w:numId w:val="0"/>
        </w:numPr>
        <w:spacing w:line="600" w:lineRule="exact"/>
        <w:ind w:left="640" w:leftChars="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4E4A75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年度相比，政府性基金预算财政拨款支出数与上年持平。</w:t>
      </w:r>
    </w:p>
    <w:p w14:paraId="1BC27DF9">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96611"/>
      <w:bookmarkStart w:id="43"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1F9AE6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bookmarkStart w:id="44" w:name="_Toc15377221"/>
      <w:bookmarkStart w:id="45" w:name="_Toc15396612"/>
      <w:r>
        <w:rPr>
          <w:rFonts w:hint="eastAsia" w:ascii="Times New Roman" w:hAnsi="Times New Roman" w:eastAsia="仿宋_GB2312" w:cs="仿宋_GB2312"/>
          <w:color w:val="auto"/>
          <w:kern w:val="2"/>
          <w:sz w:val="32"/>
          <w:szCs w:val="32"/>
          <w:highlight w:val="none"/>
          <w:lang w:val="en-US" w:eastAsia="zh-CN" w:bidi="ar-SA"/>
        </w:rPr>
        <w:t>国有资本经营预算财政拨款支出数与上年持平。</w:t>
      </w:r>
    </w:p>
    <w:p w14:paraId="40DE55FE">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2BAA3A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1EA4DA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恩阳区检察院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120.26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2.84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p>
    <w:p w14:paraId="07DD2E1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7CF099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恩阳区检察院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37.05</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2.76</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34.29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采购业务设备及检察文化建设</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2.76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7.45</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2.76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7.45</w:t>
      </w:r>
      <w:r>
        <w:rPr>
          <w:rFonts w:hint="eastAsia" w:ascii="Times New Roman" w:hAnsi="Times New Roman" w:eastAsia="仿宋_GB2312" w:cs="仿宋_GB2312"/>
          <w:color w:val="auto"/>
          <w:kern w:val="2"/>
          <w:sz w:val="32"/>
          <w:szCs w:val="32"/>
          <w:highlight w:val="none"/>
          <w:lang w:val="en-US" w:eastAsia="zh-CN" w:bidi="ar-SA"/>
        </w:rPr>
        <w:t>%。</w:t>
      </w:r>
    </w:p>
    <w:p w14:paraId="148450F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1FB9D2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恩阳区检察院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6FFAE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AAE4D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巴中市恩阳区人民检察院</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个项目开展了事前绩效评估，对</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6C4E3F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巴中市恩阳区人民检察院</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部门预算（含部门预算项目）绩效自评报告其中，</w:t>
      </w:r>
      <w:r>
        <w:rPr>
          <w:rFonts w:hint="eastAsia" w:eastAsia="仿宋_GB2312" w:cs="仿宋_GB2312"/>
          <w:color w:val="auto"/>
          <w:kern w:val="2"/>
          <w:sz w:val="32"/>
          <w:szCs w:val="32"/>
          <w:highlight w:val="none"/>
          <w:lang w:val="en-US" w:eastAsia="zh-CN" w:bidi="ar-SA"/>
        </w:rPr>
        <w:t>巴中市恩阳区人民检察院</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92</w:t>
      </w:r>
      <w:r>
        <w:rPr>
          <w:rFonts w:hint="eastAsia" w:ascii="Times New Roman" w:hAnsi="Times New Roman" w:eastAsia="仿宋_GB2312" w:cs="仿宋_GB2312"/>
          <w:color w:val="auto"/>
          <w:kern w:val="2"/>
          <w:sz w:val="32"/>
          <w:szCs w:val="32"/>
          <w:highlight w:val="none"/>
          <w:lang w:val="en-US" w:eastAsia="zh-CN" w:bidi="ar-SA"/>
        </w:rPr>
        <w:t>分，</w:t>
      </w:r>
      <w:r>
        <w:rPr>
          <w:rFonts w:hint="default" w:ascii="Times New Roman" w:hAnsi="Times New Roman" w:eastAsia="仿宋_GB2312" w:cs="仿宋_GB2312"/>
          <w:color w:val="auto"/>
          <w:kern w:val="2"/>
          <w:sz w:val="32"/>
          <w:szCs w:val="32"/>
          <w:highlight w:val="none"/>
          <w:lang w:val="en-US" w:eastAsia="en-US" w:bidi="ar-SA"/>
        </w:rPr>
        <w:t>按照《巴中市部门预算（整体）绩效评价指标体系》设定的绩效指标和计分标准，根据本部门收支情况、预算执行情况、部门履职效益分析及整体绩效管理情况综合</w:t>
      </w:r>
      <w:r>
        <w:rPr>
          <w:rFonts w:hint="eastAsia" w:ascii="Times New Roman" w:hAnsi="Times New Roman" w:eastAsia="仿宋_GB2312" w:cs="仿宋_GB2312"/>
          <w:color w:val="auto"/>
          <w:kern w:val="2"/>
          <w:sz w:val="32"/>
          <w:szCs w:val="32"/>
          <w:highlight w:val="none"/>
          <w:lang w:val="en-US" w:eastAsia="zh-CN" w:bidi="ar-SA"/>
        </w:rPr>
        <w:t>分析巴中</w:t>
      </w:r>
      <w:r>
        <w:rPr>
          <w:rFonts w:hint="default" w:ascii="Times New Roman" w:hAnsi="Times New Roman" w:eastAsia="仿宋_GB2312" w:cs="仿宋_GB2312"/>
          <w:color w:val="auto"/>
          <w:kern w:val="2"/>
          <w:sz w:val="32"/>
          <w:szCs w:val="32"/>
          <w:highlight w:val="none"/>
          <w:lang w:val="en-US" w:eastAsia="en-US" w:bidi="ar-SA"/>
        </w:rPr>
        <w:t>市</w:t>
      </w:r>
      <w:r>
        <w:rPr>
          <w:rFonts w:hint="eastAsia" w:ascii="Times New Roman" w:hAnsi="Times New Roman" w:eastAsia="仿宋_GB2312" w:cs="仿宋_GB2312"/>
          <w:color w:val="auto"/>
          <w:kern w:val="2"/>
          <w:sz w:val="32"/>
          <w:szCs w:val="32"/>
          <w:highlight w:val="none"/>
          <w:lang w:val="en-US" w:eastAsia="zh-CN" w:bidi="ar-SA"/>
        </w:rPr>
        <w:t>恩阳区</w:t>
      </w:r>
      <w:r>
        <w:rPr>
          <w:rFonts w:hint="default" w:ascii="Times New Roman" w:hAnsi="Times New Roman" w:eastAsia="仿宋_GB2312" w:cs="仿宋_GB2312"/>
          <w:color w:val="auto"/>
          <w:kern w:val="2"/>
          <w:sz w:val="32"/>
          <w:szCs w:val="32"/>
          <w:highlight w:val="none"/>
          <w:lang w:val="en-US" w:eastAsia="en-US" w:bidi="ar-SA"/>
        </w:rPr>
        <w:t>人民检察院202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en-US" w:bidi="ar-SA"/>
        </w:rPr>
        <w:t>年部门整体支出绩效评价得分为</w:t>
      </w:r>
      <w:r>
        <w:rPr>
          <w:rFonts w:hint="eastAsia" w:ascii="Times New Roman" w:hAnsi="Times New Roman" w:eastAsia="仿宋_GB2312" w:cs="仿宋_GB2312"/>
          <w:color w:val="auto"/>
          <w:kern w:val="2"/>
          <w:sz w:val="32"/>
          <w:szCs w:val="32"/>
          <w:highlight w:val="none"/>
          <w:lang w:val="en-US" w:eastAsia="zh-CN" w:bidi="ar-SA"/>
        </w:rPr>
        <w:t>92</w:t>
      </w:r>
      <w:r>
        <w:rPr>
          <w:rFonts w:hint="default" w:ascii="Times New Roman" w:hAnsi="Times New Roman" w:eastAsia="仿宋_GB2312" w:cs="仿宋_GB2312"/>
          <w:color w:val="auto"/>
          <w:kern w:val="2"/>
          <w:sz w:val="32"/>
          <w:szCs w:val="32"/>
          <w:highlight w:val="none"/>
          <w:lang w:val="en-US" w:eastAsia="en-US" w:bidi="ar-SA"/>
        </w:rPr>
        <w:t>分</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en-US" w:bidi="ar-SA"/>
        </w:rPr>
        <w:t>自评等次为：</w:t>
      </w:r>
      <w:r>
        <w:rPr>
          <w:rFonts w:hint="eastAsia" w:ascii="Times New Roman" w:hAnsi="Times New Roman" w:eastAsia="仿宋_GB2312" w:cs="仿宋_GB2312"/>
          <w:color w:val="auto"/>
          <w:kern w:val="2"/>
          <w:sz w:val="32"/>
          <w:szCs w:val="32"/>
          <w:highlight w:val="none"/>
          <w:lang w:val="en-US" w:eastAsia="zh-CN" w:bidi="ar-SA"/>
        </w:rPr>
        <w:t>优</w:t>
      </w:r>
      <w:r>
        <w:rPr>
          <w:rFonts w:hint="default" w:ascii="Times New Roman" w:hAnsi="Times New Roman" w:eastAsia="仿宋_GB2312" w:cs="仿宋_GB2312"/>
          <w:color w:val="auto"/>
          <w:kern w:val="2"/>
          <w:sz w:val="32"/>
          <w:szCs w:val="32"/>
          <w:highlight w:val="none"/>
          <w:lang w:val="en-US" w:eastAsia="en-US" w:bidi="ar-SA"/>
        </w:rPr>
        <w:t>。</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317840C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p>
    <w:p w14:paraId="572D50DD">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31DF14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98BDF5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7FF8AC5">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C59907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5B5E3C5">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0418BC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E211E7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B665D13">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D92C0F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7BD425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6D5C4E6">
      <w:pPr>
        <w:numPr>
          <w:ilvl w:val="0"/>
          <w:numId w:val="0"/>
        </w:numPr>
        <w:spacing w:line="600" w:lineRule="exact"/>
        <w:jc w:val="center"/>
        <w:outlineLvl w:val="0"/>
        <w:rPr>
          <w:rFonts w:ascii="Times New Roman" w:hAnsi="Times New Roman"/>
          <w:b/>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542780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DFC6D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0BBC87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5CC7F9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69598E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4BC23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4B004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D0534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798E7D0">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lang w:val="en-US" w:eastAsia="zh-CN"/>
        </w:rPr>
        <w:t>公共安全</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检察</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行政运行</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val="en-US" w:eastAsia="zh-CN"/>
        </w:rPr>
        <w:t>行政单位（包括实行公务员管理的事业单位）的基本支出</w:t>
      </w:r>
      <w:r>
        <w:rPr>
          <w:rFonts w:hint="eastAsia" w:ascii="仿宋_GB2312" w:eastAsia="仿宋_GB2312"/>
          <w:color w:val="auto"/>
          <w:sz w:val="32"/>
          <w:szCs w:val="32"/>
          <w:highlight w:val="none"/>
        </w:rPr>
        <w:t>。</w:t>
      </w:r>
    </w:p>
    <w:p w14:paraId="1E6C6827">
      <w:pPr>
        <w:pStyle w:val="27"/>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10、公共安全（类）检察（款）一般行政管理事务（项）：指行政单位（包括实行公务员管理的事业单位）未单位设置项级科目的其他项目支出。</w:t>
      </w:r>
    </w:p>
    <w:p w14:paraId="6E49A9EA">
      <w:pPr>
        <w:pStyle w:val="27"/>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11. 公共安全（类）检察（款）检察监督（项）：指检察机关依法开展法律监督工作的支出，包括侦查监督、公诉、审判监督、执行监督、民事行政监督、公益诉讼、控告申诉等。</w:t>
      </w:r>
    </w:p>
    <w:p w14:paraId="0A40491B">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12.公共安全（类）检察（款）事业运行（项）：指事业单位的基本支出，不包括行政单位（包括实行公务员管理的事业单位）后勤服务中心、医务室等附属事业单位。</w:t>
      </w:r>
    </w:p>
    <w:p w14:paraId="666A311C">
      <w:pPr>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13.社会保障和就业（类）行政事业单位养老支出（款）机关事业单位基本养老保险缴费支出（项）：指机关事业单位实施养老保险制度由单位缴纳的基本养老保险费支出。</w:t>
      </w:r>
    </w:p>
    <w:p w14:paraId="159844E8">
      <w:pPr>
        <w:pStyle w:val="8"/>
        <w:ind w:firstLine="640" w:firstLineChars="200"/>
        <w:rPr>
          <w:rFonts w:hint="eastAsia" w:ascii="仿宋_GB2312" w:hAnsi="Calibri" w:eastAsia="仿宋_GB2312" w:cs="Times New Roman"/>
          <w:i w:val="0"/>
          <w:iCs w:val="0"/>
          <w:color w:val="auto"/>
          <w:kern w:val="2"/>
          <w:sz w:val="32"/>
          <w:szCs w:val="32"/>
          <w:highlight w:val="none"/>
          <w:lang w:val="en-US" w:eastAsia="zh-CN" w:bidi="ar-SA"/>
        </w:rPr>
      </w:pPr>
      <w:r>
        <w:rPr>
          <w:rFonts w:hint="eastAsia" w:ascii="仿宋_GB2312" w:hAnsi="Calibri" w:eastAsia="仿宋_GB2312" w:cs="Times New Roman"/>
          <w:i w:val="0"/>
          <w:iCs w:val="0"/>
          <w:color w:val="auto"/>
          <w:kern w:val="2"/>
          <w:sz w:val="32"/>
          <w:szCs w:val="32"/>
          <w:highlight w:val="none"/>
          <w:lang w:val="en-US" w:eastAsia="zh-CN" w:bidi="ar-SA"/>
        </w:rPr>
        <w:t>14.社会保障和就业（类）</w:t>
      </w:r>
      <w:r>
        <w:rPr>
          <w:rFonts w:hint="eastAsia" w:ascii="仿宋_GB2312" w:eastAsia="仿宋_GB2312" w:cs="Times New Roman"/>
          <w:i w:val="0"/>
          <w:iCs w:val="0"/>
          <w:color w:val="auto"/>
          <w:kern w:val="2"/>
          <w:sz w:val="32"/>
          <w:szCs w:val="32"/>
          <w:highlight w:val="none"/>
          <w:lang w:val="en-US" w:eastAsia="zh-CN" w:bidi="ar-SA"/>
        </w:rPr>
        <w:t>其他社会保障和就业支出</w:t>
      </w:r>
      <w:r>
        <w:rPr>
          <w:rFonts w:hint="eastAsia" w:ascii="仿宋_GB2312" w:hAnsi="Calibri" w:eastAsia="仿宋_GB2312" w:cs="Times New Roman"/>
          <w:i w:val="0"/>
          <w:iCs w:val="0"/>
          <w:color w:val="auto"/>
          <w:kern w:val="2"/>
          <w:sz w:val="32"/>
          <w:szCs w:val="32"/>
          <w:highlight w:val="none"/>
          <w:lang w:val="en-US" w:eastAsia="zh-CN" w:bidi="ar-SA"/>
        </w:rPr>
        <w:t>（款）</w:t>
      </w:r>
      <w:r>
        <w:rPr>
          <w:rFonts w:hint="eastAsia" w:ascii="仿宋_GB2312" w:eastAsia="仿宋_GB2312" w:cs="Times New Roman"/>
          <w:i w:val="0"/>
          <w:iCs w:val="0"/>
          <w:color w:val="auto"/>
          <w:kern w:val="2"/>
          <w:sz w:val="32"/>
          <w:szCs w:val="32"/>
          <w:highlight w:val="none"/>
          <w:lang w:val="en-US" w:eastAsia="zh-CN" w:bidi="ar-SA"/>
        </w:rPr>
        <w:t>其他社会保障和就业支出</w:t>
      </w:r>
      <w:r>
        <w:rPr>
          <w:rFonts w:hint="eastAsia" w:ascii="仿宋_GB2312" w:hAnsi="Calibri" w:eastAsia="仿宋_GB2312" w:cs="Times New Roman"/>
          <w:i w:val="0"/>
          <w:iCs w:val="0"/>
          <w:color w:val="auto"/>
          <w:kern w:val="2"/>
          <w:sz w:val="32"/>
          <w:szCs w:val="32"/>
          <w:highlight w:val="none"/>
          <w:lang w:val="en-US" w:eastAsia="zh-CN" w:bidi="ar-SA"/>
        </w:rPr>
        <w:t>（项）：指</w:t>
      </w:r>
      <w:r>
        <w:rPr>
          <w:rFonts w:hint="eastAsia" w:ascii="仿宋_GB2312" w:eastAsia="仿宋_GB2312" w:cs="Times New Roman"/>
          <w:i w:val="0"/>
          <w:iCs w:val="0"/>
          <w:color w:val="auto"/>
          <w:kern w:val="2"/>
          <w:sz w:val="32"/>
          <w:szCs w:val="32"/>
          <w:highlight w:val="none"/>
          <w:lang w:val="en-US" w:eastAsia="zh-CN" w:bidi="ar-SA"/>
        </w:rPr>
        <w:t>其他用于社会保障和就业方面的支出</w:t>
      </w:r>
      <w:r>
        <w:rPr>
          <w:rFonts w:hint="eastAsia" w:ascii="仿宋_GB2312" w:hAnsi="Calibri" w:eastAsia="仿宋_GB2312" w:cs="Times New Roman"/>
          <w:i w:val="0"/>
          <w:iCs w:val="0"/>
          <w:color w:val="auto"/>
          <w:kern w:val="2"/>
          <w:sz w:val="32"/>
          <w:szCs w:val="32"/>
          <w:highlight w:val="none"/>
          <w:lang w:val="en-US" w:eastAsia="zh-CN" w:bidi="ar-SA"/>
        </w:rPr>
        <w:t>。</w:t>
      </w:r>
    </w:p>
    <w:p w14:paraId="64828FE2">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卫生与健康</w:t>
      </w:r>
      <w:r>
        <w:rPr>
          <w:rFonts w:hint="eastAsia" w:ascii="仿宋_GB2312" w:eastAsia="仿宋_GB2312"/>
          <w:color w:val="auto"/>
          <w:sz w:val="32"/>
          <w:szCs w:val="32"/>
          <w:highlight w:val="none"/>
        </w:rPr>
        <w:t>（类）行政事业单位医疗（款）行政单位医疗（项）：指财政部门安排的行政单位</w:t>
      </w:r>
      <w:r>
        <w:rPr>
          <w:rFonts w:hint="eastAsia" w:ascii="仿宋_GB2312" w:eastAsia="仿宋_GB2312"/>
          <w:color w:val="auto"/>
          <w:sz w:val="32"/>
          <w:szCs w:val="32"/>
          <w:highlight w:val="none"/>
          <w:lang w:val="en-US" w:eastAsia="zh-CN"/>
        </w:rPr>
        <w:t>（包括实行公务员管理的事业单位）</w:t>
      </w:r>
      <w:r>
        <w:rPr>
          <w:rFonts w:hint="eastAsia" w:ascii="仿宋_GB2312" w:eastAsia="仿宋_GB2312"/>
          <w:color w:val="auto"/>
          <w:sz w:val="32"/>
          <w:szCs w:val="32"/>
          <w:highlight w:val="none"/>
        </w:rPr>
        <w:t>基本医疗保险缴费经费，未参加医疗保险的行政单位的公费医疗经费，按国家享受离休人员、红军老战士待遇人员的医疗经费。</w:t>
      </w:r>
    </w:p>
    <w:p w14:paraId="4AA195AE">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卫生与健康</w:t>
      </w:r>
      <w:r>
        <w:rPr>
          <w:rFonts w:hint="eastAsia" w:ascii="仿宋_GB2312" w:eastAsia="仿宋_GB2312"/>
          <w:color w:val="auto"/>
          <w:sz w:val="32"/>
          <w:szCs w:val="32"/>
          <w:highlight w:val="none"/>
        </w:rPr>
        <w:t>（类）行政事业单位医疗（款）事业单位医疗（项）：指财政部门安排的事业单位基本医疗保险缴费经费，未参加医疗保险的</w:t>
      </w:r>
      <w:r>
        <w:rPr>
          <w:rFonts w:hint="eastAsia" w:ascii="仿宋_GB2312" w:eastAsia="仿宋_GB2312"/>
          <w:color w:val="auto"/>
          <w:sz w:val="32"/>
          <w:szCs w:val="32"/>
          <w:highlight w:val="none"/>
          <w:lang w:eastAsia="zh-CN"/>
        </w:rPr>
        <w:t>事业</w:t>
      </w:r>
      <w:r>
        <w:rPr>
          <w:rFonts w:hint="eastAsia" w:ascii="仿宋_GB2312" w:eastAsia="仿宋_GB2312"/>
          <w:color w:val="auto"/>
          <w:sz w:val="32"/>
          <w:szCs w:val="32"/>
          <w:highlight w:val="none"/>
        </w:rPr>
        <w:t>单位的公费医疗经费，按国家</w:t>
      </w:r>
      <w:r>
        <w:rPr>
          <w:rFonts w:hint="eastAsia" w:ascii="仿宋_GB2312" w:eastAsia="仿宋_GB2312"/>
          <w:color w:val="auto"/>
          <w:sz w:val="32"/>
          <w:szCs w:val="32"/>
          <w:highlight w:val="none"/>
          <w:lang w:eastAsia="zh-CN"/>
        </w:rPr>
        <w:t>规定</w:t>
      </w:r>
      <w:r>
        <w:rPr>
          <w:rFonts w:hint="eastAsia" w:ascii="仿宋_GB2312" w:eastAsia="仿宋_GB2312"/>
          <w:color w:val="auto"/>
          <w:sz w:val="32"/>
          <w:szCs w:val="32"/>
          <w:highlight w:val="none"/>
        </w:rPr>
        <w:t>享受离休人员待遇的医疗经费。</w:t>
      </w:r>
    </w:p>
    <w:p w14:paraId="0C7CBC6F">
      <w:pPr>
        <w:pStyle w:val="8"/>
        <w:ind w:firstLine="640" w:firstLineChars="200"/>
        <w:rPr>
          <w:rFonts w:hint="eastAsia" w:ascii="仿宋_GB2312" w:hAnsi="Calibri" w:eastAsia="仿宋_GB2312" w:cs="Times New Roman"/>
          <w:i w:val="0"/>
          <w:iCs w:val="0"/>
          <w:color w:val="auto"/>
          <w:kern w:val="2"/>
          <w:sz w:val="32"/>
          <w:szCs w:val="32"/>
          <w:highlight w:val="none"/>
          <w:lang w:val="en-US" w:eastAsia="zh-CN" w:bidi="ar-SA"/>
        </w:rPr>
      </w:pPr>
      <w:r>
        <w:rPr>
          <w:rFonts w:hint="eastAsia" w:ascii="仿宋_GB2312" w:eastAsia="仿宋_GB2312" w:cs="Times New Roman"/>
          <w:i w:val="0"/>
          <w:iCs w:val="0"/>
          <w:color w:val="auto"/>
          <w:kern w:val="2"/>
          <w:sz w:val="32"/>
          <w:szCs w:val="32"/>
          <w:highlight w:val="none"/>
          <w:lang w:val="en-US" w:eastAsia="zh-CN" w:bidi="ar-SA"/>
        </w:rPr>
        <w:t>17</w:t>
      </w:r>
      <w:r>
        <w:rPr>
          <w:rFonts w:hint="eastAsia" w:ascii="仿宋_GB2312" w:hAnsi="Calibri" w:eastAsia="仿宋_GB2312" w:cs="Times New Roman"/>
          <w:i w:val="0"/>
          <w:iCs w:val="0"/>
          <w:color w:val="auto"/>
          <w:kern w:val="2"/>
          <w:sz w:val="32"/>
          <w:szCs w:val="32"/>
          <w:highlight w:val="none"/>
          <w:lang w:val="en-US" w:eastAsia="zh-CN" w:bidi="ar-SA"/>
        </w:rPr>
        <w:t>.卫生与健康（类）行政事业单位医疗（款）</w:t>
      </w:r>
      <w:r>
        <w:rPr>
          <w:rFonts w:hint="eastAsia" w:ascii="仿宋_GB2312" w:eastAsia="仿宋_GB2312" w:cs="Times New Roman"/>
          <w:i w:val="0"/>
          <w:iCs w:val="0"/>
          <w:color w:val="auto"/>
          <w:kern w:val="2"/>
          <w:sz w:val="32"/>
          <w:szCs w:val="32"/>
          <w:highlight w:val="none"/>
          <w:lang w:val="en-US" w:eastAsia="zh-CN" w:bidi="ar-SA"/>
        </w:rPr>
        <w:t>公务员医疗补助</w:t>
      </w:r>
      <w:r>
        <w:rPr>
          <w:rFonts w:hint="eastAsia" w:ascii="仿宋_GB2312" w:hAnsi="Calibri" w:eastAsia="仿宋_GB2312" w:cs="Times New Roman"/>
          <w:i w:val="0"/>
          <w:iCs w:val="0"/>
          <w:color w:val="auto"/>
          <w:kern w:val="2"/>
          <w:sz w:val="32"/>
          <w:szCs w:val="32"/>
          <w:highlight w:val="none"/>
          <w:lang w:val="en-US" w:eastAsia="zh-CN" w:bidi="ar-SA"/>
        </w:rPr>
        <w:t>（项）：指</w:t>
      </w:r>
      <w:r>
        <w:rPr>
          <w:rFonts w:hint="eastAsia" w:ascii="仿宋_GB2312" w:eastAsia="仿宋_GB2312" w:cs="Times New Roman"/>
          <w:i w:val="0"/>
          <w:iCs w:val="0"/>
          <w:color w:val="auto"/>
          <w:kern w:val="2"/>
          <w:sz w:val="32"/>
          <w:szCs w:val="32"/>
          <w:highlight w:val="none"/>
          <w:lang w:val="en-US" w:eastAsia="zh-CN" w:bidi="ar-SA"/>
        </w:rPr>
        <w:t>财政部门安排的公务员医疗补助经费。</w:t>
      </w:r>
    </w:p>
    <w:p w14:paraId="7050C5B5">
      <w:pPr>
        <w:spacing w:line="600" w:lineRule="exact"/>
        <w:ind w:firstLine="64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18</w:t>
      </w:r>
      <w:r>
        <w:rPr>
          <w:rFonts w:hint="eastAsia" w:ascii="仿宋_GB2312" w:eastAsia="仿宋_GB2312"/>
          <w:color w:val="auto"/>
          <w:sz w:val="32"/>
          <w:szCs w:val="32"/>
          <w:highlight w:val="none"/>
        </w:rPr>
        <w:t>. 住房保障（类）住房改革支出（款）住房公积金（项）：指行政事业单位按人力资源和社会保障部、财政部规定的基本工资和津贴补贴以及规定比例为职工缴</w:t>
      </w:r>
      <w:r>
        <w:rPr>
          <w:rFonts w:hint="eastAsia" w:ascii="仿宋_GB2312" w:eastAsia="仿宋_GB2312"/>
          <w:color w:val="auto"/>
          <w:sz w:val="32"/>
          <w:szCs w:val="32"/>
          <w:highlight w:val="none"/>
          <w:lang w:eastAsia="zh-CN"/>
        </w:rPr>
        <w:t>纳</w:t>
      </w:r>
      <w:r>
        <w:rPr>
          <w:rFonts w:hint="eastAsia" w:ascii="仿宋_GB2312" w:eastAsia="仿宋_GB2312"/>
          <w:color w:val="auto"/>
          <w:sz w:val="32"/>
          <w:szCs w:val="32"/>
          <w:highlight w:val="none"/>
        </w:rPr>
        <w:t>的住房公积金。</w:t>
      </w:r>
      <w:r>
        <w:rPr>
          <w:rFonts w:hint="eastAsia" w:ascii="仿宋_GB2312" w:eastAsia="仿宋_GB2312"/>
          <w:color w:val="auto"/>
          <w:sz w:val="32"/>
          <w:szCs w:val="32"/>
          <w:highlight w:val="none"/>
          <w:lang w:val="en-US" w:eastAsia="zh-CN"/>
        </w:rPr>
        <w:t xml:space="preserve">     </w:t>
      </w:r>
    </w:p>
    <w:p w14:paraId="4A826F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60A87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466E5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3D7E51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EB9EF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37F7F19">
      <w:pPr>
        <w:spacing w:line="600" w:lineRule="exact"/>
        <w:jc w:val="center"/>
        <w:rPr>
          <w:rStyle w:val="29"/>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4DA2C39E">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0FB7A84">
      <w:pPr>
        <w:pStyle w:val="13"/>
        <w:keepNext w:val="0"/>
        <w:keepLines w:val="0"/>
        <w:pageBreakBefore w:val="0"/>
        <w:widowControl w:val="0"/>
        <w:bidi w:val="0"/>
        <w:spacing w:line="560" w:lineRule="exact"/>
        <w:jc w:val="center"/>
      </w:pPr>
      <w:r>
        <w:rPr>
          <w:rFonts w:hint="eastAsia" w:ascii="Times New Roman" w:hAnsi="Times New Roman" w:eastAsia="方正小标宋简体" w:cs="Times New Roman"/>
          <w:bCs/>
          <w:kern w:val="2"/>
          <w:sz w:val="44"/>
          <w:szCs w:val="44"/>
          <w:highlight w:val="none"/>
          <w:shd w:val="clear" w:color="auto" w:fill="FFFFFF"/>
          <w:lang w:val="en-US" w:eastAsia="zh-CN" w:bidi="ar-SA"/>
        </w:rPr>
        <w:t>巴中市恩阳区人民检察院</w:t>
      </w:r>
    </w:p>
    <w:p w14:paraId="390EA758"/>
    <w:p w14:paraId="70964F5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Cs/>
          <w:sz w:val="44"/>
          <w:szCs w:val="44"/>
          <w:highlight w:val="none"/>
          <w:shd w:val="clear" w:color="auto" w:fill="FFFFFF"/>
          <w:lang w:bidi="ar-SA"/>
        </w:rPr>
      </w:pPr>
      <w:r>
        <w:rPr>
          <w:rFonts w:hint="eastAsia" w:ascii="Times New Roman" w:hAnsi="Times New Roman" w:eastAsia="方正小标宋简体" w:cs="Times New Roman"/>
          <w:bCs/>
          <w:sz w:val="44"/>
          <w:szCs w:val="44"/>
          <w:highlight w:val="none"/>
          <w:shd w:val="clear" w:color="auto" w:fill="FFFFFF"/>
          <w:lang w:val="en-US" w:eastAsia="zh-CN" w:bidi="ar-SA"/>
        </w:rPr>
        <w:t>2025年度</w:t>
      </w:r>
      <w:r>
        <w:rPr>
          <w:rFonts w:hint="default" w:ascii="Times New Roman" w:hAnsi="Times New Roman" w:eastAsia="方正小标宋简体" w:cs="Times New Roman"/>
          <w:bCs/>
          <w:sz w:val="44"/>
          <w:szCs w:val="44"/>
          <w:highlight w:val="none"/>
          <w:shd w:val="clear" w:color="auto" w:fill="FFFFFF"/>
          <w:lang w:bidi="ar-SA"/>
        </w:rPr>
        <w:t>部门</w:t>
      </w:r>
      <w:r>
        <w:rPr>
          <w:rFonts w:hint="default" w:ascii="Times New Roman" w:hAnsi="Times New Roman" w:eastAsia="方正小标宋简体" w:cs="Times New Roman"/>
          <w:bCs/>
          <w:sz w:val="44"/>
          <w:szCs w:val="44"/>
          <w:highlight w:val="none"/>
          <w:shd w:val="clear" w:color="auto" w:fill="FFFFFF"/>
          <w:lang w:eastAsia="zh-CN" w:bidi="ar-SA"/>
        </w:rPr>
        <w:t>预算</w:t>
      </w:r>
      <w:r>
        <w:rPr>
          <w:rFonts w:ascii="Times New Roman" w:hAnsi="Times New Roman" w:eastAsia="方正小标宋简体" w:cs="Times New Roman"/>
          <w:bCs/>
          <w:sz w:val="44"/>
          <w:szCs w:val="44"/>
          <w:highlight w:val="none"/>
          <w:shd w:val="clear" w:color="auto" w:fill="FFFFFF"/>
          <w:lang w:eastAsia="zh-CN" w:bidi="ar-SA"/>
        </w:rPr>
        <w:t>（整体）</w:t>
      </w:r>
      <w:r>
        <w:rPr>
          <w:rFonts w:hint="default" w:ascii="Times New Roman" w:hAnsi="Times New Roman" w:eastAsia="方正小标宋简体" w:cs="Times New Roman"/>
          <w:bCs/>
          <w:sz w:val="44"/>
          <w:szCs w:val="44"/>
          <w:highlight w:val="none"/>
          <w:shd w:val="clear" w:color="auto" w:fill="FFFFFF"/>
          <w:lang w:bidi="ar-SA"/>
        </w:rPr>
        <w:t>绩效</w:t>
      </w:r>
      <w:r>
        <w:rPr>
          <w:rFonts w:hint="eastAsia" w:eastAsia="方正小标宋简体" w:cs="Times New Roman"/>
          <w:bCs/>
          <w:sz w:val="44"/>
          <w:szCs w:val="44"/>
          <w:highlight w:val="none"/>
          <w:shd w:val="clear" w:color="auto" w:fill="FFFFFF"/>
          <w:lang w:eastAsia="zh-CN" w:bidi="ar-SA"/>
        </w:rPr>
        <w:t>自评</w:t>
      </w:r>
      <w:r>
        <w:rPr>
          <w:rFonts w:hint="default" w:ascii="Times New Roman" w:hAnsi="Times New Roman" w:eastAsia="方正小标宋简体" w:cs="Times New Roman"/>
          <w:bCs/>
          <w:sz w:val="44"/>
          <w:szCs w:val="44"/>
          <w:highlight w:val="none"/>
          <w:shd w:val="clear" w:color="auto" w:fill="FFFFFF"/>
          <w:lang w:bidi="ar-SA"/>
        </w:rPr>
        <w:t>报告</w:t>
      </w:r>
    </w:p>
    <w:p w14:paraId="28B5DB76">
      <w:pPr>
        <w:keepNext w:val="0"/>
        <w:keepLines w:val="0"/>
        <w:pageBreakBefore w:val="0"/>
        <w:widowControl/>
        <w:kinsoku/>
        <w:wordWrap/>
        <w:overflowPunct/>
        <w:topLinePunct w:val="0"/>
        <w:autoSpaceDE/>
        <w:autoSpaceDN/>
        <w:bidi w:val="0"/>
        <w:spacing w:line="560" w:lineRule="exact"/>
        <w:ind w:left="0"/>
        <w:contextualSpacing/>
        <w:jc w:val="center"/>
        <w:textAlignment w:val="auto"/>
        <w:outlineLvl w:val="9"/>
        <w:rPr>
          <w:rFonts w:hint="eastAsia" w:ascii="方正楷体_GBK" w:eastAsia="方正楷体_GBK"/>
          <w:sz w:val="32"/>
          <w:szCs w:val="32"/>
          <w:highlight w:val="none"/>
          <w:shd w:val="clear" w:color="auto" w:fill="FFFFFF"/>
        </w:rPr>
      </w:pPr>
      <w:r>
        <w:rPr>
          <w:rFonts w:hint="eastAsia" w:ascii="方正楷体_GBK" w:eastAsia="方正楷体_GBK"/>
          <w:sz w:val="32"/>
          <w:szCs w:val="32"/>
          <w:highlight w:val="none"/>
          <w:shd w:val="clear" w:color="auto" w:fill="FFFFFF"/>
        </w:rPr>
        <w:t>（报告范围包括机关和下属单位）</w:t>
      </w:r>
    </w:p>
    <w:p w14:paraId="087C217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rPr>
      </w:pPr>
    </w:p>
    <w:p w14:paraId="16350759">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方正黑体_GBK" w:eastAsia="方正黑体_GBK"/>
          <w:sz w:val="32"/>
          <w:szCs w:val="32"/>
        </w:rPr>
      </w:pPr>
      <w:r>
        <w:rPr>
          <w:rFonts w:hint="eastAsia" w:ascii="方正黑体_GBK" w:eastAsia="方正黑体_GBK"/>
          <w:color w:val="000000"/>
          <w:kern w:val="0"/>
          <w:sz w:val="32"/>
          <w:szCs w:val="32"/>
          <w:highlight w:val="none"/>
          <w:shd w:val="clear" w:color="auto" w:fill="FFFFFF"/>
          <w:lang w:val="zh-CN" w:eastAsia="zh-CN"/>
        </w:rPr>
        <w:t>一、部门（单位）基本情况</w:t>
      </w:r>
    </w:p>
    <w:p w14:paraId="1200BE02">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方正楷体_GBK" w:eastAsia="方正楷体_GBK"/>
          <w:color w:val="000000"/>
          <w:kern w:val="0"/>
          <w:sz w:val="32"/>
          <w:szCs w:val="32"/>
          <w:highlight w:val="none"/>
          <w:shd w:val="clear" w:color="auto" w:fill="FFFFFF"/>
          <w:lang w:val="zh-CN" w:eastAsia="zh-CN"/>
        </w:rPr>
      </w:pPr>
      <w:r>
        <w:rPr>
          <w:rFonts w:hint="eastAsia" w:ascii="方正楷体_GBK" w:eastAsia="方正楷体_GBK"/>
          <w:color w:val="000000"/>
          <w:kern w:val="0"/>
          <w:sz w:val="32"/>
          <w:szCs w:val="32"/>
          <w:highlight w:val="none"/>
          <w:shd w:val="clear" w:color="auto" w:fill="FFFFFF"/>
          <w:lang w:val="zh-CN" w:eastAsia="zh-CN"/>
        </w:rPr>
        <w:t>（一）机构组成。</w:t>
      </w:r>
    </w:p>
    <w:p w14:paraId="33783C5D">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巴中市恩阳区人民检察院主要由办公室、政治部（含检务督察部、司法警察大队）、第一检察部（含未成年人检察部）、第二检察部、第三检察部五个部门组成。</w:t>
      </w:r>
    </w:p>
    <w:p w14:paraId="6E80C363">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1.办公室。负责机关文电、会务、机要、档案、保密等工作。协助院领导处理检察政务，组织协调院重要工作部署、重大决策的贯彻实施。承担综合性绩效考核相关工作。起草审核相关文件文稿，处理检察信息。负责领导同志批办事项督查工作。负责本院计划财务管理、预决算执行、国有资产管理、政府采购等工作。负责本院检察技术、案件信息网络安全、办案过程中全程同步录音录像等工作。负责人大代表、政协委员联络工作和特约检察员的联系工作，组织人民监督员工作。</w:t>
      </w:r>
    </w:p>
    <w:p w14:paraId="0A1220C4">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2.政治部。负责本院思想政治工作、新闻宣传、舆论引导、组织人事、教育培训、离退休人员工作。负责本院检务督察工作。负责本院司法警察队伍建设和管理工作，组织司法警察执行办案场所警戒、人员押解和看管等警务事项。</w:t>
      </w:r>
    </w:p>
    <w:p w14:paraId="53FC4313">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3.第一检察部。负责对法律规定由巴中市恩阳区人民检察院办理的刑事案件的审查逮捕、审查起诉、出庭支持公诉、抗诉等工作，开展相关立案监督、侦查监督、审判监督以及相关案件的补充侦查。开展未成年人司法保护和预防未成年人犯罪工作。办理由巴中市恩阳区人民检察院管辖的相关刑事申诉案件。</w:t>
      </w:r>
    </w:p>
    <w:p w14:paraId="17CED439">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4.第二检察部。负责办理向巴中市恩阳区人民检察院申请监督和提请抗诉的民事、行政案件的审查、抗诉。承办对巴中市恩阳区人民法院民事、行政诉讼活动的法律监督，对审判监督程序以外的其他民事、行政审判程序中审判人员的违法行为提出检察建议，对民事、行政执行活动实行法律监督。开展民事支持起诉工作。负责办理法律规定由巴中市恩阳区人民检察院办理的生态环境和资源保护、食品药品安全、国有财产保护、国有土地使用权出让等领域的公益诉讼案件。负责对巴中市恩阳区人民法院开庭审理的公益诉讼案件，派员出席法庭，依照有关规定提出检察建议。办理巴中市恩阳区人民检察院管辖的民事、行政、公益诉讼申诉案件。</w:t>
      </w:r>
    </w:p>
    <w:p w14:paraId="230002D7">
      <w:pPr>
        <w:spacing w:line="580" w:lineRule="exact"/>
        <w:ind w:firstLine="720"/>
        <w:rPr>
          <w:rFonts w:hint="default" w:ascii="方正楷体_GBK" w:eastAsia="方正楷体_GBK"/>
          <w:color w:val="000000"/>
          <w:kern w:val="0"/>
          <w:sz w:val="32"/>
          <w:szCs w:val="32"/>
          <w:highlight w:val="none"/>
          <w:shd w:val="clear" w:color="auto" w:fill="FFFFFF"/>
          <w:lang w:val="zh-CN" w:eastAsia="zh-CN"/>
        </w:rPr>
      </w:pPr>
      <w:r>
        <w:rPr>
          <w:rFonts w:hint="eastAsia" w:ascii="宋体" w:hAnsi="宋体" w:eastAsia="宋体" w:cs="宋体"/>
          <w:color w:val="000000"/>
          <w:sz w:val="32"/>
          <w:szCs w:val="32"/>
          <w:shd w:val="clear" w:color="auto" w:fill="FFFFFF"/>
          <w:lang w:val="zh-CN" w:eastAsia="zh-CN" w:bidi="ar-SA"/>
        </w:rPr>
        <w:t>5.第三检察部。负责对社区矫正机构等执法活动的监督，对刑事判决、裁定执行、强制医疗执行、羁押和办案期限的监督，羁押必要性审查。办理罪犯又犯罪案件。负责对法律规定由巴中市恩阳区人民检察院办理的司法工作人员利用职权实施的非法拘禁、刑讯逼供、非法搜查等侵犯公民权利、损害司法公正犯罪，以及按照刑事诉讼法规定需要人民检察院直接受理的其他重大犯罪案件的侦查。负责受理向巴中市恩阳区人民检察院的控告和申诉。承办巴中市恩阳区人民检察院管辖的国家赔偿案件和国家司法救助案件。负责法律政策研究工作，承担本院检察委员会日常工作。负责案件的统一受理流转、办案流程监控、涉案财物管理、法律文书监管、案件信息公开，统一组织办案质量评查、业务考评和业务统计分析研判等工作。</w:t>
      </w:r>
    </w:p>
    <w:p w14:paraId="59582E7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（二）机构职能。</w:t>
      </w:r>
    </w:p>
    <w:p w14:paraId="707F6205">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1.对公安机关侦查的刑事案件进行审查，决定是否批准逮捕；对公安机关的立案活动、侦查活动是否合法实行监督。</w:t>
      </w:r>
    </w:p>
    <w:p w14:paraId="5C3030EE">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2.对监察委员会移送和公安机关侦查终结的案件进行审查，决定是否起诉、不起诉，并出庭支持公诉。</w:t>
      </w:r>
    </w:p>
    <w:p w14:paraId="64DC9148">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3.对同级人民法院确有错误的判决和裁定，依法提请市人民检察院向中级人民法院抗诉。</w:t>
      </w:r>
    </w:p>
    <w:p w14:paraId="23887829">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4.对同级人民法院的民事和行政诉讼和执行活动实施法律监督。</w:t>
      </w:r>
    </w:p>
    <w:p w14:paraId="5FEFE338">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5.对“4+</w:t>
      </w:r>
      <w:r>
        <w:rPr>
          <w:rFonts w:hint="eastAsia" w:ascii="宋体" w:hAnsi="宋体" w:cs="宋体"/>
          <w:color w:val="000000"/>
          <w:sz w:val="32"/>
          <w:szCs w:val="32"/>
          <w:shd w:val="clear" w:color="auto" w:fill="FFFFFF"/>
          <w:lang w:val="en-US" w:eastAsia="zh-CN" w:bidi="ar-SA"/>
        </w:rPr>
        <w:t>10</w:t>
      </w:r>
      <w:r>
        <w:rPr>
          <w:rFonts w:hint="eastAsia" w:ascii="宋体" w:hAnsi="宋体" w:eastAsia="宋体" w:cs="宋体"/>
          <w:color w:val="000000"/>
          <w:sz w:val="32"/>
          <w:szCs w:val="32"/>
          <w:shd w:val="clear" w:color="auto" w:fill="FFFFFF"/>
          <w:lang w:val="zh-CN" w:eastAsia="zh-CN" w:bidi="ar-SA"/>
        </w:rPr>
        <w:t>”领域提起公益诉讼。</w:t>
      </w:r>
    </w:p>
    <w:p w14:paraId="5DB53CD1">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6.受理单位和个人报案、控告、申诉和检举，接受犯罪人的自首。</w:t>
      </w:r>
    </w:p>
    <w:p w14:paraId="6E3A8456">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7.对刑事案件判决、裁定的执行和监狱、看守所、劳动改造机关的活动是否合法实行法律监督。</w:t>
      </w:r>
    </w:p>
    <w:p w14:paraId="2ED2EE39">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8.负责跨省、市、县区域案件的协查工作。</w:t>
      </w:r>
    </w:p>
    <w:p w14:paraId="54A94D04">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9.对检察工作中具体应用法律进行调研积极参与社会治安综合治理，搞好信息反馈及法制宣传，为上级检察机关和地方党委政府正确决策提供依据。</w:t>
      </w:r>
    </w:p>
    <w:p w14:paraId="451AC5AF">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10.经四川省人民检察院批准对需要直接受理的其他重大犯罪案件进行侦查。</w:t>
      </w:r>
    </w:p>
    <w:p w14:paraId="5E32D78C">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11.负责本院思想政治工作和队伍建设;依法管理检察官和其他检察人员。</w:t>
      </w:r>
    </w:p>
    <w:p w14:paraId="6983A190">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12.制订和实施本院财务装备计划。</w:t>
      </w:r>
    </w:p>
    <w:p w14:paraId="452CDB80">
      <w:pPr>
        <w:spacing w:line="580" w:lineRule="exact"/>
        <w:ind w:firstLine="720"/>
        <w:rPr>
          <w:rFonts w:hint="eastAsia" w:ascii="宋体" w:hAnsi="宋体" w:eastAsia="宋体" w:cs="宋体"/>
          <w:color w:val="000000"/>
          <w:sz w:val="32"/>
          <w:szCs w:val="32"/>
          <w:shd w:val="clear" w:color="auto" w:fill="FFFFFF"/>
          <w:lang w:val="zh-CN" w:eastAsia="zh-CN" w:bidi="ar-SA"/>
        </w:rPr>
      </w:pPr>
      <w:r>
        <w:rPr>
          <w:rFonts w:hint="eastAsia" w:ascii="宋体" w:hAnsi="宋体" w:eastAsia="宋体" w:cs="宋体"/>
          <w:color w:val="000000"/>
          <w:sz w:val="32"/>
          <w:szCs w:val="32"/>
          <w:shd w:val="clear" w:color="auto" w:fill="FFFFFF"/>
          <w:lang w:val="zh-CN" w:eastAsia="zh-CN" w:bidi="ar-SA"/>
        </w:rPr>
        <w:t>13.承办区委、人大以及上级检察机关交办事项。</w:t>
      </w:r>
    </w:p>
    <w:p w14:paraId="467CF0C9">
      <w:pPr>
        <w:spacing w:line="580" w:lineRule="exact"/>
        <w:ind w:firstLine="720"/>
        <w:rPr>
          <w:rFonts w:hint="default" w:ascii="方正楷体_GBK" w:eastAsia="方正楷体_GBK"/>
          <w:bCs/>
          <w:color w:val="000000"/>
          <w:kern w:val="0"/>
          <w:sz w:val="32"/>
          <w:szCs w:val="32"/>
          <w:highlight w:val="none"/>
          <w:shd w:val="clear" w:color="auto" w:fill="FFFFFF"/>
          <w:lang w:val="zh-CN" w:eastAsia="zh-CN"/>
        </w:rPr>
      </w:pPr>
      <w:r>
        <w:rPr>
          <w:rFonts w:hint="eastAsia" w:ascii="宋体" w:hAnsi="宋体" w:eastAsia="宋体" w:cs="宋体"/>
          <w:color w:val="000000"/>
          <w:sz w:val="32"/>
          <w:szCs w:val="32"/>
          <w:shd w:val="clear" w:color="auto" w:fill="FFFFFF"/>
          <w:lang w:val="zh-CN" w:eastAsia="zh-CN" w:bidi="ar-SA"/>
        </w:rPr>
        <w:t>14.法律规定的其他职权。</w:t>
      </w:r>
    </w:p>
    <w:p w14:paraId="786C3D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（三）人员概况。</w:t>
      </w:r>
    </w:p>
    <w:p w14:paraId="0F548706">
      <w:pPr>
        <w:pStyle w:val="8"/>
        <w:ind w:firstLine="640" w:firstLineChars="200"/>
        <w:rPr>
          <w:rFonts w:hint="default" w:ascii="方正楷体_GBK" w:eastAsia="方正楷体_GBK"/>
          <w:bCs/>
          <w:color w:val="000000"/>
          <w:kern w:val="0"/>
          <w:sz w:val="32"/>
          <w:szCs w:val="32"/>
          <w:highlight w:val="none"/>
          <w:shd w:val="clear" w:color="auto" w:fill="FFFFFF"/>
          <w:lang w:val="zh-CN" w:eastAsia="zh-CN"/>
        </w:rPr>
      </w:pPr>
      <w:r>
        <w:rPr>
          <w:rFonts w:hint="eastAsia" w:ascii="宋体" w:hAnsi="宋体" w:eastAsia="宋体" w:cs="宋体"/>
          <w:i w:val="0"/>
          <w:iCs w:val="0"/>
          <w:color w:val="000000"/>
          <w:kern w:val="2"/>
          <w:sz w:val="32"/>
          <w:szCs w:val="32"/>
          <w:shd w:val="clear" w:color="auto" w:fill="FFFFFF"/>
          <w:lang w:val="zh-CN" w:eastAsia="zh-CN" w:bidi="ar-SA"/>
        </w:rPr>
        <w:t>截至202</w:t>
      </w:r>
      <w:r>
        <w:rPr>
          <w:rFonts w:hint="eastAsia" w:ascii="宋体" w:hAnsi="宋体" w:eastAsia="宋体" w:cs="宋体"/>
          <w:i w:val="0"/>
          <w:iCs w:val="0"/>
          <w:color w:val="000000"/>
          <w:kern w:val="2"/>
          <w:sz w:val="32"/>
          <w:szCs w:val="32"/>
          <w:shd w:val="clear" w:color="auto" w:fill="FFFFFF"/>
          <w:lang w:val="en-US" w:eastAsia="zh-CN" w:bidi="ar-SA"/>
        </w:rPr>
        <w:t>5</w:t>
      </w:r>
      <w:r>
        <w:rPr>
          <w:rFonts w:hint="eastAsia" w:ascii="宋体" w:hAnsi="宋体" w:eastAsia="宋体" w:cs="宋体"/>
          <w:i w:val="0"/>
          <w:iCs w:val="0"/>
          <w:color w:val="000000"/>
          <w:kern w:val="2"/>
          <w:sz w:val="32"/>
          <w:szCs w:val="32"/>
          <w:shd w:val="clear" w:color="auto" w:fill="FFFFFF"/>
          <w:lang w:val="zh-CN" w:eastAsia="zh-CN" w:bidi="ar-SA"/>
        </w:rPr>
        <w:t>年末，巴中市恩阳区人民检察院政法类编制</w:t>
      </w:r>
      <w:r>
        <w:rPr>
          <w:rFonts w:hint="eastAsia" w:ascii="宋体" w:hAnsi="宋体" w:eastAsia="宋体" w:cs="宋体"/>
          <w:i w:val="0"/>
          <w:iCs w:val="0"/>
          <w:color w:val="000000"/>
          <w:kern w:val="2"/>
          <w:sz w:val="32"/>
          <w:szCs w:val="32"/>
          <w:shd w:val="clear" w:color="auto" w:fill="FFFFFF"/>
          <w:lang w:val="en-US" w:eastAsia="zh-CN" w:bidi="ar-SA"/>
        </w:rPr>
        <w:t>30名，</w:t>
      </w:r>
      <w:r>
        <w:rPr>
          <w:rFonts w:hint="eastAsia" w:ascii="宋体" w:hAnsi="宋体" w:eastAsia="宋体" w:cs="宋体"/>
          <w:i w:val="0"/>
          <w:iCs w:val="0"/>
          <w:color w:val="000000"/>
          <w:kern w:val="2"/>
          <w:sz w:val="32"/>
          <w:szCs w:val="32"/>
          <w:shd w:val="clear" w:color="auto" w:fill="FFFFFF"/>
          <w:lang w:val="zh-CN" w:eastAsia="zh-CN" w:bidi="ar-SA"/>
        </w:rPr>
        <w:t>事业编制</w:t>
      </w:r>
      <w:r>
        <w:rPr>
          <w:rFonts w:hint="eastAsia" w:ascii="宋体" w:hAnsi="宋体" w:eastAsia="宋体" w:cs="宋体"/>
          <w:i w:val="0"/>
          <w:iCs w:val="0"/>
          <w:color w:val="000000"/>
          <w:kern w:val="2"/>
          <w:sz w:val="32"/>
          <w:szCs w:val="32"/>
          <w:shd w:val="clear" w:color="auto" w:fill="FFFFFF"/>
          <w:lang w:val="en-US" w:eastAsia="zh-CN" w:bidi="ar-SA"/>
        </w:rPr>
        <w:t>5名，</w:t>
      </w:r>
      <w:r>
        <w:rPr>
          <w:rFonts w:hint="eastAsia" w:ascii="宋体" w:hAnsi="宋体" w:eastAsia="宋体" w:cs="宋体"/>
          <w:i w:val="0"/>
          <w:iCs w:val="0"/>
          <w:color w:val="000000"/>
          <w:kern w:val="2"/>
          <w:sz w:val="32"/>
          <w:szCs w:val="32"/>
          <w:shd w:val="clear" w:color="auto" w:fill="FFFFFF"/>
          <w:lang w:val="zh-CN" w:eastAsia="zh-CN" w:bidi="ar-SA"/>
        </w:rPr>
        <w:t>年末实有政法类公务员</w:t>
      </w:r>
      <w:r>
        <w:rPr>
          <w:rFonts w:hint="eastAsia" w:ascii="宋体" w:hAnsi="宋体" w:eastAsia="宋体" w:cs="宋体"/>
          <w:i w:val="0"/>
          <w:iCs w:val="0"/>
          <w:color w:val="000000"/>
          <w:kern w:val="2"/>
          <w:sz w:val="32"/>
          <w:szCs w:val="32"/>
          <w:shd w:val="clear" w:color="auto" w:fill="FFFFFF"/>
          <w:lang w:val="en-US" w:eastAsia="zh-CN" w:bidi="ar-SA"/>
        </w:rPr>
        <w:t>28</w:t>
      </w:r>
      <w:r>
        <w:rPr>
          <w:rFonts w:hint="eastAsia" w:ascii="宋体" w:hAnsi="宋体" w:eastAsia="宋体" w:cs="宋体"/>
          <w:i w:val="0"/>
          <w:iCs w:val="0"/>
          <w:color w:val="000000"/>
          <w:kern w:val="2"/>
          <w:sz w:val="32"/>
          <w:szCs w:val="32"/>
          <w:shd w:val="clear" w:color="auto" w:fill="FFFFFF"/>
          <w:lang w:val="zh-CN" w:eastAsia="zh-CN" w:bidi="ar-SA"/>
        </w:rPr>
        <w:t>人，事业人员4人</w:t>
      </w:r>
      <w:r>
        <w:rPr>
          <w:rFonts w:hint="eastAsia" w:ascii="宋体" w:hAnsi="宋体" w:eastAsia="宋体" w:cs="宋体"/>
          <w:i w:val="0"/>
          <w:iCs w:val="0"/>
          <w:color w:val="000000"/>
          <w:kern w:val="2"/>
          <w:sz w:val="32"/>
          <w:szCs w:val="32"/>
          <w:shd w:val="clear" w:color="auto" w:fill="FFFFFF"/>
          <w:lang w:val="en-US" w:eastAsia="zh-CN" w:bidi="ar-SA"/>
        </w:rPr>
        <w:t>,聘用制书记员11人，控制性工勤9人</w:t>
      </w:r>
      <w:r>
        <w:rPr>
          <w:rFonts w:hint="eastAsia" w:ascii="宋体" w:hAnsi="宋体" w:eastAsia="宋体" w:cs="宋体"/>
          <w:i w:val="0"/>
          <w:iCs w:val="0"/>
          <w:color w:val="000000"/>
          <w:kern w:val="2"/>
          <w:sz w:val="32"/>
          <w:szCs w:val="32"/>
          <w:shd w:val="clear" w:color="auto" w:fill="FFFFFF"/>
          <w:lang w:val="zh-CN" w:eastAsia="zh-CN" w:bidi="ar-SA"/>
        </w:rPr>
        <w:t>。</w:t>
      </w:r>
    </w:p>
    <w:p w14:paraId="0A95B17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黑体_GBK" w:eastAsia="方正黑体_GBK"/>
          <w:color w:val="000000"/>
          <w:kern w:val="0"/>
          <w:sz w:val="32"/>
          <w:szCs w:val="32"/>
          <w:highlight w:val="none"/>
          <w:shd w:val="clear" w:color="auto" w:fill="FFFFFF"/>
        </w:rPr>
      </w:pPr>
      <w:r>
        <w:rPr>
          <w:rFonts w:hint="eastAsia" w:ascii="方正黑体_GBK" w:eastAsia="方正黑体_GBK"/>
          <w:color w:val="000000"/>
          <w:kern w:val="0"/>
          <w:sz w:val="32"/>
          <w:szCs w:val="32"/>
          <w:highlight w:val="none"/>
          <w:shd w:val="clear" w:color="auto" w:fill="FFFFFF"/>
        </w:rPr>
        <w:t>二、</w:t>
      </w:r>
      <w:r>
        <w:rPr>
          <w:rFonts w:hint="eastAsia" w:ascii="方正黑体_GBK" w:eastAsia="方正黑体_GBK"/>
          <w:color w:val="000000"/>
          <w:kern w:val="0"/>
          <w:sz w:val="32"/>
          <w:szCs w:val="32"/>
          <w:highlight w:val="none"/>
          <w:shd w:val="clear" w:color="auto" w:fill="FFFFFF"/>
          <w:lang w:eastAsia="zh-CN"/>
        </w:rPr>
        <w:t>部门</w:t>
      </w:r>
      <w:r>
        <w:rPr>
          <w:rFonts w:hint="eastAsia" w:ascii="方正黑体_GBK" w:eastAsia="方正黑体_GBK"/>
          <w:color w:val="000000"/>
          <w:kern w:val="0"/>
          <w:sz w:val="32"/>
          <w:szCs w:val="32"/>
          <w:highlight w:val="none"/>
          <w:shd w:val="clear" w:color="auto" w:fill="FFFFFF"/>
        </w:rPr>
        <w:t>资金收支情况</w:t>
      </w:r>
    </w:p>
    <w:p w14:paraId="054EB29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（一）收入情况。</w:t>
      </w:r>
    </w:p>
    <w:p w14:paraId="67013BA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宋体" w:hAnsi="宋体" w:eastAsia="宋体" w:cs="宋体"/>
          <w:i w:val="0"/>
          <w:iCs w:val="0"/>
          <w:color w:val="000000"/>
          <w:kern w:val="2"/>
          <w:sz w:val="32"/>
          <w:szCs w:val="32"/>
          <w:shd w:val="clear" w:color="auto" w:fill="FFFFFF"/>
          <w:lang w:val="zh-CN" w:eastAsia="zh-CN" w:bidi="ar-SA"/>
        </w:rPr>
        <w:t>巴中市恩阳区人民检察院202</w:t>
      </w:r>
      <w:r>
        <w:rPr>
          <w:rFonts w:hint="eastAsia" w:ascii="宋体" w:hAnsi="宋体" w:eastAsia="宋体" w:cs="宋体"/>
          <w:i w:val="0"/>
          <w:iCs w:val="0"/>
          <w:color w:val="000000"/>
          <w:kern w:val="2"/>
          <w:sz w:val="32"/>
          <w:szCs w:val="32"/>
          <w:shd w:val="clear" w:color="auto" w:fill="FFFFFF"/>
          <w:lang w:val="en-US" w:eastAsia="zh-CN" w:bidi="ar-SA"/>
        </w:rPr>
        <w:t>5</w:t>
      </w:r>
      <w:r>
        <w:rPr>
          <w:rFonts w:hint="eastAsia" w:ascii="宋体" w:hAnsi="宋体" w:eastAsia="宋体" w:cs="宋体"/>
          <w:i w:val="0"/>
          <w:iCs w:val="0"/>
          <w:color w:val="000000"/>
          <w:kern w:val="2"/>
          <w:sz w:val="32"/>
          <w:szCs w:val="32"/>
          <w:shd w:val="clear" w:color="auto" w:fill="FFFFFF"/>
          <w:lang w:val="zh-CN" w:eastAsia="zh-CN" w:bidi="ar-SA"/>
        </w:rPr>
        <w:t>年年初预算收入</w:t>
      </w:r>
      <w:r>
        <w:rPr>
          <w:rFonts w:hint="eastAsia" w:ascii="宋体" w:hAnsi="宋体" w:eastAsia="宋体" w:cs="宋体"/>
          <w:i w:val="0"/>
          <w:iCs w:val="0"/>
          <w:color w:val="000000"/>
          <w:kern w:val="2"/>
          <w:sz w:val="32"/>
          <w:szCs w:val="32"/>
          <w:shd w:val="clear" w:color="auto" w:fill="FFFFFF"/>
          <w:lang w:val="en-US" w:eastAsia="zh-CN" w:bidi="ar-SA"/>
        </w:rPr>
        <w:t>722.49万元</w:t>
      </w:r>
      <w:r>
        <w:rPr>
          <w:rFonts w:hint="eastAsia" w:ascii="宋体" w:hAnsi="宋体" w:eastAsia="宋体" w:cs="宋体"/>
          <w:i w:val="0"/>
          <w:iCs w:val="0"/>
          <w:color w:val="000000"/>
          <w:kern w:val="2"/>
          <w:sz w:val="32"/>
          <w:szCs w:val="32"/>
          <w:shd w:val="clear" w:color="auto" w:fill="FFFFFF"/>
          <w:lang w:val="zh-CN" w:eastAsia="zh-CN" w:bidi="ar-SA"/>
        </w:rPr>
        <w:t>，全部为一般公共预算拨款收入，部门决算收入</w:t>
      </w:r>
      <w:r>
        <w:rPr>
          <w:rFonts w:hint="eastAsia" w:ascii="宋体" w:hAnsi="宋体" w:eastAsia="宋体" w:cs="宋体"/>
          <w:i w:val="0"/>
          <w:iCs w:val="0"/>
          <w:color w:val="000000"/>
          <w:kern w:val="2"/>
          <w:sz w:val="32"/>
          <w:szCs w:val="32"/>
          <w:shd w:val="clear" w:color="auto" w:fill="FFFFFF"/>
          <w:lang w:val="en-US" w:eastAsia="zh-CN" w:bidi="ar-SA"/>
        </w:rPr>
        <w:t>913万元，</w:t>
      </w:r>
      <w:r>
        <w:rPr>
          <w:rFonts w:hint="eastAsia" w:ascii="宋体" w:hAnsi="宋体" w:eastAsia="宋体" w:cs="宋体"/>
          <w:i w:val="0"/>
          <w:iCs w:val="0"/>
          <w:color w:val="000000"/>
          <w:kern w:val="2"/>
          <w:sz w:val="32"/>
          <w:szCs w:val="32"/>
          <w:shd w:val="clear" w:color="auto" w:fill="FFFFFF"/>
          <w:lang w:val="zh-CN" w:eastAsia="zh-CN" w:bidi="ar-SA"/>
        </w:rPr>
        <w:t>全部为一般公共预算拨款收入。</w:t>
      </w:r>
    </w:p>
    <w:p w14:paraId="2917339B">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支出情况。</w:t>
      </w:r>
    </w:p>
    <w:p w14:paraId="35C25A2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zh-CN" w:eastAsia="zh-CN" w:bidi="ar-SA"/>
        </w:rPr>
        <w:t>巴中市恩阳区人民检察院</w:t>
      </w:r>
      <w:r>
        <w:rPr>
          <w:rFonts w:hint="default" w:ascii="宋体" w:hAnsi="宋体" w:eastAsia="宋体" w:cs="宋体"/>
          <w:i w:val="0"/>
          <w:iCs w:val="0"/>
          <w:color w:val="000000"/>
          <w:kern w:val="2"/>
          <w:sz w:val="32"/>
          <w:szCs w:val="32"/>
          <w:shd w:val="clear" w:color="auto" w:fill="FFFFFF"/>
          <w:lang w:val="en-US" w:eastAsia="zh-CN" w:bidi="ar-SA"/>
        </w:rPr>
        <w:t>202</w:t>
      </w:r>
      <w:r>
        <w:rPr>
          <w:rFonts w:hint="eastAsia" w:ascii="宋体" w:hAnsi="宋体" w:eastAsia="宋体" w:cs="宋体"/>
          <w:i w:val="0"/>
          <w:iCs w:val="0"/>
          <w:color w:val="000000"/>
          <w:kern w:val="2"/>
          <w:sz w:val="32"/>
          <w:szCs w:val="32"/>
          <w:shd w:val="clear" w:color="auto" w:fill="FFFFFF"/>
          <w:lang w:val="en-US" w:eastAsia="zh-CN" w:bidi="ar-SA"/>
        </w:rPr>
        <w:t>5</w:t>
      </w:r>
      <w:r>
        <w:rPr>
          <w:rFonts w:hint="default" w:ascii="宋体" w:hAnsi="宋体" w:eastAsia="宋体" w:cs="宋体"/>
          <w:i w:val="0"/>
          <w:iCs w:val="0"/>
          <w:color w:val="000000"/>
          <w:kern w:val="2"/>
          <w:sz w:val="32"/>
          <w:szCs w:val="32"/>
          <w:shd w:val="clear" w:color="auto" w:fill="FFFFFF"/>
          <w:lang w:val="en-US" w:eastAsia="zh-CN" w:bidi="ar-SA"/>
        </w:rPr>
        <w:t>年年初预算支出</w:t>
      </w:r>
      <w:r>
        <w:rPr>
          <w:rFonts w:hint="eastAsia" w:ascii="宋体" w:hAnsi="宋体" w:eastAsia="宋体" w:cs="宋体"/>
          <w:i w:val="0"/>
          <w:iCs w:val="0"/>
          <w:color w:val="000000"/>
          <w:kern w:val="2"/>
          <w:sz w:val="32"/>
          <w:szCs w:val="32"/>
          <w:shd w:val="clear" w:color="auto" w:fill="FFFFFF"/>
          <w:lang w:val="en-US" w:eastAsia="zh-CN" w:bidi="ar-SA"/>
        </w:rPr>
        <w:t>722.49万元，</w:t>
      </w:r>
      <w:r>
        <w:rPr>
          <w:rFonts w:hint="eastAsia" w:ascii="宋体" w:hAnsi="宋体" w:eastAsia="宋体" w:cs="宋体"/>
          <w:i w:val="0"/>
          <w:iCs w:val="0"/>
          <w:color w:val="000000"/>
          <w:kern w:val="2"/>
          <w:sz w:val="32"/>
          <w:szCs w:val="32"/>
          <w:shd w:val="clear" w:color="auto" w:fill="FFFFFF"/>
          <w:lang w:val="zh-CN" w:eastAsia="zh-CN" w:bidi="ar-SA"/>
        </w:rPr>
        <w:t>部门决算</w:t>
      </w:r>
      <w:r>
        <w:rPr>
          <w:rFonts w:hint="default" w:ascii="宋体" w:hAnsi="宋体" w:eastAsia="宋体" w:cs="宋体"/>
          <w:i w:val="0"/>
          <w:iCs w:val="0"/>
          <w:color w:val="000000"/>
          <w:kern w:val="2"/>
          <w:sz w:val="32"/>
          <w:szCs w:val="32"/>
          <w:shd w:val="clear" w:color="auto" w:fill="FFFFFF"/>
          <w:lang w:val="en-US" w:eastAsia="zh-CN" w:bidi="ar-SA"/>
        </w:rPr>
        <w:t>支</w:t>
      </w:r>
      <w:r>
        <w:rPr>
          <w:rFonts w:hint="eastAsia" w:ascii="宋体" w:hAnsi="宋体" w:eastAsia="宋体" w:cs="宋体"/>
          <w:i w:val="0"/>
          <w:iCs w:val="0"/>
          <w:color w:val="000000"/>
          <w:kern w:val="2"/>
          <w:sz w:val="32"/>
          <w:szCs w:val="32"/>
          <w:shd w:val="clear" w:color="auto" w:fill="FFFFFF"/>
          <w:lang w:val="zh-CN" w:eastAsia="zh-CN" w:bidi="ar-SA"/>
        </w:rPr>
        <w:t>出</w:t>
      </w:r>
      <w:r>
        <w:rPr>
          <w:rFonts w:hint="eastAsia" w:ascii="宋体" w:hAnsi="宋体" w:eastAsia="宋体" w:cs="宋体"/>
          <w:i w:val="0"/>
          <w:iCs w:val="0"/>
          <w:color w:val="000000"/>
          <w:kern w:val="2"/>
          <w:sz w:val="32"/>
          <w:szCs w:val="32"/>
          <w:shd w:val="clear" w:color="auto" w:fill="FFFFFF"/>
          <w:lang w:val="en-US" w:eastAsia="zh-CN" w:bidi="ar-SA"/>
        </w:rPr>
        <w:t>913万元</w:t>
      </w:r>
      <w:r>
        <w:rPr>
          <w:rFonts w:hint="default" w:ascii="宋体" w:hAnsi="宋体" w:eastAsia="宋体" w:cs="宋体"/>
          <w:i w:val="0"/>
          <w:iCs w:val="0"/>
          <w:color w:val="000000"/>
          <w:kern w:val="2"/>
          <w:sz w:val="32"/>
          <w:szCs w:val="32"/>
          <w:shd w:val="clear" w:color="auto" w:fill="FFFFFF"/>
          <w:lang w:val="en-US" w:eastAsia="zh-CN" w:bidi="ar-SA"/>
        </w:rPr>
        <w:t>，其中基本支出</w:t>
      </w:r>
      <w:r>
        <w:rPr>
          <w:rFonts w:hint="eastAsia" w:ascii="仿宋_GB2312" w:hAnsi="仿宋" w:eastAsia="仿宋_GB2312"/>
          <w:sz w:val="32"/>
          <w:szCs w:val="32"/>
          <w:lang w:val="en-US" w:eastAsia="zh-CN"/>
        </w:rPr>
        <w:t>652.37</w:t>
      </w:r>
      <w:r>
        <w:rPr>
          <w:rFonts w:hint="default" w:ascii="宋体" w:hAnsi="宋体" w:eastAsia="宋体" w:cs="宋体"/>
          <w:i w:val="0"/>
          <w:iCs w:val="0"/>
          <w:color w:val="000000"/>
          <w:kern w:val="2"/>
          <w:sz w:val="32"/>
          <w:szCs w:val="32"/>
          <w:shd w:val="clear" w:color="auto" w:fill="FFFFFF"/>
          <w:lang w:val="en-US" w:eastAsia="zh-CN" w:bidi="ar-SA"/>
        </w:rPr>
        <w:t>万元；项目支出</w:t>
      </w:r>
      <w:r>
        <w:rPr>
          <w:rFonts w:hint="eastAsia" w:ascii="仿宋_GB2312" w:hAnsi="仿宋" w:eastAsia="仿宋_GB2312"/>
          <w:sz w:val="32"/>
          <w:szCs w:val="32"/>
          <w:lang w:val="en-US" w:eastAsia="zh-CN"/>
        </w:rPr>
        <w:t>260.63</w:t>
      </w:r>
      <w:r>
        <w:rPr>
          <w:rFonts w:hint="default" w:ascii="宋体" w:hAnsi="宋体" w:eastAsia="宋体" w:cs="宋体"/>
          <w:i w:val="0"/>
          <w:iCs w:val="0"/>
          <w:color w:val="000000"/>
          <w:kern w:val="2"/>
          <w:sz w:val="32"/>
          <w:szCs w:val="32"/>
          <w:shd w:val="clear" w:color="auto" w:fill="FFFFFF"/>
          <w:lang w:val="en-US" w:eastAsia="zh-CN" w:bidi="ar-SA"/>
        </w:rPr>
        <w:t>万元</w:t>
      </w:r>
      <w:r>
        <w:rPr>
          <w:rFonts w:hint="eastAsia" w:ascii="宋体" w:hAnsi="宋体" w:eastAsia="宋体" w:cs="宋体"/>
          <w:i w:val="0"/>
          <w:iCs w:val="0"/>
          <w:color w:val="000000"/>
          <w:kern w:val="2"/>
          <w:sz w:val="32"/>
          <w:szCs w:val="32"/>
          <w:shd w:val="clear" w:color="auto" w:fill="FFFFFF"/>
          <w:lang w:val="en-US" w:eastAsia="zh-CN" w:bidi="ar-SA"/>
        </w:rPr>
        <w:t>。</w:t>
      </w:r>
    </w:p>
    <w:p w14:paraId="2A24600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宋体" w:hAnsi="宋体" w:eastAsia="宋体" w:cs="宋体"/>
          <w:i w:val="0"/>
          <w:iCs w:val="0"/>
          <w:color w:val="000000"/>
          <w:kern w:val="2"/>
          <w:sz w:val="32"/>
          <w:szCs w:val="32"/>
          <w:shd w:val="clear" w:color="auto" w:fill="FFFFFF"/>
          <w:lang w:val="zh-CN" w:eastAsia="zh-CN" w:bidi="ar-SA"/>
        </w:rPr>
        <w:t>巴中市恩阳区人民检察院</w:t>
      </w:r>
      <w:r>
        <w:rPr>
          <w:rFonts w:hint="default" w:ascii="宋体" w:hAnsi="宋体" w:eastAsia="宋体" w:cs="宋体"/>
          <w:i w:val="0"/>
          <w:iCs w:val="0"/>
          <w:color w:val="000000"/>
          <w:kern w:val="2"/>
          <w:sz w:val="32"/>
          <w:szCs w:val="32"/>
          <w:shd w:val="clear" w:color="auto" w:fill="FFFFFF"/>
          <w:lang w:val="en-US" w:eastAsia="zh-CN" w:bidi="ar-SA"/>
        </w:rPr>
        <w:t>202</w:t>
      </w:r>
      <w:r>
        <w:rPr>
          <w:rFonts w:hint="eastAsia" w:ascii="宋体" w:hAnsi="宋体" w:eastAsia="宋体" w:cs="宋体"/>
          <w:i w:val="0"/>
          <w:iCs w:val="0"/>
          <w:color w:val="000000"/>
          <w:kern w:val="2"/>
          <w:sz w:val="32"/>
          <w:szCs w:val="32"/>
          <w:shd w:val="clear" w:color="auto" w:fill="FFFFFF"/>
          <w:lang w:val="en-US" w:eastAsia="zh-CN" w:bidi="ar-SA"/>
        </w:rPr>
        <w:t>5</w:t>
      </w:r>
      <w:r>
        <w:rPr>
          <w:rFonts w:hint="default" w:ascii="宋体" w:hAnsi="宋体" w:eastAsia="宋体" w:cs="宋体"/>
          <w:i w:val="0"/>
          <w:iCs w:val="0"/>
          <w:color w:val="000000"/>
          <w:kern w:val="2"/>
          <w:sz w:val="32"/>
          <w:szCs w:val="32"/>
          <w:shd w:val="clear" w:color="auto" w:fill="FFFFFF"/>
          <w:lang w:val="en-US" w:eastAsia="zh-CN" w:bidi="ar-SA"/>
        </w:rPr>
        <w:t>年</w:t>
      </w:r>
      <w:r>
        <w:rPr>
          <w:rFonts w:hint="eastAsia" w:ascii="宋体" w:hAnsi="宋体" w:eastAsia="宋体" w:cs="宋体"/>
          <w:i w:val="0"/>
          <w:iCs w:val="0"/>
          <w:color w:val="000000"/>
          <w:kern w:val="2"/>
          <w:sz w:val="32"/>
          <w:szCs w:val="32"/>
          <w:shd w:val="clear" w:color="auto" w:fill="FFFFFF"/>
          <w:lang w:val="en-US" w:eastAsia="zh-CN" w:bidi="ar-SA"/>
        </w:rPr>
        <w:t>整体支出913万元，完成预算100%</w:t>
      </w:r>
      <w:r>
        <w:rPr>
          <w:rFonts w:hint="eastAsia" w:ascii="宋体" w:hAnsi="宋体" w:eastAsia="宋体" w:cs="宋体"/>
          <w:i w:val="0"/>
          <w:iCs w:val="0"/>
          <w:color w:val="000000"/>
          <w:kern w:val="2"/>
          <w:sz w:val="32"/>
          <w:szCs w:val="32"/>
          <w:shd w:val="clear" w:color="auto" w:fill="FFFFFF"/>
          <w:lang w:val="zh-CN" w:eastAsia="zh-CN" w:bidi="ar-SA"/>
        </w:rPr>
        <w:t>。“中央政法转移支付资金”、“检察业务工作经费”等项目绩效目标均已完成。</w:t>
      </w:r>
    </w:p>
    <w:p w14:paraId="2057C370">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default" w:ascii="方正楷体_GBK" w:eastAsia="方正楷体_GBK"/>
          <w:color w:val="000000"/>
          <w:kern w:val="0"/>
          <w:sz w:val="32"/>
          <w:szCs w:val="32"/>
          <w:shd w:val="clear" w:color="auto" w:fill="FFFFFF"/>
          <w:lang w:val="zh-CN" w:eastAsia="zh-CN"/>
        </w:rPr>
      </w:pPr>
      <w:r>
        <w:rPr>
          <w:rFonts w:hint="eastAsia" w:ascii="方正楷体_GBK" w:eastAsia="方正楷体_GBK"/>
          <w:color w:val="000000"/>
          <w:kern w:val="0"/>
          <w:sz w:val="32"/>
          <w:szCs w:val="32"/>
          <w:shd w:val="clear" w:color="auto" w:fill="FFFFFF"/>
          <w:lang w:val="zh-CN" w:eastAsia="zh-CN"/>
        </w:rPr>
        <w:t>结余分配和结转结余情况。</w:t>
      </w:r>
    </w:p>
    <w:p w14:paraId="7E8BF53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方正楷体_GBK" w:eastAsia="方正楷体_GBK"/>
          <w:color w:val="000000"/>
          <w:kern w:val="0"/>
          <w:sz w:val="32"/>
          <w:szCs w:val="32"/>
          <w:shd w:val="clear" w:color="auto" w:fill="FFFFFF"/>
          <w:lang w:val="zh-CN" w:eastAsia="zh-CN"/>
        </w:rPr>
      </w:pPr>
      <w:r>
        <w:rPr>
          <w:rFonts w:hint="eastAsia" w:ascii="宋体" w:hAnsi="宋体" w:eastAsia="宋体" w:cs="宋体"/>
          <w:i w:val="0"/>
          <w:iCs w:val="0"/>
          <w:color w:val="000000"/>
          <w:kern w:val="2"/>
          <w:sz w:val="32"/>
          <w:szCs w:val="32"/>
          <w:shd w:val="clear" w:color="auto" w:fill="FFFFFF"/>
          <w:lang w:val="zh-CN" w:eastAsia="zh-CN" w:bidi="ar-SA"/>
        </w:rPr>
        <w:t>巴中市恩阳区人民检察院</w:t>
      </w:r>
      <w:r>
        <w:rPr>
          <w:rFonts w:hint="eastAsia" w:ascii="宋体" w:hAnsi="宋体" w:eastAsia="宋体" w:cs="宋体"/>
          <w:i w:val="0"/>
          <w:iCs w:val="0"/>
          <w:color w:val="000000"/>
          <w:kern w:val="2"/>
          <w:sz w:val="32"/>
          <w:szCs w:val="32"/>
          <w:shd w:val="clear" w:color="auto" w:fill="FFFFFF"/>
          <w:lang w:val="en-US" w:eastAsia="zh-CN" w:bidi="ar-SA"/>
        </w:rPr>
        <w:t>2024年决算报表无结转结余的情况。</w:t>
      </w:r>
    </w:p>
    <w:p w14:paraId="2ED78A5E">
      <w:pPr>
        <w:keepNext w:val="0"/>
        <w:keepLines w:val="0"/>
        <w:pageBreakBefore w:val="0"/>
        <w:widowControl/>
        <w:kinsoku/>
        <w:wordWrap/>
        <w:overflowPunct/>
        <w:topLinePunct w:val="0"/>
        <w:autoSpaceDE/>
        <w:autoSpaceDN/>
        <w:adjustRightInd w:val="0"/>
        <w:snapToGrid w:val="0"/>
        <w:spacing w:line="560" w:lineRule="exact"/>
        <w:ind w:firstLine="640" w:firstLineChars="200"/>
        <w:contextualSpacing/>
        <w:jc w:val="left"/>
        <w:rPr>
          <w:rFonts w:hint="eastAsia" w:ascii="方正黑体_GBK" w:eastAsia="方正黑体_GBK"/>
          <w:color w:val="000000"/>
          <w:kern w:val="0"/>
          <w:sz w:val="32"/>
          <w:szCs w:val="32"/>
          <w:highlight w:val="none"/>
          <w:shd w:val="clear" w:color="auto" w:fill="FFFFFF"/>
        </w:rPr>
      </w:pPr>
      <w:r>
        <w:rPr>
          <w:rFonts w:hint="eastAsia" w:ascii="方正黑体_GBK" w:eastAsia="方正黑体_GBK"/>
          <w:color w:val="000000"/>
          <w:kern w:val="0"/>
          <w:sz w:val="32"/>
          <w:szCs w:val="32"/>
          <w:highlight w:val="none"/>
          <w:shd w:val="clear" w:color="auto" w:fill="FFFFFF"/>
        </w:rPr>
        <w:t>三、部门</w:t>
      </w:r>
      <w:r>
        <w:rPr>
          <w:rFonts w:hint="eastAsia" w:ascii="方正黑体_GBK" w:eastAsia="方正黑体_GBK"/>
          <w:color w:val="000000"/>
          <w:kern w:val="0"/>
          <w:sz w:val="32"/>
          <w:szCs w:val="32"/>
          <w:highlight w:val="none"/>
          <w:shd w:val="clear" w:color="auto" w:fill="FFFFFF"/>
          <w:lang w:eastAsia="zh-CN"/>
        </w:rPr>
        <w:t>预算</w:t>
      </w:r>
      <w:r>
        <w:rPr>
          <w:rFonts w:hint="eastAsia" w:ascii="方正黑体_GBK" w:eastAsia="方正黑体_GBK"/>
          <w:color w:val="000000"/>
          <w:kern w:val="0"/>
          <w:sz w:val="32"/>
          <w:szCs w:val="32"/>
          <w:highlight w:val="none"/>
          <w:shd w:val="clear" w:color="auto" w:fill="FFFFFF"/>
        </w:rPr>
        <w:t>绩效</w:t>
      </w:r>
      <w:r>
        <w:rPr>
          <w:rFonts w:hint="eastAsia" w:ascii="方正黑体_GBK" w:eastAsia="方正黑体_GBK"/>
          <w:color w:val="000000"/>
          <w:kern w:val="0"/>
          <w:sz w:val="32"/>
          <w:szCs w:val="32"/>
          <w:highlight w:val="none"/>
          <w:shd w:val="clear" w:color="auto" w:fill="FFFFFF"/>
          <w:lang w:eastAsia="zh-CN"/>
        </w:rPr>
        <w:t>分析</w:t>
      </w:r>
    </w:p>
    <w:p w14:paraId="4BC9F68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宋体" w:hAnsi="宋体" w:eastAsia="宋体" w:cs="宋体"/>
          <w:i w:val="0"/>
          <w:iCs w:val="0"/>
          <w:color w:val="000000"/>
          <w:kern w:val="2"/>
          <w:sz w:val="32"/>
          <w:szCs w:val="32"/>
          <w:shd w:val="clear" w:color="auto" w:fill="FFFFFF"/>
          <w:lang w:val="zh-CN" w:eastAsia="zh-CN" w:bidi="ar-SA"/>
        </w:rPr>
      </w:pPr>
      <w:r>
        <w:rPr>
          <w:rFonts w:hint="eastAsia" w:ascii="宋体" w:hAnsi="宋体" w:eastAsia="宋体" w:cs="宋体"/>
          <w:i w:val="0"/>
          <w:iCs w:val="0"/>
          <w:color w:val="000000"/>
          <w:kern w:val="2"/>
          <w:sz w:val="32"/>
          <w:szCs w:val="32"/>
          <w:shd w:val="clear" w:color="auto" w:fill="FFFFFF"/>
          <w:lang w:val="zh-CN" w:eastAsia="zh-CN" w:bidi="ar-SA"/>
        </w:rPr>
        <w:t>（一）部门预算总体绩效分析，</w:t>
      </w:r>
      <w:r>
        <w:rPr>
          <w:rFonts w:hint="eastAsia" w:ascii="宋体" w:hAnsi="宋体" w:eastAsia="宋体" w:cs="宋体"/>
          <w:i w:val="0"/>
          <w:iCs w:val="0"/>
          <w:color w:val="000000"/>
          <w:kern w:val="2"/>
          <w:sz w:val="32"/>
          <w:szCs w:val="32"/>
          <w:shd w:val="clear" w:color="auto" w:fill="FFFFFF"/>
          <w:lang w:val="en-US" w:eastAsia="zh-CN" w:bidi="ar-SA"/>
        </w:rPr>
        <w:t>2025年度我院</w:t>
      </w:r>
      <w:r>
        <w:rPr>
          <w:rFonts w:hint="default" w:ascii="宋体" w:hAnsi="宋体" w:eastAsia="宋体" w:cs="宋体"/>
          <w:i w:val="0"/>
          <w:iCs w:val="0"/>
          <w:color w:val="000000"/>
          <w:kern w:val="2"/>
          <w:sz w:val="32"/>
          <w:szCs w:val="32"/>
          <w:shd w:val="clear" w:color="auto" w:fill="FFFFFF"/>
          <w:lang w:val="zh-CN" w:eastAsia="zh-CN" w:bidi="ar-SA"/>
        </w:rPr>
        <w:t>总体绩效</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92分</w:t>
      </w:r>
      <w:r>
        <w:rPr>
          <w:rFonts w:hint="eastAsia" w:ascii="宋体" w:hAnsi="宋体" w:eastAsia="宋体" w:cs="宋体"/>
          <w:i w:val="0"/>
          <w:iCs w:val="0"/>
          <w:color w:val="000000"/>
          <w:kern w:val="2"/>
          <w:sz w:val="32"/>
          <w:szCs w:val="32"/>
          <w:shd w:val="clear" w:color="auto" w:fill="FFFFFF"/>
          <w:lang w:val="zh-CN" w:eastAsia="zh-CN" w:bidi="ar-SA"/>
        </w:rPr>
        <w:t>，具体情况如下：</w:t>
      </w:r>
    </w:p>
    <w:p w14:paraId="27DD031B">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1.履职效能。</w:t>
      </w:r>
    </w:p>
    <w:p w14:paraId="757A34D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宋体" w:hAnsi="宋体" w:eastAsia="宋体" w:cs="宋体"/>
          <w:i w:val="0"/>
          <w:iCs w:val="0"/>
          <w:color w:val="000000"/>
          <w:kern w:val="2"/>
          <w:sz w:val="32"/>
          <w:szCs w:val="32"/>
          <w:shd w:val="clear" w:color="auto" w:fill="FFFFFF"/>
          <w:lang w:val="en-US" w:eastAsia="zh-CN" w:bidi="ar-SA"/>
        </w:rPr>
      </w:pPr>
      <w:bookmarkStart w:id="53" w:name="OLE_LINK5"/>
      <w:r>
        <w:rPr>
          <w:rFonts w:hint="default" w:ascii="宋体" w:hAnsi="宋体" w:eastAsia="宋体" w:cs="宋体"/>
          <w:i w:val="0"/>
          <w:iCs w:val="0"/>
          <w:color w:val="000000"/>
          <w:kern w:val="2"/>
          <w:sz w:val="32"/>
          <w:szCs w:val="32"/>
          <w:shd w:val="clear" w:color="auto" w:fill="FFFFFF"/>
          <w:lang w:val="en-US" w:eastAsia="zh-CN" w:bidi="ar-SA"/>
        </w:rPr>
        <w:t>202</w:t>
      </w:r>
      <w:r>
        <w:rPr>
          <w:rFonts w:hint="eastAsia" w:ascii="宋体" w:hAnsi="宋体" w:eastAsia="宋体" w:cs="宋体"/>
          <w:i w:val="0"/>
          <w:iCs w:val="0"/>
          <w:color w:val="000000"/>
          <w:kern w:val="2"/>
          <w:sz w:val="32"/>
          <w:szCs w:val="32"/>
          <w:shd w:val="clear" w:color="auto" w:fill="FFFFFF"/>
          <w:lang w:val="en-US" w:eastAsia="zh-CN" w:bidi="ar-SA"/>
        </w:rPr>
        <w:t>5</w:t>
      </w:r>
      <w:r>
        <w:rPr>
          <w:rFonts w:hint="default" w:ascii="宋体" w:hAnsi="宋体" w:eastAsia="宋体" w:cs="宋体"/>
          <w:i w:val="0"/>
          <w:iCs w:val="0"/>
          <w:color w:val="000000"/>
          <w:kern w:val="2"/>
          <w:sz w:val="32"/>
          <w:szCs w:val="32"/>
          <w:shd w:val="clear" w:color="auto" w:fill="FFFFFF"/>
          <w:lang w:val="en-US" w:eastAsia="zh-CN" w:bidi="ar-SA"/>
        </w:rPr>
        <w:t>年，恩阳区人民检察院在区委和市检察院的坚强领导</w:t>
      </w:r>
      <w:r>
        <w:rPr>
          <w:rFonts w:hint="eastAsia" w:ascii="宋体" w:hAnsi="宋体" w:eastAsia="宋体" w:cs="宋体"/>
          <w:i w:val="0"/>
          <w:iCs w:val="0"/>
          <w:color w:val="000000"/>
          <w:kern w:val="2"/>
          <w:sz w:val="32"/>
          <w:szCs w:val="32"/>
          <w:shd w:val="clear" w:color="auto" w:fill="FFFFFF"/>
          <w:lang w:val="en-US" w:eastAsia="zh-CN" w:bidi="ar-SA"/>
        </w:rPr>
        <w:t>下，</w:t>
      </w:r>
      <w:r>
        <w:rPr>
          <w:rFonts w:hint="default" w:ascii="宋体" w:hAnsi="宋体" w:eastAsia="宋体" w:cs="宋体"/>
          <w:i w:val="0"/>
          <w:iCs w:val="0"/>
          <w:color w:val="000000"/>
          <w:kern w:val="2"/>
          <w:sz w:val="32"/>
          <w:szCs w:val="32"/>
          <w:shd w:val="clear" w:color="auto" w:fill="FFFFFF"/>
          <w:lang w:val="en-US" w:eastAsia="zh-CN" w:bidi="ar-SA"/>
        </w:rPr>
        <w:t>坚持以习近平新时代中国特色社会主义思想和习近平法治思想为指导，</w:t>
      </w:r>
      <w:r>
        <w:rPr>
          <w:rFonts w:hint="eastAsia" w:ascii="宋体" w:hAnsi="宋体" w:eastAsia="宋体" w:cs="宋体"/>
          <w:i w:val="0"/>
          <w:iCs w:val="0"/>
          <w:color w:val="000000"/>
          <w:kern w:val="2"/>
          <w:sz w:val="32"/>
          <w:szCs w:val="32"/>
          <w:shd w:val="clear" w:color="auto" w:fill="FFFFFF"/>
          <w:lang w:val="en-US" w:eastAsia="zh-CN" w:bidi="ar-SA"/>
        </w:rPr>
        <w:t>深入</w:t>
      </w:r>
      <w:r>
        <w:rPr>
          <w:rFonts w:hint="default" w:ascii="宋体" w:hAnsi="宋体" w:eastAsia="宋体" w:cs="宋体"/>
          <w:i w:val="0"/>
          <w:iCs w:val="0"/>
          <w:color w:val="000000"/>
          <w:kern w:val="2"/>
          <w:sz w:val="32"/>
          <w:szCs w:val="32"/>
          <w:shd w:val="clear" w:color="auto" w:fill="FFFFFF"/>
          <w:lang w:val="en-US" w:eastAsia="zh-CN" w:bidi="ar-SA"/>
        </w:rPr>
        <w:t>贯彻党的</w:t>
      </w:r>
      <w:r>
        <w:rPr>
          <w:rFonts w:hint="eastAsia" w:ascii="宋体" w:hAnsi="宋体" w:eastAsia="宋体" w:cs="宋体"/>
          <w:i w:val="0"/>
          <w:iCs w:val="0"/>
          <w:color w:val="000000"/>
          <w:kern w:val="2"/>
          <w:sz w:val="32"/>
          <w:szCs w:val="32"/>
          <w:shd w:val="clear" w:color="auto" w:fill="FFFFFF"/>
          <w:lang w:val="en-US" w:eastAsia="zh-CN" w:bidi="ar-SA"/>
        </w:rPr>
        <w:t>二十届</w:t>
      </w:r>
      <w:r>
        <w:rPr>
          <w:rFonts w:hint="default" w:ascii="宋体" w:hAnsi="宋体" w:eastAsia="宋体" w:cs="宋体"/>
          <w:i w:val="0"/>
          <w:iCs w:val="0"/>
          <w:color w:val="000000"/>
          <w:kern w:val="2"/>
          <w:sz w:val="32"/>
          <w:szCs w:val="32"/>
          <w:shd w:val="clear" w:color="auto" w:fill="FFFFFF"/>
          <w:lang w:val="en-US" w:eastAsia="zh-CN" w:bidi="ar-SA"/>
        </w:rPr>
        <w:t>三中</w:t>
      </w:r>
      <w:r>
        <w:rPr>
          <w:rFonts w:hint="eastAsia" w:ascii="宋体" w:hAnsi="宋体" w:eastAsia="宋体" w:cs="宋体"/>
          <w:i w:val="0"/>
          <w:iCs w:val="0"/>
          <w:color w:val="000000"/>
          <w:kern w:val="2"/>
          <w:sz w:val="32"/>
          <w:szCs w:val="32"/>
          <w:shd w:val="clear" w:color="auto" w:fill="FFFFFF"/>
          <w:lang w:val="en-US" w:eastAsia="zh-CN" w:bidi="ar-SA"/>
        </w:rPr>
        <w:t>、四中</w:t>
      </w:r>
      <w:r>
        <w:rPr>
          <w:rFonts w:hint="default" w:ascii="宋体" w:hAnsi="宋体" w:eastAsia="宋体" w:cs="宋体"/>
          <w:i w:val="0"/>
          <w:iCs w:val="0"/>
          <w:color w:val="000000"/>
          <w:kern w:val="2"/>
          <w:sz w:val="32"/>
          <w:szCs w:val="32"/>
          <w:shd w:val="clear" w:color="auto" w:fill="FFFFFF"/>
          <w:lang w:val="en-US" w:eastAsia="zh-CN" w:bidi="ar-SA"/>
        </w:rPr>
        <w:t>全会</w:t>
      </w:r>
      <w:r>
        <w:rPr>
          <w:rFonts w:hint="eastAsia" w:ascii="宋体" w:hAnsi="宋体" w:eastAsia="宋体" w:cs="宋体"/>
          <w:i w:val="0"/>
          <w:iCs w:val="0"/>
          <w:color w:val="000000"/>
          <w:kern w:val="2"/>
          <w:sz w:val="32"/>
          <w:szCs w:val="32"/>
          <w:shd w:val="clear" w:color="auto" w:fill="FFFFFF"/>
          <w:lang w:val="en-US" w:eastAsia="zh-CN" w:bidi="ar-SA"/>
        </w:rPr>
        <w:t>精神，全面落实党中央决策部署和省、市、区委工作要求，认真贯彻《中共巴中市委关于促进全市检察工作高质量发展的意见》，按照市检察院党组“1144”发展思路，忠实履行法律监督职责，持续做实高质效办好每一个案件</w:t>
      </w:r>
      <w:r>
        <w:rPr>
          <w:rFonts w:hint="default" w:ascii="宋体" w:hAnsi="宋体" w:eastAsia="宋体" w:cs="宋体"/>
          <w:i w:val="0"/>
          <w:iCs w:val="0"/>
          <w:color w:val="000000"/>
          <w:kern w:val="2"/>
          <w:sz w:val="32"/>
          <w:szCs w:val="32"/>
          <w:shd w:val="clear" w:color="auto" w:fill="FFFFFF"/>
          <w:lang w:val="en-US" w:eastAsia="zh-CN" w:bidi="ar-SA"/>
        </w:rPr>
        <w:t>，</w:t>
      </w:r>
      <w:r>
        <w:rPr>
          <w:rFonts w:hint="eastAsia" w:ascii="宋体" w:hAnsi="宋体" w:eastAsia="宋体" w:cs="宋体"/>
          <w:i w:val="0"/>
          <w:iCs w:val="0"/>
          <w:color w:val="000000"/>
          <w:kern w:val="2"/>
          <w:sz w:val="32"/>
          <w:szCs w:val="32"/>
          <w:shd w:val="clear" w:color="auto" w:fill="FFFFFF"/>
          <w:lang w:val="en-US" w:eastAsia="zh-CN" w:bidi="ar-SA"/>
        </w:rPr>
        <w:t>努力为</w:t>
      </w:r>
      <w:r>
        <w:rPr>
          <w:rFonts w:hint="default" w:ascii="宋体" w:hAnsi="宋体" w:eastAsia="宋体" w:cs="宋体"/>
          <w:i w:val="0"/>
          <w:iCs w:val="0"/>
          <w:color w:val="000000"/>
          <w:kern w:val="2"/>
          <w:sz w:val="32"/>
          <w:szCs w:val="32"/>
          <w:shd w:val="clear" w:color="auto" w:fill="FFFFFF"/>
          <w:lang w:val="en-US" w:eastAsia="zh-CN" w:bidi="ar-SA"/>
        </w:rPr>
        <w:t>加快建设“两地三区”现代化新恩阳</w:t>
      </w:r>
      <w:r>
        <w:rPr>
          <w:rFonts w:hint="eastAsia" w:ascii="宋体" w:hAnsi="宋体" w:eastAsia="宋体" w:cs="宋体"/>
          <w:i w:val="0"/>
          <w:iCs w:val="0"/>
          <w:color w:val="000000"/>
          <w:kern w:val="2"/>
          <w:sz w:val="32"/>
          <w:szCs w:val="32"/>
          <w:shd w:val="clear" w:color="auto" w:fill="FFFFFF"/>
          <w:lang w:val="en-US" w:eastAsia="zh-CN" w:bidi="ar-SA"/>
        </w:rPr>
        <w:t>作出积极贡献</w:t>
      </w:r>
      <w:r>
        <w:rPr>
          <w:rFonts w:hint="default" w:ascii="宋体" w:hAnsi="宋体" w:eastAsia="宋体" w:cs="宋体"/>
          <w:i w:val="0"/>
          <w:iCs w:val="0"/>
          <w:color w:val="000000"/>
          <w:kern w:val="2"/>
          <w:sz w:val="32"/>
          <w:szCs w:val="32"/>
          <w:shd w:val="clear" w:color="auto" w:fill="FFFFFF"/>
          <w:lang w:val="en-US" w:eastAsia="zh-CN" w:bidi="ar-SA"/>
        </w:rPr>
        <w:t>。</w:t>
      </w:r>
    </w:p>
    <w:p w14:paraId="2C6161F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（1）坚决维护社会安全稳定。贯彻总体国家安全观，依法打击各类刑事犯罪，批准逮捕47人、起诉146人。</w:t>
      </w:r>
      <w:bookmarkStart w:id="54" w:name="OLE_LINK6"/>
      <w:r>
        <w:rPr>
          <w:rFonts w:hint="eastAsia" w:ascii="宋体" w:hAnsi="宋体" w:eastAsia="宋体" w:cs="宋体"/>
          <w:i w:val="0"/>
          <w:iCs w:val="0"/>
          <w:color w:val="000000"/>
          <w:kern w:val="2"/>
          <w:sz w:val="32"/>
          <w:szCs w:val="32"/>
          <w:shd w:val="clear" w:color="auto" w:fill="FFFFFF"/>
          <w:lang w:val="en-US" w:eastAsia="zh-CN" w:bidi="ar-SA"/>
        </w:rPr>
        <w:t>从严惩治故意伤害、强奸等侵犯人身权利犯罪，起诉10人。</w:t>
      </w:r>
      <w:bookmarkEnd w:id="54"/>
      <w:r>
        <w:rPr>
          <w:rFonts w:hint="eastAsia" w:ascii="宋体" w:hAnsi="宋体" w:eastAsia="宋体" w:cs="宋体"/>
          <w:i w:val="0"/>
          <w:iCs w:val="0"/>
          <w:color w:val="000000"/>
          <w:kern w:val="2"/>
          <w:sz w:val="32"/>
          <w:szCs w:val="32"/>
          <w:shd w:val="clear" w:color="auto" w:fill="FFFFFF"/>
          <w:lang w:val="en-US" w:eastAsia="zh-CN" w:bidi="ar-SA"/>
        </w:rPr>
        <w:t>依法惩治“黄赌毒”“盗抢骗”等严重影响人民群众安全感的犯罪，起诉38人。深入推进网络依法治理，批捕电信网络诈骗及关联犯罪10人、起诉21人，成功办理王某某等38人掩饰隐瞒犯罪所得案。深化落实办理醉驾案件的意见，起诉危险驾驶犯罪25人，以高水平安全保障高质量发展。</w:t>
      </w:r>
    </w:p>
    <w:p w14:paraId="42BDB9A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（2）</w:t>
      </w:r>
      <w:r>
        <w:rPr>
          <w:rFonts w:hint="default" w:ascii="宋体" w:hAnsi="宋体" w:eastAsia="宋体" w:cs="宋体"/>
          <w:i w:val="0"/>
          <w:iCs w:val="0"/>
          <w:color w:val="000000"/>
          <w:kern w:val="2"/>
          <w:sz w:val="32"/>
          <w:szCs w:val="32"/>
          <w:shd w:val="clear" w:color="auto" w:fill="FFFFFF"/>
          <w:lang w:val="en-US" w:eastAsia="zh-CN" w:bidi="ar-SA"/>
        </w:rPr>
        <w:t>全力优化法治营商环境。</w:t>
      </w:r>
      <w:r>
        <w:rPr>
          <w:rFonts w:hint="eastAsia" w:ascii="宋体" w:hAnsi="宋体" w:eastAsia="宋体" w:cs="宋体"/>
          <w:i w:val="0"/>
          <w:iCs w:val="0"/>
          <w:color w:val="000000"/>
          <w:kern w:val="2"/>
          <w:sz w:val="32"/>
          <w:szCs w:val="32"/>
          <w:shd w:val="clear" w:color="auto" w:fill="FFFFFF"/>
          <w:lang w:val="en-US" w:eastAsia="zh-CN" w:bidi="ar-SA"/>
        </w:rPr>
        <w:t>依法平等保护各类经营主体，积极开展违规异地执法和趋利性执法司法专项监督</w:t>
      </w:r>
      <w:r>
        <w:rPr>
          <w:rFonts w:hint="default" w:ascii="宋体" w:hAnsi="宋体" w:eastAsia="宋体" w:cs="宋体"/>
          <w:i w:val="0"/>
          <w:iCs w:val="0"/>
          <w:color w:val="000000"/>
          <w:kern w:val="2"/>
          <w:sz w:val="32"/>
          <w:szCs w:val="32"/>
          <w:shd w:val="clear" w:color="auto" w:fill="FFFFFF"/>
          <w:lang w:val="en-US" w:eastAsia="zh-CN" w:bidi="ar-SA"/>
        </w:rPr>
        <w:t>，</w:t>
      </w:r>
      <w:r>
        <w:rPr>
          <w:rFonts w:hint="eastAsia" w:ascii="宋体" w:hAnsi="宋体" w:eastAsia="宋体" w:cs="宋体"/>
          <w:i w:val="0"/>
          <w:iCs w:val="0"/>
          <w:color w:val="000000"/>
          <w:kern w:val="2"/>
          <w:sz w:val="32"/>
          <w:szCs w:val="32"/>
          <w:shd w:val="clear" w:color="auto" w:fill="FFFFFF"/>
          <w:lang w:val="en-US" w:eastAsia="zh-CN" w:bidi="ar-SA"/>
        </w:rPr>
        <w:t>清理涉企刑事“挂案”5</w:t>
      </w:r>
      <w:r>
        <w:rPr>
          <w:rFonts w:hint="default" w:ascii="宋体" w:hAnsi="宋体" w:eastAsia="宋体" w:cs="宋体"/>
          <w:i w:val="0"/>
          <w:iCs w:val="0"/>
          <w:color w:val="000000"/>
          <w:kern w:val="2"/>
          <w:sz w:val="32"/>
          <w:szCs w:val="32"/>
          <w:shd w:val="clear" w:color="auto" w:fill="FFFFFF"/>
          <w:lang w:val="en-US" w:eastAsia="zh-CN" w:bidi="ar-SA"/>
        </w:rPr>
        <w:t>件</w:t>
      </w:r>
      <w:r>
        <w:rPr>
          <w:rFonts w:hint="eastAsia" w:ascii="宋体" w:hAnsi="宋体" w:eastAsia="宋体" w:cs="宋体"/>
          <w:i w:val="0"/>
          <w:iCs w:val="0"/>
          <w:color w:val="000000"/>
          <w:kern w:val="2"/>
          <w:sz w:val="32"/>
          <w:szCs w:val="32"/>
          <w:shd w:val="clear" w:color="auto" w:fill="FFFFFF"/>
          <w:lang w:val="en-US" w:eastAsia="zh-CN" w:bidi="ar-SA"/>
        </w:rPr>
        <w:t>。加大对侵害企业权益犯罪的打击力度，查办一起企业员工利用职务便利侵害公司财产利益案件，帮助企业挽回经济损失30万元。深入推进知识产权保护，办理一起销售假冒注册商标的商品案，维护公平有序的市场环境。在12309检察服务中心设立涉企案件绿色通道，受理涉企控告申诉案件5件，切实维护企业合法权益。畅通涉企社区矫正对象外出生产经营通道，审批涉企社区矫正人员外出6人9次，保障企业正常经营需求。</w:t>
      </w:r>
    </w:p>
    <w:p w14:paraId="6D786D9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3）积极作为促推综合治理。坚持治罪与治理并重，全面准确贯彻宽严相济刑事政策，依法不批捕33人、不起诉83人。依法、规范对175名自愿认罪悔罪的犯罪嫌疑人适用认罪认罚从宽制度，适用率达87.5%。保持反腐败高压态势，受理监委移送职务犯罪11人，起诉8人，为国家挽回经济损失22万元。积极参与社会治安综合治理中心建设，选派检察人员常驻区综治中心“一站式”矛盾纠纷多元化解平台，</w:t>
      </w:r>
      <w:r>
        <w:rPr>
          <w:rFonts w:hint="default" w:ascii="宋体" w:hAnsi="宋体" w:eastAsia="宋体" w:cs="宋体"/>
          <w:i w:val="0"/>
          <w:iCs w:val="0"/>
          <w:color w:val="000000"/>
          <w:kern w:val="2"/>
          <w:sz w:val="32"/>
          <w:szCs w:val="32"/>
          <w:shd w:val="clear" w:color="auto" w:fill="FFFFFF"/>
          <w:lang w:val="en-US" w:eastAsia="zh-CN" w:bidi="ar-SA"/>
        </w:rPr>
        <w:t>以检察职能深度嵌入综合治理</w:t>
      </w:r>
      <w:r>
        <w:rPr>
          <w:rFonts w:hint="eastAsia" w:ascii="宋体" w:hAnsi="宋体" w:eastAsia="宋体" w:cs="宋体"/>
          <w:i w:val="0"/>
          <w:iCs w:val="0"/>
          <w:color w:val="000000"/>
          <w:kern w:val="2"/>
          <w:sz w:val="32"/>
          <w:szCs w:val="32"/>
          <w:shd w:val="clear" w:color="auto" w:fill="FFFFFF"/>
          <w:lang w:val="en-US" w:eastAsia="zh-CN" w:bidi="ar-SA"/>
        </w:rPr>
        <w:t>。结合检察履职办案制发社会治理检察建议5件，实现“办理一案，治理一方”的良好社会效果。</w:t>
      </w:r>
    </w:p>
    <w:p w14:paraId="776ABDD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（4）着力护航成长“筑未来”。</w:t>
      </w:r>
      <w:bookmarkStart w:id="55" w:name="OLE_LINK3"/>
      <w:r>
        <w:rPr>
          <w:rFonts w:hint="eastAsia" w:ascii="宋体" w:hAnsi="宋体" w:eastAsia="宋体" w:cs="宋体"/>
          <w:i w:val="0"/>
          <w:iCs w:val="0"/>
          <w:color w:val="000000"/>
          <w:kern w:val="2"/>
          <w:sz w:val="32"/>
          <w:szCs w:val="32"/>
          <w:shd w:val="clear" w:color="auto" w:fill="FFFFFF"/>
          <w:lang w:val="en-US" w:eastAsia="zh-CN" w:bidi="ar-SA"/>
        </w:rPr>
        <w:t>对侵害未成年人犯罪“零容忍”，依法批捕2人、起诉7人。坚持“预防就是保护，惩治也是挽救”理念，对实施严重暴力犯罪、情节恶劣的未成年人依法起诉2人，对犯罪情节轻微、有悔罪表现的涉案未成年人，依法决定不起诉8人、附条件不起诉2人，封存犯罪记录17份。深化未成年人综合司法保护，对涉罪未成年人开展帮教13次，针对监护缺位、监护不当等问题，开展家庭教育20次，制发督促监护令2份。持续深化“法治进校园”活动，7名法治副校长送法进校园10次。组织全区50余名旅馆经营者，召开以落实强制报告制度为主题的警示教育约谈会，切实把好未成年人“入住关”。</w:t>
      </w:r>
      <w:bookmarkEnd w:id="55"/>
    </w:p>
    <w:p w14:paraId="4D8D4E1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5）切实保障权益“暖民心”。加强劳动者权益保障，依法支持45名劳动者起诉，帮助追索劳动报酬82.2万元。开展“食药安全益路行”专项监督，针对网络销售药品资质不全、自助食品售货机管理不严、高速公路服务区餐饮店经营不规范等问题，发出检察建议5份，保障舌尖上的安全。聚焦视障群体出行安全，督促整改共享单车占用盲道、机场无障碍建设不规范等问题4个，守护视障人士“脚下生命线”。着力保护公民个人隐私和信息安全，督促整改公告栏中未对身份证号等敏感信息去标识化问题4处，织牢个人信息安全“防护网”。守好人民群众的“钱袋子”，原创反诈短视频获评全国“最佳传播作品”。</w:t>
      </w:r>
    </w:p>
    <w:p w14:paraId="6BC81DB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（6）及时回应诉求“纾民忧”。严格贯彻落实《人民检察院信访工作规定》，扎实开展“化解矛盾风险 维护社会稳定”专项治理和涉法涉诉信访化解“百日攻坚”行动，依法化解涉法涉诉矛盾纠纷，受理各类信访案件73件，落实“件件有回复”。常态化开展领导干部接访下访，对3件疑难信访案件落实院领导包案办理，推动矛盾纠纷法治化实质性化解。积极履行国家司法救助职能，向15名生活困难的案件被害人及其近亲属，发放救助金8万元，纾解群众“燃眉之急”。扎实开展社情民意联系日活动，认真倾听群众心声，收集、督办群众诉求16件，帮助解决群众忧心事烦心事。</w:t>
      </w:r>
    </w:p>
    <w:p w14:paraId="29A52A2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（7）</w:t>
      </w:r>
      <w:bookmarkStart w:id="56" w:name="OLE_LINK4"/>
      <w:r>
        <w:rPr>
          <w:rFonts w:hint="eastAsia" w:ascii="宋体" w:hAnsi="宋体" w:eastAsia="宋体" w:cs="宋体"/>
          <w:i w:val="0"/>
          <w:iCs w:val="0"/>
          <w:color w:val="000000"/>
          <w:kern w:val="2"/>
          <w:sz w:val="32"/>
          <w:szCs w:val="32"/>
          <w:shd w:val="clear" w:color="auto" w:fill="FFFFFF"/>
          <w:lang w:val="en-US" w:eastAsia="zh-CN" w:bidi="ar-SA"/>
        </w:rPr>
        <w:t>刑事检察务实笃行</w:t>
      </w:r>
      <w:bookmarkEnd w:id="56"/>
      <w:r>
        <w:rPr>
          <w:rFonts w:hint="eastAsia" w:ascii="宋体" w:hAnsi="宋体" w:eastAsia="宋体" w:cs="宋体"/>
          <w:i w:val="0"/>
          <w:iCs w:val="0"/>
          <w:color w:val="000000"/>
          <w:kern w:val="2"/>
          <w:sz w:val="32"/>
          <w:szCs w:val="32"/>
          <w:shd w:val="clear" w:color="auto" w:fill="FFFFFF"/>
          <w:lang w:val="en-US" w:eastAsia="zh-CN" w:bidi="ar-SA"/>
        </w:rPr>
        <w:t>。加强立案和侦查活动监督，持续落实和完善侦查监督与协作配合机制，提前介入重大、疑难、复杂案件31件，</w:t>
      </w:r>
      <w:r>
        <w:rPr>
          <w:rFonts w:hint="default" w:ascii="宋体" w:hAnsi="宋体" w:eastAsia="宋体" w:cs="宋体"/>
          <w:i w:val="0"/>
          <w:iCs w:val="0"/>
          <w:color w:val="000000"/>
          <w:kern w:val="2"/>
          <w:sz w:val="32"/>
          <w:szCs w:val="32"/>
          <w:shd w:val="clear" w:color="auto" w:fill="FFFFFF"/>
          <w:lang w:val="en-US" w:eastAsia="zh-CN" w:bidi="ar-SA"/>
        </w:rPr>
        <w:t>监督立案</w:t>
      </w:r>
      <w:r>
        <w:rPr>
          <w:rFonts w:hint="eastAsia" w:ascii="宋体" w:hAnsi="宋体" w:eastAsia="宋体" w:cs="宋体"/>
          <w:i w:val="0"/>
          <w:iCs w:val="0"/>
          <w:color w:val="000000"/>
          <w:kern w:val="2"/>
          <w:sz w:val="32"/>
          <w:szCs w:val="32"/>
          <w:shd w:val="clear" w:color="auto" w:fill="FFFFFF"/>
          <w:lang w:val="en-US" w:eastAsia="zh-CN" w:bidi="ar-SA"/>
        </w:rPr>
        <w:t>2件</w:t>
      </w:r>
      <w:r>
        <w:rPr>
          <w:rFonts w:hint="default" w:ascii="宋体" w:hAnsi="宋体" w:eastAsia="宋体" w:cs="宋体"/>
          <w:i w:val="0"/>
          <w:iCs w:val="0"/>
          <w:color w:val="000000"/>
          <w:kern w:val="2"/>
          <w:sz w:val="32"/>
          <w:szCs w:val="32"/>
          <w:shd w:val="clear" w:color="auto" w:fill="FFFFFF"/>
          <w:lang w:val="en-US" w:eastAsia="zh-CN" w:bidi="ar-SA"/>
        </w:rPr>
        <w:t>、撤案</w:t>
      </w:r>
      <w:r>
        <w:rPr>
          <w:rFonts w:hint="eastAsia" w:ascii="宋体" w:hAnsi="宋体" w:eastAsia="宋体" w:cs="宋体"/>
          <w:i w:val="0"/>
          <w:iCs w:val="0"/>
          <w:color w:val="000000"/>
          <w:kern w:val="2"/>
          <w:sz w:val="32"/>
          <w:szCs w:val="32"/>
          <w:shd w:val="clear" w:color="auto" w:fill="FFFFFF"/>
          <w:lang w:val="en-US" w:eastAsia="zh-CN" w:bidi="ar-SA"/>
        </w:rPr>
        <w:t>3</w:t>
      </w:r>
      <w:r>
        <w:rPr>
          <w:rFonts w:hint="default" w:ascii="宋体" w:hAnsi="宋体" w:eastAsia="宋体" w:cs="宋体"/>
          <w:i w:val="0"/>
          <w:iCs w:val="0"/>
          <w:color w:val="000000"/>
          <w:kern w:val="2"/>
          <w:sz w:val="32"/>
          <w:szCs w:val="32"/>
          <w:shd w:val="clear" w:color="auto" w:fill="FFFFFF"/>
          <w:lang w:val="en-US" w:eastAsia="zh-CN" w:bidi="ar-SA"/>
        </w:rPr>
        <w:t>件，纠正漏捕</w:t>
      </w:r>
      <w:r>
        <w:rPr>
          <w:rFonts w:hint="eastAsia" w:ascii="宋体" w:hAnsi="宋体" w:eastAsia="宋体" w:cs="宋体"/>
          <w:i w:val="0"/>
          <w:iCs w:val="0"/>
          <w:color w:val="000000"/>
          <w:kern w:val="2"/>
          <w:sz w:val="32"/>
          <w:szCs w:val="32"/>
          <w:shd w:val="clear" w:color="auto" w:fill="FFFFFF"/>
          <w:lang w:val="en-US" w:eastAsia="zh-CN" w:bidi="ar-SA"/>
        </w:rPr>
        <w:t>2</w:t>
      </w:r>
      <w:r>
        <w:rPr>
          <w:rFonts w:hint="default" w:ascii="宋体" w:hAnsi="宋体" w:eastAsia="宋体" w:cs="宋体"/>
          <w:i w:val="0"/>
          <w:iCs w:val="0"/>
          <w:color w:val="000000"/>
          <w:kern w:val="2"/>
          <w:sz w:val="32"/>
          <w:szCs w:val="32"/>
          <w:shd w:val="clear" w:color="auto" w:fill="FFFFFF"/>
          <w:lang w:val="en-US" w:eastAsia="zh-CN" w:bidi="ar-SA"/>
        </w:rPr>
        <w:t>人，对违法侦查行为提出书面纠正意见</w:t>
      </w:r>
      <w:r>
        <w:rPr>
          <w:rFonts w:hint="eastAsia" w:ascii="宋体" w:hAnsi="宋体" w:eastAsia="宋体" w:cs="宋体"/>
          <w:i w:val="0"/>
          <w:iCs w:val="0"/>
          <w:color w:val="000000"/>
          <w:kern w:val="2"/>
          <w:sz w:val="32"/>
          <w:szCs w:val="32"/>
          <w:shd w:val="clear" w:color="auto" w:fill="FFFFFF"/>
          <w:lang w:val="en-US" w:eastAsia="zh-CN" w:bidi="ar-SA"/>
        </w:rPr>
        <w:t>23</w:t>
      </w:r>
      <w:r>
        <w:rPr>
          <w:rFonts w:hint="default" w:ascii="宋体" w:hAnsi="宋体" w:eastAsia="宋体" w:cs="宋体"/>
          <w:i w:val="0"/>
          <w:iCs w:val="0"/>
          <w:color w:val="000000"/>
          <w:kern w:val="2"/>
          <w:sz w:val="32"/>
          <w:szCs w:val="32"/>
          <w:shd w:val="clear" w:color="auto" w:fill="FFFFFF"/>
          <w:lang w:val="en-US" w:eastAsia="zh-CN" w:bidi="ar-SA"/>
        </w:rPr>
        <w:t>件次</w:t>
      </w:r>
      <w:r>
        <w:rPr>
          <w:rFonts w:hint="eastAsia" w:ascii="宋体" w:hAnsi="宋体" w:eastAsia="宋体" w:cs="宋体"/>
          <w:i w:val="0"/>
          <w:iCs w:val="0"/>
          <w:color w:val="000000"/>
          <w:kern w:val="2"/>
          <w:sz w:val="32"/>
          <w:szCs w:val="32"/>
          <w:shd w:val="clear" w:color="auto" w:fill="FFFFFF"/>
          <w:lang w:val="en-US" w:eastAsia="zh-CN" w:bidi="ar-SA"/>
        </w:rPr>
        <w:t>，排查清理刑事“挂案”19件，清结率达100%。加强刑事审判活动监督，提请抗诉1件，对审判活动违法行为提出监督意见2件。加强刑事执行监督，监督纠正社区矫正、财产刑执行、剥夺政治权利执行等工作中的违法情形18件。制定《综治网格员协助参与社区矫正检察工作的实施办法（试行）》，构建“检察监督+网格协同”新模式，有效激活社区矫正工作“神经末梢”。</w:t>
      </w:r>
    </w:p>
    <w:p w14:paraId="605A14B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8）民事检察稳中有进。着眼人民群众合法民事权益保障，依法办理各类民事诉讼监督案件63件。其中，办理民事生效裁判监督案件4件，发出再审检察建议1件，法院采纳建议启动再审并改判。对不支持监督申请的正确裁判做好释法说理，促进服判息诉。办理民事审判程序监督案件13件，提出检察建议7份。开展涉民事终结本次执行程序监督活动，办理民事执行监督案件11件，发出检察建议6份。深入推进虚假诉讼监督，督促依法纠正一件民间借贷纠纷案。支持老年人、残疾人、妇女等提起民事诉讼35件，切实维护特定群体合法权益。</w:t>
      </w:r>
    </w:p>
    <w:p w14:paraId="58DCD9E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9）行政检察规范高效。充分发挥行政检察“一手托两家”作用，办理各类行政检察案件85件。其中，办理行政生效裁判监督案件2件，发出再审检察建议1件。办理审判程序监督案件7件，发出检察建议5份。监督纠正行政机关执法不规范情形1起，办理行政非诉执行监督案件22件，发出检察建议10份。做实行政执法与刑事司法反向衔接，受理行刑反向衔接案件53件，向行政机关提出检察意见19件。推进行政争议实质性化解，围绕食品药品领域化解行政争议2件。办理的某行政协议检察监督案获评全省优秀案例，被《检察日报》刊载。</w:t>
      </w:r>
    </w:p>
    <w:p w14:paraId="4C346A6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（10）公益诉讼检察标本兼治。</w:t>
      </w:r>
      <w:bookmarkStart w:id="57" w:name="OLE_LINK9"/>
      <w:r>
        <w:rPr>
          <w:rFonts w:hint="eastAsia" w:ascii="宋体" w:hAnsi="宋体" w:eastAsia="宋体" w:cs="宋体"/>
          <w:i w:val="0"/>
          <w:iCs w:val="0"/>
          <w:color w:val="000000"/>
          <w:kern w:val="2"/>
          <w:sz w:val="32"/>
          <w:szCs w:val="32"/>
          <w:shd w:val="clear" w:color="auto" w:fill="FFFFFF"/>
          <w:lang w:val="en-US" w:eastAsia="zh-CN" w:bidi="ar-SA"/>
        </w:rPr>
        <w:t>深入践行“公共利益代表”神圣职责，立案办理公益诉讼案件50件。其中，行政公益诉讼立案43件，发出检察建议33件，提起行政公益诉讼1件；民事公益诉讼立案7件，发出公告5件。</w:t>
      </w:r>
      <w:bookmarkEnd w:id="57"/>
      <w:r>
        <w:rPr>
          <w:rFonts w:hint="eastAsia" w:ascii="宋体" w:hAnsi="宋体" w:eastAsia="宋体" w:cs="宋体"/>
          <w:i w:val="0"/>
          <w:iCs w:val="0"/>
          <w:color w:val="000000"/>
          <w:kern w:val="2"/>
          <w:sz w:val="32"/>
          <w:szCs w:val="32"/>
          <w:shd w:val="clear" w:color="auto" w:fill="FFFFFF"/>
          <w:lang w:val="en-US" w:eastAsia="zh-CN" w:bidi="ar-SA"/>
        </w:rPr>
        <w:t>开展高龄补贴专项监督，清查出死亡人员违规领取高龄补贴60余人，督促行政机关追缴国有资金4万余元。与税务、自规等5部门会签耕地占用税部门协作实施意见，督促征缴非法占用耕地税款及滞纳金32.2万元，共同维护国有财产和耕地安全。</w:t>
      </w:r>
      <w:bookmarkEnd w:id="53"/>
      <w:r>
        <w:rPr>
          <w:rFonts w:hint="eastAsia" w:ascii="宋体" w:hAnsi="宋体" w:eastAsia="宋体" w:cs="宋体"/>
          <w:i w:val="0"/>
          <w:iCs w:val="0"/>
          <w:color w:val="000000"/>
          <w:kern w:val="2"/>
          <w:sz w:val="32"/>
          <w:szCs w:val="32"/>
          <w:shd w:val="clear" w:color="auto" w:fill="FFFFFF"/>
          <w:lang w:val="en-US" w:eastAsia="zh-CN" w:bidi="ar-SA"/>
        </w:rPr>
        <w:t>聚焦涉“三农”重点领域，参与办理的支持省消协诉孙某某、刘某某生产销售不合格化肥案，获评最高检与中国消费者协会首次联合发布的十大典型案例。</w:t>
      </w:r>
    </w:p>
    <w:p w14:paraId="63F78114">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2.预算管理。</w:t>
      </w:r>
    </w:p>
    <w:p w14:paraId="443349EA">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eastAsia" w:ascii="宋体" w:hAnsi="宋体" w:eastAsia="宋体" w:cs="宋体"/>
          <w:i w:val="0"/>
          <w:iCs w:val="0"/>
          <w:color w:val="000000"/>
          <w:kern w:val="2"/>
          <w:sz w:val="32"/>
          <w:szCs w:val="32"/>
          <w:shd w:val="clear" w:color="auto" w:fill="FFFFFF"/>
          <w:lang w:val="en-US" w:eastAsia="zh-CN" w:bidi="ar-SA"/>
        </w:rPr>
      </w:pPr>
      <w:r>
        <w:rPr>
          <w:rFonts w:hint="default" w:ascii="宋体" w:hAnsi="宋体" w:eastAsia="宋体" w:cs="宋体"/>
          <w:i w:val="0"/>
          <w:iCs w:val="0"/>
          <w:color w:val="000000"/>
          <w:kern w:val="2"/>
          <w:sz w:val="32"/>
          <w:szCs w:val="32"/>
          <w:shd w:val="clear" w:color="auto" w:fill="FFFFFF"/>
          <w:lang w:val="zh-CN" w:eastAsia="zh-CN" w:bidi="ar-SA"/>
        </w:rPr>
        <w:t>预算编制质量</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6分，严格按要求编制年初部门预算，年初预算编制的科学性和准确性较高。</w:t>
      </w:r>
    </w:p>
    <w:p w14:paraId="3C6CDE96">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eastAsia" w:ascii="宋体" w:hAnsi="宋体" w:eastAsia="宋体" w:cs="宋体"/>
          <w:i w:val="0"/>
          <w:iCs w:val="0"/>
          <w:color w:val="000000"/>
          <w:kern w:val="2"/>
          <w:sz w:val="32"/>
          <w:szCs w:val="32"/>
          <w:shd w:val="clear" w:color="auto" w:fill="FFFFFF"/>
          <w:lang w:val="en-US" w:eastAsia="zh-CN" w:bidi="ar-SA"/>
        </w:rPr>
      </w:pPr>
      <w:r>
        <w:rPr>
          <w:rFonts w:hint="default" w:ascii="宋体" w:hAnsi="宋体" w:eastAsia="宋体" w:cs="宋体"/>
          <w:i w:val="0"/>
          <w:iCs w:val="0"/>
          <w:color w:val="000000"/>
          <w:kern w:val="2"/>
          <w:sz w:val="32"/>
          <w:szCs w:val="32"/>
          <w:shd w:val="clear" w:color="auto" w:fill="FFFFFF"/>
          <w:lang w:val="zh-CN" w:eastAsia="zh-CN" w:bidi="ar-SA"/>
        </w:rPr>
        <w:t>支出执行进度</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5分，整体支出上半年执行进度较慢。</w:t>
      </w:r>
    </w:p>
    <w:p w14:paraId="157A0CAC">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eastAsia"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预算年终结余</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2分，</w:t>
      </w:r>
      <w:r>
        <w:rPr>
          <w:rFonts w:hint="eastAsia" w:ascii="宋体" w:hAnsi="宋体" w:eastAsia="宋体" w:cs="宋体"/>
          <w:i w:val="0"/>
          <w:iCs w:val="0"/>
          <w:color w:val="000000"/>
          <w:kern w:val="2"/>
          <w:sz w:val="32"/>
          <w:szCs w:val="32"/>
          <w:shd w:val="clear" w:color="auto" w:fill="FFFFFF"/>
          <w:lang w:val="zh-CN" w:eastAsia="zh-CN" w:bidi="ar-SA"/>
        </w:rPr>
        <w:t>部门整体年终预算结余为零。</w:t>
      </w:r>
    </w:p>
    <w:p w14:paraId="432F9CED">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宋体" w:hAnsi="宋体" w:eastAsia="宋体" w:cs="宋体"/>
          <w:i w:val="0"/>
          <w:iCs w:val="0"/>
          <w:color w:val="000000"/>
          <w:kern w:val="2"/>
          <w:sz w:val="32"/>
          <w:szCs w:val="32"/>
          <w:shd w:val="clear" w:color="auto" w:fill="FFFFFF"/>
          <w:lang w:val="zh-CN" w:eastAsia="zh-CN" w:bidi="ar-SA"/>
        </w:rPr>
        <w:t>严控一般性支出</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4.5分，部门2025年度严控“三公”经费、会议、培训、差旅、办节办展、办公设备购置、信息网络及软件购置更新、课题经费等一般性支出。</w:t>
      </w:r>
    </w:p>
    <w:p w14:paraId="3D9AFC30">
      <w:pPr>
        <w:keepNext w:val="0"/>
        <w:keepLines w:val="0"/>
        <w:pageBreakBefore w:val="0"/>
        <w:widowControl w:val="0"/>
        <w:numPr>
          <w:ilvl w:val="0"/>
          <w:numId w:val="3"/>
        </w:numPr>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财务管理。</w:t>
      </w:r>
    </w:p>
    <w:p w14:paraId="45C7869E">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财务管理制度</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4分，部门已制定内部财务管理制度且严格执行管理制度。</w:t>
      </w:r>
    </w:p>
    <w:p w14:paraId="699CCA09">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财务岗位设置</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2分，部门合理设置财务工作岗位，明确职责权限，并严格实行不相容岗位分离。</w:t>
      </w:r>
    </w:p>
    <w:p w14:paraId="0CAD0424">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宋体" w:hAnsi="宋体" w:eastAsia="宋体" w:cs="宋体"/>
          <w:i w:val="0"/>
          <w:iCs w:val="0"/>
          <w:color w:val="000000"/>
          <w:kern w:val="2"/>
          <w:sz w:val="32"/>
          <w:szCs w:val="32"/>
          <w:shd w:val="clear" w:color="auto" w:fill="FFFFFF"/>
          <w:lang w:val="zh-CN" w:eastAsia="zh-CN" w:bidi="ar-SA"/>
        </w:rPr>
        <w:t>资金使用规范</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4分，部门资金使用符合相关财务管理制度规定。</w:t>
      </w:r>
    </w:p>
    <w:p w14:paraId="4697B498">
      <w:pPr>
        <w:keepNext w:val="0"/>
        <w:keepLines w:val="0"/>
        <w:pageBreakBefore w:val="0"/>
        <w:widowControl w:val="0"/>
        <w:numPr>
          <w:ilvl w:val="0"/>
          <w:numId w:val="3"/>
        </w:numPr>
        <w:kinsoku/>
        <w:wordWrap/>
        <w:overflowPunct/>
        <w:topLinePunct w:val="0"/>
        <w:autoSpaceDE/>
        <w:autoSpaceDN/>
        <w:adjustRightInd w:val="0"/>
        <w:snapToGrid w:val="0"/>
        <w:spacing w:line="560" w:lineRule="exact"/>
        <w:ind w:left="0" w:leftChars="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资产管理。</w:t>
      </w:r>
    </w:p>
    <w:p w14:paraId="0EF7BBB1">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人均资产变化率</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2分，</w:t>
      </w:r>
      <w:r>
        <w:rPr>
          <w:rFonts w:hint="default" w:ascii="宋体" w:hAnsi="宋体" w:eastAsia="宋体" w:cs="宋体"/>
          <w:i w:val="0"/>
          <w:iCs w:val="0"/>
          <w:color w:val="000000"/>
          <w:kern w:val="2"/>
          <w:sz w:val="32"/>
          <w:szCs w:val="32"/>
          <w:shd w:val="clear" w:color="auto" w:fill="FFFFFF"/>
          <w:lang w:val="zh-CN" w:eastAsia="zh-CN" w:bidi="ar-SA"/>
        </w:rPr>
        <w:t>人均资产变化率</w:t>
      </w:r>
      <w:r>
        <w:rPr>
          <w:rFonts w:hint="eastAsia" w:ascii="宋体" w:hAnsi="宋体" w:eastAsia="宋体" w:cs="宋体"/>
          <w:i w:val="0"/>
          <w:iCs w:val="0"/>
          <w:color w:val="000000"/>
          <w:kern w:val="2"/>
          <w:sz w:val="32"/>
          <w:szCs w:val="32"/>
          <w:shd w:val="clear" w:color="auto" w:fill="FFFFFF"/>
          <w:lang w:val="en-US" w:eastAsia="zh-CN" w:bidi="ar-SA"/>
        </w:rPr>
        <w:t>为1%，本年度资产无较大</w:t>
      </w:r>
      <w:r>
        <w:rPr>
          <w:rFonts w:hint="default" w:ascii="宋体" w:hAnsi="宋体" w:eastAsia="宋体" w:cs="宋体"/>
          <w:i w:val="0"/>
          <w:iCs w:val="0"/>
          <w:color w:val="000000"/>
          <w:kern w:val="2"/>
          <w:sz w:val="32"/>
          <w:szCs w:val="32"/>
          <w:shd w:val="clear" w:color="auto" w:fill="FFFFFF"/>
          <w:lang w:val="zh-CN" w:eastAsia="zh-CN" w:bidi="ar-SA"/>
        </w:rPr>
        <w:t>变</w:t>
      </w:r>
      <w:r>
        <w:rPr>
          <w:rFonts w:hint="eastAsia" w:ascii="宋体" w:hAnsi="宋体" w:eastAsia="宋体" w:cs="宋体"/>
          <w:i w:val="0"/>
          <w:iCs w:val="0"/>
          <w:color w:val="000000"/>
          <w:kern w:val="2"/>
          <w:sz w:val="32"/>
          <w:szCs w:val="32"/>
          <w:shd w:val="clear" w:color="auto" w:fill="FFFFFF"/>
          <w:lang w:val="zh-CN" w:eastAsia="zh-CN" w:bidi="ar-SA"/>
        </w:rPr>
        <w:t>动。</w:t>
      </w:r>
    </w:p>
    <w:p w14:paraId="13DD1C4F">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资产利用率</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2.5分，部门办公家具和用具及办公设备利用率较高。</w:t>
      </w:r>
    </w:p>
    <w:p w14:paraId="09739902">
      <w:pPr>
        <w:keepNext w:val="0"/>
        <w:keepLines w:val="0"/>
        <w:pageBreakBefore w:val="0"/>
        <w:widowControl w:val="0"/>
        <w:numPr>
          <w:ilvl w:val="0"/>
          <w:numId w:val="0"/>
        </w:numPr>
        <w:kinsoku/>
        <w:wordWrap/>
        <w:overflowPunct/>
        <w:topLinePunct w:val="0"/>
        <w:autoSpaceDE/>
        <w:autoSpaceDN/>
        <w:adjustRightInd w:val="0"/>
        <w:snapToGrid w:val="0"/>
        <w:spacing w:line="560" w:lineRule="exact"/>
        <w:ind w:left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宋体" w:hAnsi="宋体" w:eastAsia="宋体" w:cs="宋体"/>
          <w:i w:val="0"/>
          <w:iCs w:val="0"/>
          <w:color w:val="000000"/>
          <w:kern w:val="2"/>
          <w:sz w:val="32"/>
          <w:szCs w:val="32"/>
          <w:shd w:val="clear" w:color="auto" w:fill="FFFFFF"/>
          <w:lang w:val="zh-CN" w:eastAsia="zh-CN" w:bidi="ar-SA"/>
        </w:rPr>
        <w:t>资产盘活率</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3分，部门无闲置一年以上的资产。</w:t>
      </w:r>
    </w:p>
    <w:p w14:paraId="7FFD0B1B">
      <w:pPr>
        <w:keepNext w:val="0"/>
        <w:keepLines w:val="0"/>
        <w:pageBreakBefore w:val="0"/>
        <w:widowControl w:val="0"/>
        <w:numPr>
          <w:ilvl w:val="0"/>
          <w:numId w:val="3"/>
        </w:numPr>
        <w:kinsoku/>
        <w:wordWrap/>
        <w:overflowPunct/>
        <w:topLinePunct w:val="0"/>
        <w:autoSpaceDE/>
        <w:autoSpaceDN/>
        <w:adjustRightInd w:val="0"/>
        <w:snapToGrid w:val="0"/>
        <w:spacing w:line="560" w:lineRule="exact"/>
        <w:ind w:left="0" w:leftChars="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采购管理。</w:t>
      </w:r>
    </w:p>
    <w:p w14:paraId="6D9830B0">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支持中小企业发展</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3分，</w:t>
      </w:r>
      <w:r>
        <w:rPr>
          <w:rFonts w:hint="default" w:ascii="宋体" w:hAnsi="宋体" w:eastAsia="宋体" w:cs="宋体"/>
          <w:i w:val="0"/>
          <w:iCs w:val="0"/>
          <w:color w:val="000000"/>
          <w:kern w:val="2"/>
          <w:sz w:val="32"/>
          <w:szCs w:val="32"/>
          <w:shd w:val="clear" w:color="auto" w:fill="FFFFFF"/>
          <w:lang w:val="zh-CN" w:eastAsia="zh-CN" w:bidi="ar-SA"/>
        </w:rPr>
        <w:t>部门严格执行政府采购促进中小企业发展相关管理办法</w:t>
      </w:r>
      <w:r>
        <w:rPr>
          <w:rFonts w:hint="eastAsia" w:ascii="宋体" w:hAnsi="宋体" w:eastAsia="宋体" w:cs="宋体"/>
          <w:i w:val="0"/>
          <w:iCs w:val="0"/>
          <w:color w:val="000000"/>
          <w:kern w:val="2"/>
          <w:sz w:val="32"/>
          <w:szCs w:val="32"/>
          <w:shd w:val="clear" w:color="auto" w:fill="FFFFFF"/>
          <w:lang w:val="zh-CN" w:eastAsia="zh-CN" w:bidi="ar-SA"/>
        </w:rPr>
        <w:t>。</w:t>
      </w:r>
    </w:p>
    <w:p w14:paraId="06F772B0">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宋体" w:hAnsi="宋体" w:eastAsia="宋体" w:cs="宋体"/>
          <w:i w:val="0"/>
          <w:iCs w:val="0"/>
          <w:color w:val="000000"/>
          <w:kern w:val="2"/>
          <w:sz w:val="32"/>
          <w:szCs w:val="32"/>
          <w:shd w:val="clear" w:color="auto" w:fill="FFFFFF"/>
          <w:lang w:val="zh-CN" w:eastAsia="zh-CN" w:bidi="ar-SA"/>
        </w:rPr>
        <w:t>采购执行率</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3分，我部门严格按照采购进度支付项目资金。</w:t>
      </w:r>
    </w:p>
    <w:p w14:paraId="63D15EDB">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方正楷体_GBK" w:eastAsia="方正楷体_GBK"/>
          <w:color w:val="000000"/>
          <w:kern w:val="0"/>
          <w:sz w:val="32"/>
          <w:szCs w:val="32"/>
          <w:highlight w:val="none"/>
          <w:shd w:val="clear" w:color="auto" w:fill="FFFFFF"/>
          <w:lang w:val="zh-CN" w:eastAsia="zh-CN"/>
        </w:rPr>
      </w:pPr>
      <w:r>
        <w:rPr>
          <w:rFonts w:hint="eastAsia" w:ascii="方正楷体_GBK" w:eastAsia="方正楷体_GBK"/>
          <w:color w:val="000000"/>
          <w:kern w:val="0"/>
          <w:sz w:val="32"/>
          <w:szCs w:val="32"/>
          <w:highlight w:val="none"/>
          <w:shd w:val="clear" w:color="auto" w:fill="FFFFFF"/>
          <w:lang w:val="zh-CN" w:eastAsia="zh-CN"/>
        </w:rPr>
        <w:t>部门预算项目绩效分析。</w:t>
      </w:r>
    </w:p>
    <w:p w14:paraId="1BAB68E9">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en-US" w:eastAsia="zh-CN" w:bidi="ar-SA"/>
        </w:rPr>
        <w:t>常年项目绩效分析。</w:t>
      </w:r>
      <w:r>
        <w:rPr>
          <w:rFonts w:hint="default" w:ascii="宋体" w:hAnsi="宋体" w:eastAsia="宋体" w:cs="宋体"/>
          <w:i w:val="0"/>
          <w:iCs w:val="0"/>
          <w:color w:val="000000"/>
          <w:kern w:val="2"/>
          <w:sz w:val="32"/>
          <w:szCs w:val="32"/>
          <w:shd w:val="clear" w:color="auto" w:fill="FFFFFF"/>
          <w:lang w:val="zh-CN" w:eastAsia="zh-CN" w:bidi="ar-SA"/>
        </w:rPr>
        <w:t>该类项目总数</w:t>
      </w:r>
      <w:r>
        <w:rPr>
          <w:rFonts w:hint="eastAsia" w:ascii="宋体" w:hAnsi="宋体" w:eastAsia="宋体" w:cs="宋体"/>
          <w:i w:val="0"/>
          <w:iCs w:val="0"/>
          <w:color w:val="000000"/>
          <w:kern w:val="2"/>
          <w:sz w:val="32"/>
          <w:szCs w:val="32"/>
          <w:shd w:val="clear" w:color="auto" w:fill="FFFFFF"/>
          <w:lang w:val="en-US" w:eastAsia="zh-CN" w:bidi="ar-SA"/>
        </w:rPr>
        <w:t>2</w:t>
      </w:r>
      <w:r>
        <w:rPr>
          <w:rFonts w:hint="default" w:ascii="宋体" w:hAnsi="宋体" w:eastAsia="宋体" w:cs="宋体"/>
          <w:i w:val="0"/>
          <w:iCs w:val="0"/>
          <w:color w:val="000000"/>
          <w:kern w:val="2"/>
          <w:sz w:val="32"/>
          <w:szCs w:val="32"/>
          <w:shd w:val="clear" w:color="auto" w:fill="FFFFFF"/>
          <w:lang w:val="zh-CN" w:eastAsia="zh-CN" w:bidi="ar-SA"/>
        </w:rPr>
        <w:t>个，涉及预算总金额</w:t>
      </w:r>
      <w:r>
        <w:rPr>
          <w:rFonts w:hint="default" w:ascii="宋体" w:hAnsi="宋体" w:eastAsia="宋体" w:cs="宋体"/>
          <w:i w:val="0"/>
          <w:iCs w:val="0"/>
          <w:color w:val="000000"/>
          <w:kern w:val="2"/>
          <w:sz w:val="32"/>
          <w:szCs w:val="32"/>
          <w:shd w:val="clear" w:color="auto" w:fill="FFFFFF"/>
          <w:lang w:val="en-US" w:eastAsia="zh-CN" w:bidi="ar-SA"/>
        </w:rPr>
        <w:t xml:space="preserve">   </w:t>
      </w:r>
      <w:r>
        <w:rPr>
          <w:rFonts w:hint="eastAsia" w:ascii="仿宋_GB2312" w:hAnsi="仿宋" w:eastAsia="仿宋_GB2312"/>
          <w:sz w:val="32"/>
          <w:szCs w:val="32"/>
          <w:lang w:val="en-US" w:eastAsia="zh-CN"/>
        </w:rPr>
        <w:t>260.63</w:t>
      </w:r>
      <w:r>
        <w:rPr>
          <w:rFonts w:hint="default" w:ascii="宋体" w:hAnsi="宋体" w:eastAsia="宋体" w:cs="宋体"/>
          <w:i w:val="0"/>
          <w:iCs w:val="0"/>
          <w:color w:val="000000"/>
          <w:kern w:val="2"/>
          <w:sz w:val="32"/>
          <w:szCs w:val="32"/>
          <w:shd w:val="clear" w:color="auto" w:fill="FFFFFF"/>
          <w:lang w:val="zh-CN" w:eastAsia="zh-CN" w:bidi="ar-SA"/>
        </w:rPr>
        <w:t>万元，1—1</w:t>
      </w:r>
      <w:r>
        <w:rPr>
          <w:rFonts w:hint="default" w:ascii="宋体" w:hAnsi="宋体" w:eastAsia="宋体" w:cs="宋体"/>
          <w:i w:val="0"/>
          <w:iCs w:val="0"/>
          <w:color w:val="000000"/>
          <w:kern w:val="2"/>
          <w:sz w:val="32"/>
          <w:szCs w:val="32"/>
          <w:shd w:val="clear" w:color="auto" w:fill="FFFFFF"/>
          <w:lang w:val="en-US" w:eastAsia="zh-CN" w:bidi="ar-SA"/>
        </w:rPr>
        <w:t>2</w:t>
      </w:r>
      <w:r>
        <w:rPr>
          <w:rFonts w:hint="default" w:ascii="宋体" w:hAnsi="宋体" w:eastAsia="宋体" w:cs="宋体"/>
          <w:i w:val="0"/>
          <w:iCs w:val="0"/>
          <w:color w:val="000000"/>
          <w:kern w:val="2"/>
          <w:sz w:val="32"/>
          <w:szCs w:val="32"/>
          <w:shd w:val="clear" w:color="auto" w:fill="FFFFFF"/>
          <w:lang w:val="zh-CN" w:eastAsia="zh-CN" w:bidi="ar-SA"/>
        </w:rPr>
        <w:t>月预算执行总体进度为</w:t>
      </w:r>
      <w:r>
        <w:rPr>
          <w:rFonts w:hint="eastAsia" w:ascii="宋体" w:hAnsi="宋体" w:eastAsia="宋体" w:cs="宋体"/>
          <w:i w:val="0"/>
          <w:iCs w:val="0"/>
          <w:color w:val="000000"/>
          <w:kern w:val="2"/>
          <w:sz w:val="32"/>
          <w:szCs w:val="32"/>
          <w:shd w:val="clear" w:color="auto" w:fill="FFFFFF"/>
          <w:lang w:val="en-US" w:eastAsia="zh-CN" w:bidi="ar-SA"/>
        </w:rPr>
        <w:t>100</w:t>
      </w:r>
      <w:r>
        <w:rPr>
          <w:rFonts w:hint="default" w:ascii="宋体" w:hAnsi="宋体" w:eastAsia="宋体" w:cs="宋体"/>
          <w:i w:val="0"/>
          <w:iCs w:val="0"/>
          <w:color w:val="000000"/>
          <w:kern w:val="2"/>
          <w:sz w:val="32"/>
          <w:szCs w:val="32"/>
          <w:shd w:val="clear" w:color="auto" w:fill="FFFFFF"/>
          <w:lang w:val="zh-CN" w:eastAsia="zh-CN" w:bidi="ar-SA"/>
        </w:rPr>
        <w:t>%，其中：预算结余率大于</w:t>
      </w:r>
      <w:r>
        <w:rPr>
          <w:rFonts w:hint="default" w:ascii="宋体" w:hAnsi="宋体" w:eastAsia="宋体" w:cs="宋体"/>
          <w:i w:val="0"/>
          <w:iCs w:val="0"/>
          <w:color w:val="000000"/>
          <w:kern w:val="2"/>
          <w:sz w:val="32"/>
          <w:szCs w:val="32"/>
          <w:shd w:val="clear" w:color="auto" w:fill="FFFFFF"/>
          <w:lang w:val="en-US" w:eastAsia="zh-CN" w:bidi="ar-SA"/>
        </w:rPr>
        <w:t>10%</w:t>
      </w:r>
      <w:r>
        <w:rPr>
          <w:rFonts w:hint="default" w:ascii="宋体" w:hAnsi="宋体" w:eastAsia="宋体" w:cs="宋体"/>
          <w:i w:val="0"/>
          <w:iCs w:val="0"/>
          <w:color w:val="000000"/>
          <w:kern w:val="2"/>
          <w:sz w:val="32"/>
          <w:szCs w:val="32"/>
          <w:shd w:val="clear" w:color="auto" w:fill="FFFFFF"/>
          <w:lang w:val="zh-CN" w:eastAsia="zh-CN" w:bidi="ar-SA"/>
        </w:rPr>
        <w:t>的项目共计</w:t>
      </w:r>
      <w:r>
        <w:rPr>
          <w:rFonts w:hint="eastAsia" w:ascii="宋体" w:hAnsi="宋体" w:eastAsia="宋体" w:cs="宋体"/>
          <w:i w:val="0"/>
          <w:iCs w:val="0"/>
          <w:color w:val="000000"/>
          <w:kern w:val="2"/>
          <w:sz w:val="32"/>
          <w:szCs w:val="32"/>
          <w:shd w:val="clear" w:color="auto" w:fill="FFFFFF"/>
          <w:lang w:val="en-US" w:eastAsia="zh-CN" w:bidi="ar-SA"/>
        </w:rPr>
        <w:t>0</w:t>
      </w:r>
      <w:r>
        <w:rPr>
          <w:rFonts w:hint="default" w:ascii="宋体" w:hAnsi="宋体" w:eastAsia="宋体" w:cs="宋体"/>
          <w:i w:val="0"/>
          <w:iCs w:val="0"/>
          <w:color w:val="000000"/>
          <w:kern w:val="2"/>
          <w:sz w:val="32"/>
          <w:szCs w:val="32"/>
          <w:shd w:val="clear" w:color="auto" w:fill="FFFFFF"/>
          <w:lang w:val="zh-CN" w:eastAsia="zh-CN" w:bidi="ar-SA"/>
        </w:rPr>
        <w:t>个。</w:t>
      </w:r>
    </w:p>
    <w:p w14:paraId="397F3EE0">
      <w:pPr>
        <w:keepNext w:val="0"/>
        <w:keepLines w:val="0"/>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default" w:ascii="方正楷体_GBK" w:eastAsia="方正楷体_GBK"/>
          <w:color w:val="000000"/>
          <w:kern w:val="0"/>
          <w:sz w:val="32"/>
          <w:szCs w:val="32"/>
          <w:highlight w:val="none"/>
          <w:shd w:val="clear" w:color="auto" w:fill="FFFFFF"/>
          <w:lang w:val="zh-CN" w:eastAsia="zh-CN"/>
        </w:rPr>
      </w:pPr>
      <w:r>
        <w:rPr>
          <w:rFonts w:hint="default" w:ascii="宋体" w:hAnsi="宋体" w:eastAsia="宋体" w:cs="宋体"/>
          <w:i w:val="0"/>
          <w:iCs w:val="0"/>
          <w:color w:val="000000"/>
          <w:kern w:val="2"/>
          <w:sz w:val="32"/>
          <w:szCs w:val="32"/>
          <w:shd w:val="clear" w:color="auto" w:fill="FFFFFF"/>
          <w:lang w:val="en-US" w:eastAsia="zh-CN" w:bidi="ar-SA"/>
        </w:rPr>
        <w:t>阶段（含一次性）项目绩效分析。</w:t>
      </w:r>
      <w:r>
        <w:rPr>
          <w:rFonts w:hint="default" w:ascii="宋体" w:hAnsi="宋体" w:eastAsia="宋体" w:cs="宋体"/>
          <w:i w:val="0"/>
          <w:iCs w:val="0"/>
          <w:color w:val="000000"/>
          <w:kern w:val="2"/>
          <w:sz w:val="32"/>
          <w:szCs w:val="32"/>
          <w:shd w:val="clear" w:color="auto" w:fill="FFFFFF"/>
          <w:lang w:val="zh-CN" w:eastAsia="zh-CN" w:bidi="ar-SA"/>
        </w:rPr>
        <w:t>该类项目总数</w:t>
      </w:r>
      <w:r>
        <w:rPr>
          <w:rFonts w:hint="eastAsia" w:ascii="宋体" w:hAnsi="宋体" w:eastAsia="宋体" w:cs="宋体"/>
          <w:i w:val="0"/>
          <w:iCs w:val="0"/>
          <w:color w:val="000000"/>
          <w:kern w:val="2"/>
          <w:sz w:val="32"/>
          <w:szCs w:val="32"/>
          <w:shd w:val="clear" w:color="auto" w:fill="FFFFFF"/>
          <w:lang w:val="en-US" w:eastAsia="zh-CN" w:bidi="ar-SA"/>
        </w:rPr>
        <w:t>0</w:t>
      </w:r>
      <w:r>
        <w:rPr>
          <w:rFonts w:hint="default" w:ascii="宋体" w:hAnsi="宋体" w:eastAsia="宋体" w:cs="宋体"/>
          <w:i w:val="0"/>
          <w:iCs w:val="0"/>
          <w:color w:val="000000"/>
          <w:kern w:val="2"/>
          <w:sz w:val="32"/>
          <w:szCs w:val="32"/>
          <w:shd w:val="clear" w:color="auto" w:fill="FFFFFF"/>
          <w:lang w:val="zh-CN" w:eastAsia="zh-CN" w:bidi="ar-SA"/>
        </w:rPr>
        <w:t>个，涉及预算总金额</w:t>
      </w:r>
      <w:r>
        <w:rPr>
          <w:rFonts w:hint="eastAsia" w:ascii="宋体" w:hAnsi="宋体" w:eastAsia="宋体" w:cs="宋体"/>
          <w:i w:val="0"/>
          <w:iCs w:val="0"/>
          <w:color w:val="000000"/>
          <w:kern w:val="2"/>
          <w:sz w:val="32"/>
          <w:szCs w:val="32"/>
          <w:shd w:val="clear" w:color="auto" w:fill="FFFFFF"/>
          <w:lang w:val="en-US" w:eastAsia="zh-CN" w:bidi="ar-SA"/>
        </w:rPr>
        <w:t>0</w:t>
      </w:r>
      <w:r>
        <w:rPr>
          <w:rFonts w:hint="default" w:ascii="宋体" w:hAnsi="宋体" w:eastAsia="宋体" w:cs="宋体"/>
          <w:i w:val="0"/>
          <w:iCs w:val="0"/>
          <w:color w:val="000000"/>
          <w:kern w:val="2"/>
          <w:sz w:val="32"/>
          <w:szCs w:val="32"/>
          <w:shd w:val="clear" w:color="auto" w:fill="FFFFFF"/>
          <w:lang w:val="zh-CN" w:eastAsia="zh-CN" w:bidi="ar-SA"/>
        </w:rPr>
        <w:t>万元。</w:t>
      </w:r>
    </w:p>
    <w:p w14:paraId="5088E260">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项目决策。</w:t>
      </w:r>
    </w:p>
    <w:p w14:paraId="0F25442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决策程序</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4分，部门预算项目设立按规定履行评估论证、申报程序。</w:t>
      </w:r>
    </w:p>
    <w:p w14:paraId="2389400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目标设置</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3分，部门预算项目绩效目标与计划期内的任务量、预算安排的资金量基本匹配，绩效目标设置基本科学合理、规范完整、预算匹配，但精准度还需提升。</w:t>
      </w:r>
    </w:p>
    <w:p w14:paraId="05415BF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宋体" w:hAnsi="宋体" w:eastAsia="宋体" w:cs="宋体"/>
          <w:i w:val="0"/>
          <w:iCs w:val="0"/>
          <w:color w:val="000000"/>
          <w:kern w:val="2"/>
          <w:sz w:val="32"/>
          <w:szCs w:val="32"/>
          <w:shd w:val="clear" w:color="auto" w:fill="FFFFFF"/>
          <w:lang w:val="zh-CN" w:eastAsia="zh-CN" w:bidi="ar-SA"/>
        </w:rPr>
        <w:t>项目入库</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4分，部门预算项目在规定时间完成项目入库。</w:t>
      </w:r>
    </w:p>
    <w:p w14:paraId="79900694">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en-US" w:eastAsia="zh-CN"/>
        </w:rPr>
        <w:t>项目执行</w:t>
      </w:r>
      <w:r>
        <w:rPr>
          <w:rFonts w:hint="default" w:ascii="Times New Roman" w:hAnsi="Times New Roman" w:eastAsia="方正仿宋_GBK"/>
          <w:color w:val="000000"/>
          <w:kern w:val="0"/>
          <w:sz w:val="32"/>
          <w:szCs w:val="32"/>
          <w:highlight w:val="none"/>
          <w:shd w:val="clear" w:color="auto" w:fill="FFFFFF"/>
          <w:lang w:val="zh-CN" w:eastAsia="zh-CN"/>
        </w:rPr>
        <w:t>。围绕资金执行同向、项目调整、执行结果进行绩效分析。</w:t>
      </w:r>
    </w:p>
    <w:p w14:paraId="50464F4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default" w:ascii="宋体" w:hAnsi="宋体" w:eastAsia="宋体" w:cs="宋体"/>
          <w:i w:val="0"/>
          <w:iCs w:val="0"/>
          <w:color w:val="000000"/>
          <w:kern w:val="2"/>
          <w:sz w:val="32"/>
          <w:szCs w:val="32"/>
          <w:shd w:val="clear" w:color="auto" w:fill="FFFFFF"/>
          <w:lang w:val="zh-CN" w:eastAsia="zh-CN" w:bidi="ar-SA"/>
        </w:rPr>
        <w:t>资金执行同向</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4分，部门预算项目实际列支内容与绩效目标设置方向相符。</w:t>
      </w:r>
    </w:p>
    <w:p w14:paraId="769FDA0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default" w:ascii="宋体" w:hAnsi="宋体" w:eastAsia="宋体" w:cs="宋体"/>
          <w:i w:val="0"/>
          <w:iCs w:val="0"/>
          <w:color w:val="000000"/>
          <w:kern w:val="2"/>
          <w:sz w:val="32"/>
          <w:szCs w:val="32"/>
          <w:shd w:val="clear" w:color="auto" w:fill="FFFFFF"/>
          <w:lang w:val="zh-CN" w:eastAsia="zh-CN" w:bidi="ar-SA"/>
        </w:rPr>
        <w:t>项目调整</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4分，部门预算项目均按规定采取对应调整措施。</w:t>
      </w:r>
    </w:p>
    <w:p w14:paraId="128DADB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宋体" w:hAnsi="宋体" w:eastAsia="宋体" w:cs="宋体"/>
          <w:i w:val="0"/>
          <w:iCs w:val="0"/>
          <w:color w:val="000000"/>
          <w:kern w:val="2"/>
          <w:sz w:val="32"/>
          <w:szCs w:val="32"/>
          <w:shd w:val="clear" w:color="auto" w:fill="FFFFFF"/>
          <w:lang w:val="zh-CN" w:eastAsia="zh-CN" w:bidi="ar-SA"/>
        </w:rPr>
        <w:t>执行结果</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4分，部门预算项目预算执行率100%，无结转结余。</w:t>
      </w:r>
    </w:p>
    <w:p w14:paraId="6EE27D5F">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目标实现。</w:t>
      </w:r>
    </w:p>
    <w:p w14:paraId="4508EF4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宋体" w:hAnsi="宋体" w:eastAsia="宋体" w:cs="宋体"/>
          <w:i w:val="0"/>
          <w:iCs w:val="0"/>
          <w:color w:val="000000"/>
          <w:kern w:val="2"/>
          <w:sz w:val="32"/>
          <w:szCs w:val="32"/>
          <w:shd w:val="clear" w:color="auto" w:fill="FFFFFF"/>
          <w:lang w:val="zh-CN" w:eastAsia="zh-CN" w:bidi="ar-SA"/>
        </w:rPr>
      </w:pPr>
      <w:r>
        <w:rPr>
          <w:rFonts w:hint="default" w:ascii="宋体" w:hAnsi="宋体" w:eastAsia="宋体" w:cs="宋体"/>
          <w:i w:val="0"/>
          <w:iCs w:val="0"/>
          <w:color w:val="000000"/>
          <w:kern w:val="2"/>
          <w:sz w:val="32"/>
          <w:szCs w:val="32"/>
          <w:shd w:val="clear" w:color="auto" w:fill="FFFFFF"/>
          <w:lang w:val="zh-CN" w:eastAsia="zh-CN" w:bidi="ar-SA"/>
        </w:rPr>
        <w:t>目标完成</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4分，部门预算项目绩效目标数量指标基本完成。</w:t>
      </w:r>
    </w:p>
    <w:p w14:paraId="5C06857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default" w:ascii="宋体" w:hAnsi="宋体" w:eastAsia="宋体" w:cs="宋体"/>
          <w:i w:val="0"/>
          <w:iCs w:val="0"/>
          <w:color w:val="000000"/>
          <w:kern w:val="2"/>
          <w:sz w:val="32"/>
          <w:szCs w:val="32"/>
          <w:shd w:val="clear" w:color="auto" w:fill="FFFFFF"/>
          <w:lang w:val="zh-CN" w:eastAsia="zh-CN" w:bidi="ar-SA"/>
        </w:rPr>
        <w:t>目标偏离</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3，部门预算项目绩效目标数量指标实现程度与预期目标的偏离度较小。</w:t>
      </w:r>
    </w:p>
    <w:p w14:paraId="3312EE4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宋体" w:hAnsi="宋体" w:eastAsia="宋体" w:cs="宋体"/>
          <w:i w:val="0"/>
          <w:iCs w:val="0"/>
          <w:color w:val="000000"/>
          <w:kern w:val="2"/>
          <w:sz w:val="32"/>
          <w:szCs w:val="32"/>
          <w:shd w:val="clear" w:color="auto" w:fill="FFFFFF"/>
          <w:lang w:val="zh-CN" w:eastAsia="zh-CN" w:bidi="ar-SA"/>
        </w:rPr>
        <w:t>实现效果</w:t>
      </w:r>
      <w:r>
        <w:rPr>
          <w:rFonts w:hint="eastAsia" w:ascii="宋体" w:hAnsi="宋体" w:eastAsia="宋体" w:cs="宋体"/>
          <w:i w:val="0"/>
          <w:iCs w:val="0"/>
          <w:color w:val="000000"/>
          <w:kern w:val="2"/>
          <w:sz w:val="32"/>
          <w:szCs w:val="32"/>
          <w:shd w:val="clear" w:color="auto" w:fill="FFFFFF"/>
          <w:lang w:val="zh-CN" w:eastAsia="zh-CN" w:bidi="ar-SA"/>
        </w:rPr>
        <w:t>：自评得分</w:t>
      </w:r>
      <w:r>
        <w:rPr>
          <w:rFonts w:hint="eastAsia" w:ascii="宋体" w:hAnsi="宋体" w:eastAsia="宋体" w:cs="宋体"/>
          <w:i w:val="0"/>
          <w:iCs w:val="0"/>
          <w:color w:val="000000"/>
          <w:kern w:val="2"/>
          <w:sz w:val="32"/>
          <w:szCs w:val="32"/>
          <w:shd w:val="clear" w:color="auto" w:fill="FFFFFF"/>
          <w:lang w:val="en-US" w:eastAsia="zh-CN" w:bidi="ar-SA"/>
        </w:rPr>
        <w:t>3分，部门预算项目绩效目标效益指标实施效果较好。</w:t>
      </w:r>
    </w:p>
    <w:p w14:paraId="21E5E403">
      <w:pPr>
        <w:keepNext w:val="0"/>
        <w:keepLines w:val="0"/>
        <w:pageBreakBefore w:val="0"/>
        <w:widowControl w:val="0"/>
        <w:numPr>
          <w:ilvl w:val="0"/>
          <w:numId w:val="4"/>
        </w:numPr>
        <w:kinsoku/>
        <w:wordWrap/>
        <w:overflowPunct/>
        <w:topLinePunct w:val="0"/>
        <w:autoSpaceDE/>
        <w:autoSpaceDN/>
        <w:bidi w:val="0"/>
        <w:snapToGrid w:val="0"/>
        <w:spacing w:line="560" w:lineRule="exact"/>
        <w:ind w:left="0" w:leftChars="0" w:firstLine="640" w:firstLineChars="200"/>
        <w:textAlignment w:val="auto"/>
        <w:rPr>
          <w:rFonts w:hint="eastAsia" w:ascii="方正楷体_GBK" w:eastAsia="方正楷体_GBK"/>
          <w:sz w:val="32"/>
          <w:szCs w:val="32"/>
          <w:lang w:val="zh-CN" w:eastAsia="zh-CN"/>
        </w:rPr>
      </w:pPr>
      <w:r>
        <w:rPr>
          <w:rFonts w:hint="eastAsia" w:ascii="方正楷体_GBK" w:eastAsia="方正楷体_GBK"/>
          <w:sz w:val="32"/>
          <w:szCs w:val="32"/>
          <w:lang w:val="zh-CN" w:eastAsia="zh-CN"/>
        </w:rPr>
        <w:t>绩效结果应用情况。</w:t>
      </w:r>
    </w:p>
    <w:p w14:paraId="24FF0FA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en-US" w:eastAsia="zh-CN" w:bidi="ar-SA"/>
        </w:rPr>
      </w:pPr>
      <w:r>
        <w:rPr>
          <w:rFonts w:hint="eastAsia" w:ascii="宋体" w:hAnsi="宋体" w:eastAsia="宋体" w:cs="宋体"/>
          <w:i w:val="0"/>
          <w:iCs w:val="0"/>
          <w:color w:val="000000"/>
          <w:kern w:val="2"/>
          <w:sz w:val="32"/>
          <w:szCs w:val="32"/>
          <w:shd w:val="clear" w:color="auto" w:fill="FFFFFF"/>
          <w:lang w:val="en-US" w:eastAsia="zh-CN" w:bidi="ar-SA"/>
        </w:rPr>
        <w:t>绩效评价工作结束后，我院深入分析发现的问题及成因，将评价结果用于改进下年预算安排和管理水平，持续提高资金使用效益，推动部门整体支出管理效能不断提升。</w:t>
      </w:r>
    </w:p>
    <w:p w14:paraId="3157A08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黑体_GBK"/>
          <w:color w:val="000000"/>
          <w:kern w:val="0"/>
          <w:sz w:val="32"/>
          <w:szCs w:val="32"/>
          <w:highlight w:val="none"/>
          <w:shd w:val="clear" w:color="auto" w:fill="FFFFFF"/>
        </w:rPr>
      </w:pPr>
      <w:r>
        <w:rPr>
          <w:rFonts w:hint="default" w:ascii="Times New Roman" w:hAnsi="Times New Roman" w:eastAsia="方正黑体_GBK"/>
          <w:color w:val="000000"/>
          <w:kern w:val="0"/>
          <w:sz w:val="32"/>
          <w:szCs w:val="32"/>
          <w:highlight w:val="none"/>
          <w:shd w:val="clear" w:color="auto" w:fill="FFFFFF"/>
          <w:lang w:eastAsia="zh-CN"/>
        </w:rPr>
        <w:t>四、</w:t>
      </w:r>
      <w:r>
        <w:rPr>
          <w:rFonts w:hint="default" w:ascii="Times New Roman" w:hAnsi="Times New Roman" w:eastAsia="方正黑体_GBK"/>
          <w:color w:val="000000"/>
          <w:kern w:val="0"/>
          <w:sz w:val="32"/>
          <w:szCs w:val="32"/>
          <w:highlight w:val="none"/>
          <w:shd w:val="clear" w:color="auto" w:fill="FFFFFF"/>
        </w:rPr>
        <w:t>202</w:t>
      </w:r>
      <w:r>
        <w:rPr>
          <w:rFonts w:hint="eastAsia" w:ascii="Times New Roman" w:hAnsi="Times New Roman" w:eastAsia="方正黑体_GBK"/>
          <w:color w:val="000000"/>
          <w:kern w:val="0"/>
          <w:sz w:val="32"/>
          <w:szCs w:val="32"/>
          <w:highlight w:val="none"/>
          <w:shd w:val="clear" w:color="auto" w:fill="FFFFFF"/>
          <w:lang w:val="en-US" w:eastAsia="zh-CN"/>
        </w:rPr>
        <w:t>5</w:t>
      </w:r>
      <w:r>
        <w:rPr>
          <w:rFonts w:hint="default" w:ascii="Times New Roman" w:hAnsi="Times New Roman" w:eastAsia="方正黑体_GBK"/>
          <w:color w:val="000000"/>
          <w:kern w:val="0"/>
          <w:sz w:val="32"/>
          <w:szCs w:val="32"/>
          <w:highlight w:val="none"/>
          <w:shd w:val="clear" w:color="auto" w:fill="FFFFFF"/>
        </w:rPr>
        <w:t>年部门自评发现问题整改情况</w:t>
      </w:r>
    </w:p>
    <w:p w14:paraId="214021EF">
      <w:pPr>
        <w:spacing w:line="580" w:lineRule="exact"/>
        <w:ind w:firstLine="720"/>
        <w:rPr>
          <w:rFonts w:hint="default" w:ascii="Times New Roman" w:hAnsi="Times New Roman" w:eastAsia="方正楷体_GBK"/>
          <w:color w:val="000000"/>
          <w:sz w:val="32"/>
          <w:szCs w:val="32"/>
          <w:shd w:val="clear" w:color="auto" w:fill="FFFFFF"/>
          <w:lang w:val="zh-CN" w:eastAsia="zh-CN" w:bidi="ar-SA"/>
        </w:rPr>
      </w:pPr>
      <w:r>
        <w:rPr>
          <w:rFonts w:hint="eastAsia" w:ascii="Times New Roman" w:hAnsi="Times New Roman" w:eastAsia="方正楷体_GBK"/>
          <w:color w:val="000000"/>
          <w:sz w:val="32"/>
          <w:szCs w:val="32"/>
          <w:shd w:val="clear" w:color="auto" w:fill="FFFFFF"/>
          <w:lang w:val="en-US" w:eastAsia="zh-CN" w:bidi="ar-SA"/>
        </w:rPr>
        <w:t>1、发现的</w:t>
      </w:r>
      <w:r>
        <w:rPr>
          <w:rFonts w:hint="default" w:ascii="Times New Roman" w:hAnsi="Times New Roman" w:eastAsia="方正楷体_GBK"/>
          <w:color w:val="000000"/>
          <w:sz w:val="32"/>
          <w:szCs w:val="32"/>
          <w:shd w:val="clear" w:color="auto" w:fill="FFFFFF"/>
          <w:lang w:val="zh-CN" w:eastAsia="zh-CN" w:bidi="ar-SA"/>
        </w:rPr>
        <w:t>问题</w:t>
      </w:r>
    </w:p>
    <w:p w14:paraId="209D332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方正楷体_GBK" w:eastAsia="方正楷体_GBK"/>
          <w:bCs/>
          <w:color w:val="000000"/>
          <w:kern w:val="0"/>
          <w:sz w:val="32"/>
          <w:szCs w:val="32"/>
          <w:highlight w:val="none"/>
          <w:shd w:val="clear" w:color="auto" w:fill="FFFFFF"/>
          <w:lang w:val="en-US" w:eastAsia="zh-CN"/>
        </w:rPr>
      </w:pPr>
      <w:r>
        <w:rPr>
          <w:rFonts w:hint="eastAsia" w:ascii="宋体" w:hAnsi="宋体" w:eastAsia="宋体" w:cs="宋体"/>
          <w:i w:val="0"/>
          <w:iCs w:val="0"/>
          <w:color w:val="000000"/>
          <w:kern w:val="2"/>
          <w:sz w:val="32"/>
          <w:szCs w:val="32"/>
          <w:shd w:val="clear" w:color="auto" w:fill="FFFFFF"/>
          <w:lang w:val="en-US" w:eastAsia="zh-CN" w:bidi="ar-SA"/>
        </w:rPr>
        <w:t>一是预算绩效目标设置不够细化，二是预算执行进度较慢。</w:t>
      </w:r>
    </w:p>
    <w:p w14:paraId="76A7779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黑体_GBK"/>
          <w:color w:val="000000"/>
          <w:kern w:val="0"/>
          <w:sz w:val="32"/>
          <w:szCs w:val="32"/>
          <w:highlight w:val="none"/>
          <w:shd w:val="clear" w:color="auto" w:fill="FFFFFF"/>
        </w:rPr>
      </w:pPr>
      <w:r>
        <w:rPr>
          <w:rFonts w:hint="eastAsia" w:ascii="Times New Roman" w:hAnsi="Times New Roman" w:eastAsia="方正楷体_GBK"/>
          <w:color w:val="000000"/>
          <w:sz w:val="32"/>
          <w:szCs w:val="32"/>
          <w:shd w:val="clear" w:color="auto" w:fill="FFFFFF"/>
          <w:lang w:val="en-US" w:eastAsia="zh-CN" w:bidi="ar-SA"/>
        </w:rPr>
        <w:t>2、</w:t>
      </w:r>
      <w:r>
        <w:rPr>
          <w:rFonts w:hint="default" w:ascii="Times New Roman" w:hAnsi="Times New Roman" w:eastAsia="方正黑体_GBK"/>
          <w:color w:val="000000"/>
          <w:kern w:val="0"/>
          <w:sz w:val="32"/>
          <w:szCs w:val="32"/>
          <w:highlight w:val="none"/>
          <w:shd w:val="clear" w:color="auto" w:fill="FFFFFF"/>
        </w:rPr>
        <w:t>整改情况</w:t>
      </w:r>
    </w:p>
    <w:p w14:paraId="7E227B1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宋体" w:eastAsia="宋体" w:cs="宋体"/>
          <w:i w:val="0"/>
          <w:iCs w:val="0"/>
          <w:color w:val="000000"/>
          <w:kern w:val="2"/>
          <w:sz w:val="32"/>
          <w:szCs w:val="32"/>
          <w:shd w:val="clear" w:color="auto" w:fill="FFFFFF"/>
          <w:lang w:val="zh-CN" w:eastAsia="zh-CN" w:bidi="ar-SA"/>
        </w:rPr>
      </w:pPr>
      <w:r>
        <w:rPr>
          <w:rFonts w:hint="eastAsia" w:ascii="宋体" w:hAnsi="宋体" w:eastAsia="宋体" w:cs="宋体"/>
          <w:i w:val="0"/>
          <w:iCs w:val="0"/>
          <w:color w:val="000000"/>
          <w:kern w:val="2"/>
          <w:sz w:val="32"/>
          <w:szCs w:val="32"/>
          <w:shd w:val="clear" w:color="auto" w:fill="FFFFFF"/>
          <w:lang w:val="zh-CN" w:eastAsia="zh-CN" w:bidi="ar-SA"/>
        </w:rPr>
        <w:t>针对预算绩效目标设置不够细化的问题，我院进一步细化量化绩效目标，完善绩效指标体系，提高目标设置的科学性和精准度；针对预算执行进度较慢的问题，强化预算执行调度，加强节点监控和预警通报，推动预算按序时均衡执行。</w:t>
      </w:r>
    </w:p>
    <w:p w14:paraId="4080269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黑体_GBK" w:eastAsia="方正黑体_GBK"/>
          <w:color w:val="000000"/>
          <w:kern w:val="0"/>
          <w:sz w:val="32"/>
          <w:szCs w:val="32"/>
          <w:highlight w:val="none"/>
          <w:shd w:val="clear" w:color="auto" w:fill="FFFFFF"/>
        </w:rPr>
      </w:pPr>
      <w:r>
        <w:rPr>
          <w:rFonts w:hint="eastAsia" w:ascii="方正黑体_GBK" w:eastAsia="方正黑体_GBK"/>
          <w:color w:val="000000"/>
          <w:kern w:val="0"/>
          <w:sz w:val="32"/>
          <w:szCs w:val="32"/>
          <w:highlight w:val="none"/>
          <w:shd w:val="clear" w:color="auto" w:fill="FFFFFF"/>
          <w:lang w:eastAsia="zh-CN"/>
        </w:rPr>
        <w:t>五、</w:t>
      </w:r>
      <w:r>
        <w:rPr>
          <w:rFonts w:hint="eastAsia" w:ascii="方正黑体_GBK" w:eastAsia="方正黑体_GBK"/>
          <w:color w:val="000000"/>
          <w:kern w:val="0"/>
          <w:sz w:val="32"/>
          <w:szCs w:val="32"/>
          <w:highlight w:val="none"/>
          <w:shd w:val="clear" w:color="auto" w:fill="FFFFFF"/>
        </w:rPr>
        <w:t>评价结论及建议</w:t>
      </w:r>
    </w:p>
    <w:p w14:paraId="3F78947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color w:val="000000"/>
          <w:kern w:val="0"/>
          <w:sz w:val="32"/>
          <w:szCs w:val="32"/>
          <w:highlight w:val="none"/>
          <w:shd w:val="clear" w:color="auto" w:fill="FFFFFF"/>
          <w:lang w:val="zh-CN" w:eastAsia="zh-CN"/>
        </w:rPr>
      </w:pPr>
      <w:r>
        <w:rPr>
          <w:rFonts w:hint="eastAsia" w:ascii="方正楷体_GBK" w:eastAsia="方正楷体_GBK"/>
          <w:color w:val="000000"/>
          <w:kern w:val="0"/>
          <w:sz w:val="32"/>
          <w:szCs w:val="32"/>
          <w:highlight w:val="none"/>
          <w:shd w:val="clear" w:color="auto" w:fill="FFFFFF"/>
          <w:lang w:val="zh-CN" w:eastAsia="zh-CN"/>
        </w:rPr>
        <w:t>（一）评价结论。</w:t>
      </w:r>
    </w:p>
    <w:p w14:paraId="59D0BA0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方正楷体_GBK" w:eastAsia="方正楷体_GBK"/>
          <w:color w:val="000000"/>
          <w:kern w:val="0"/>
          <w:sz w:val="32"/>
          <w:szCs w:val="32"/>
          <w:highlight w:val="none"/>
          <w:shd w:val="clear" w:color="auto" w:fill="FFFFFF"/>
          <w:lang w:val="en-US" w:eastAsia="en-US"/>
        </w:rPr>
      </w:pPr>
      <w:r>
        <w:rPr>
          <w:rFonts w:hint="default" w:ascii="宋体" w:hAnsi="宋体" w:eastAsia="宋体" w:cs="宋体"/>
          <w:i w:val="0"/>
          <w:iCs w:val="0"/>
          <w:color w:val="000000"/>
          <w:kern w:val="2"/>
          <w:sz w:val="32"/>
          <w:szCs w:val="32"/>
          <w:shd w:val="clear" w:color="auto" w:fill="FFFFFF"/>
          <w:lang w:val="en-US" w:eastAsia="en-US" w:bidi="ar-SA"/>
        </w:rPr>
        <w:t>按照《巴中市部门预算（整体）绩效评价指标体系》设定的绩效指标和计分标准，根据本部门收支情况、预算执行情况、部门履职效益分析及整体绩效管理情况综合</w:t>
      </w:r>
      <w:r>
        <w:rPr>
          <w:rFonts w:hint="eastAsia" w:ascii="宋体" w:hAnsi="宋体" w:eastAsia="宋体" w:cs="宋体"/>
          <w:i w:val="0"/>
          <w:iCs w:val="0"/>
          <w:color w:val="000000"/>
          <w:kern w:val="2"/>
          <w:sz w:val="32"/>
          <w:szCs w:val="32"/>
          <w:shd w:val="clear" w:color="auto" w:fill="FFFFFF"/>
          <w:lang w:val="en-US" w:eastAsia="zh-CN" w:bidi="ar-SA"/>
        </w:rPr>
        <w:t>分析巴中</w:t>
      </w:r>
      <w:r>
        <w:rPr>
          <w:rFonts w:hint="default" w:ascii="宋体" w:hAnsi="宋体" w:eastAsia="宋体" w:cs="宋体"/>
          <w:i w:val="0"/>
          <w:iCs w:val="0"/>
          <w:color w:val="000000"/>
          <w:kern w:val="2"/>
          <w:sz w:val="32"/>
          <w:szCs w:val="32"/>
          <w:shd w:val="clear" w:color="auto" w:fill="FFFFFF"/>
          <w:lang w:val="en-US" w:eastAsia="en-US" w:bidi="ar-SA"/>
        </w:rPr>
        <w:t>市</w:t>
      </w:r>
      <w:r>
        <w:rPr>
          <w:rFonts w:hint="eastAsia" w:ascii="宋体" w:hAnsi="宋体" w:eastAsia="宋体" w:cs="宋体"/>
          <w:i w:val="0"/>
          <w:iCs w:val="0"/>
          <w:color w:val="000000"/>
          <w:kern w:val="2"/>
          <w:sz w:val="32"/>
          <w:szCs w:val="32"/>
          <w:shd w:val="clear" w:color="auto" w:fill="FFFFFF"/>
          <w:lang w:val="en-US" w:eastAsia="zh-CN" w:bidi="ar-SA"/>
        </w:rPr>
        <w:t>恩阳区</w:t>
      </w:r>
      <w:r>
        <w:rPr>
          <w:rFonts w:hint="default" w:ascii="宋体" w:hAnsi="宋体" w:eastAsia="宋体" w:cs="宋体"/>
          <w:i w:val="0"/>
          <w:iCs w:val="0"/>
          <w:color w:val="000000"/>
          <w:kern w:val="2"/>
          <w:sz w:val="32"/>
          <w:szCs w:val="32"/>
          <w:shd w:val="clear" w:color="auto" w:fill="FFFFFF"/>
          <w:lang w:val="en-US" w:eastAsia="en-US" w:bidi="ar-SA"/>
        </w:rPr>
        <w:t>人民检察院202</w:t>
      </w:r>
      <w:r>
        <w:rPr>
          <w:rFonts w:hint="eastAsia" w:ascii="宋体" w:hAnsi="宋体" w:eastAsia="宋体" w:cs="宋体"/>
          <w:i w:val="0"/>
          <w:iCs w:val="0"/>
          <w:color w:val="000000"/>
          <w:kern w:val="2"/>
          <w:sz w:val="32"/>
          <w:szCs w:val="32"/>
          <w:shd w:val="clear" w:color="auto" w:fill="FFFFFF"/>
          <w:lang w:val="en-US" w:eastAsia="zh-CN" w:bidi="ar-SA"/>
        </w:rPr>
        <w:t>5</w:t>
      </w:r>
      <w:r>
        <w:rPr>
          <w:rFonts w:hint="default" w:ascii="宋体" w:hAnsi="宋体" w:eastAsia="宋体" w:cs="宋体"/>
          <w:i w:val="0"/>
          <w:iCs w:val="0"/>
          <w:color w:val="000000"/>
          <w:kern w:val="2"/>
          <w:sz w:val="32"/>
          <w:szCs w:val="32"/>
          <w:shd w:val="clear" w:color="auto" w:fill="FFFFFF"/>
          <w:lang w:val="en-US" w:eastAsia="en-US" w:bidi="ar-SA"/>
        </w:rPr>
        <w:t>年部门整体支出绩效评价得分为</w:t>
      </w:r>
      <w:r>
        <w:rPr>
          <w:rFonts w:hint="eastAsia" w:ascii="宋体" w:hAnsi="宋体" w:eastAsia="宋体" w:cs="宋体"/>
          <w:i w:val="0"/>
          <w:iCs w:val="0"/>
          <w:color w:val="000000"/>
          <w:kern w:val="2"/>
          <w:sz w:val="32"/>
          <w:szCs w:val="32"/>
          <w:shd w:val="clear" w:color="auto" w:fill="FFFFFF"/>
          <w:lang w:val="en-US" w:eastAsia="zh-CN" w:bidi="ar-SA"/>
        </w:rPr>
        <w:t>92</w:t>
      </w:r>
      <w:r>
        <w:rPr>
          <w:rFonts w:hint="default" w:ascii="宋体" w:hAnsi="宋体" w:eastAsia="宋体" w:cs="宋体"/>
          <w:i w:val="0"/>
          <w:iCs w:val="0"/>
          <w:color w:val="000000"/>
          <w:kern w:val="2"/>
          <w:sz w:val="32"/>
          <w:szCs w:val="32"/>
          <w:shd w:val="clear" w:color="auto" w:fill="FFFFFF"/>
          <w:lang w:val="en-US" w:eastAsia="en-US" w:bidi="ar-SA"/>
        </w:rPr>
        <w:t>分</w:t>
      </w:r>
      <w:r>
        <w:rPr>
          <w:rFonts w:hint="eastAsia" w:ascii="宋体" w:hAnsi="宋体" w:eastAsia="宋体" w:cs="宋体"/>
          <w:i w:val="0"/>
          <w:iCs w:val="0"/>
          <w:color w:val="000000"/>
          <w:kern w:val="2"/>
          <w:sz w:val="32"/>
          <w:szCs w:val="32"/>
          <w:shd w:val="clear" w:color="auto" w:fill="FFFFFF"/>
          <w:lang w:val="en-US" w:eastAsia="zh-CN" w:bidi="ar-SA"/>
        </w:rPr>
        <w:t>，</w:t>
      </w:r>
      <w:r>
        <w:rPr>
          <w:rFonts w:hint="default" w:ascii="宋体" w:hAnsi="宋体" w:eastAsia="宋体" w:cs="宋体"/>
          <w:i w:val="0"/>
          <w:iCs w:val="0"/>
          <w:color w:val="000000"/>
          <w:kern w:val="2"/>
          <w:sz w:val="32"/>
          <w:szCs w:val="32"/>
          <w:shd w:val="clear" w:color="auto" w:fill="FFFFFF"/>
          <w:lang w:val="en-US" w:eastAsia="en-US" w:bidi="ar-SA"/>
        </w:rPr>
        <w:t>自评等次为：</w:t>
      </w:r>
      <w:r>
        <w:rPr>
          <w:rFonts w:hint="eastAsia" w:ascii="宋体" w:hAnsi="宋体" w:eastAsia="宋体" w:cs="宋体"/>
          <w:i w:val="0"/>
          <w:iCs w:val="0"/>
          <w:color w:val="000000"/>
          <w:kern w:val="2"/>
          <w:sz w:val="32"/>
          <w:szCs w:val="32"/>
          <w:shd w:val="clear" w:color="auto" w:fill="FFFFFF"/>
          <w:lang w:val="en-US" w:eastAsia="zh-CN" w:bidi="ar-SA"/>
        </w:rPr>
        <w:t>优</w:t>
      </w:r>
      <w:r>
        <w:rPr>
          <w:rFonts w:hint="default" w:ascii="宋体" w:hAnsi="宋体" w:eastAsia="宋体" w:cs="宋体"/>
          <w:i w:val="0"/>
          <w:iCs w:val="0"/>
          <w:color w:val="000000"/>
          <w:kern w:val="2"/>
          <w:sz w:val="32"/>
          <w:szCs w:val="32"/>
          <w:shd w:val="clear" w:color="auto" w:fill="FFFFFF"/>
          <w:lang w:val="en-US" w:eastAsia="en-US" w:bidi="ar-SA"/>
        </w:rPr>
        <w:t>。</w:t>
      </w:r>
    </w:p>
    <w:p w14:paraId="413EE0D3">
      <w:pPr>
        <w:keepNext w:val="0"/>
        <w:keepLines w:val="0"/>
        <w:pageBreakBefore w:val="0"/>
        <w:widowControl/>
        <w:numPr>
          <w:ilvl w:val="0"/>
          <w:numId w:val="6"/>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存在问题。</w:t>
      </w:r>
    </w:p>
    <w:p w14:paraId="75D94CC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方正楷体_GBK" w:eastAsia="方正楷体_GBK"/>
          <w:bCs/>
          <w:color w:val="000000"/>
          <w:kern w:val="0"/>
          <w:sz w:val="32"/>
          <w:szCs w:val="32"/>
          <w:highlight w:val="none"/>
          <w:shd w:val="clear" w:color="auto" w:fill="FFFFFF"/>
          <w:lang w:val="en-US" w:eastAsia="zh-CN"/>
        </w:rPr>
      </w:pPr>
      <w:r>
        <w:rPr>
          <w:rFonts w:hint="eastAsia" w:ascii="宋体" w:hAnsi="宋体" w:eastAsia="宋体" w:cs="宋体"/>
          <w:i w:val="0"/>
          <w:iCs w:val="0"/>
          <w:color w:val="000000"/>
          <w:kern w:val="2"/>
          <w:sz w:val="32"/>
          <w:szCs w:val="32"/>
          <w:shd w:val="clear" w:color="auto" w:fill="FFFFFF"/>
          <w:lang w:val="en-US" w:eastAsia="zh-CN" w:bidi="ar-SA"/>
        </w:rPr>
        <w:t>一是预算绩效目标设置不够精准，二是预算执行进度不均衡。</w:t>
      </w:r>
    </w:p>
    <w:p w14:paraId="7398AEB3">
      <w:pPr>
        <w:keepNext w:val="0"/>
        <w:keepLines w:val="0"/>
        <w:pageBreakBefore w:val="0"/>
        <w:widowControl/>
        <w:numPr>
          <w:ilvl w:val="0"/>
          <w:numId w:val="6"/>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改进建议。</w:t>
      </w:r>
      <w:bookmarkStart w:id="58" w:name="_Hlk110546638"/>
    </w:p>
    <w:p w14:paraId="13ED216F">
      <w:pPr>
        <w:pStyle w:val="13"/>
        <w:keepNext w:val="0"/>
        <w:keepLines w:val="0"/>
        <w:pageBreakBefore w:val="0"/>
        <w:widowControl w:val="0"/>
        <w:bidi w:val="0"/>
        <w:spacing w:line="520" w:lineRule="exact"/>
        <w:ind w:firstLine="640" w:firstLineChars="200"/>
        <w:rPr>
          <w:rFonts w:hint="eastAsia" w:ascii="Times New Roman" w:hAnsi="Times New Roman" w:eastAsia="仿宋_GB2312" w:cs="Times New Roman"/>
          <w:kern w:val="2"/>
          <w:sz w:val="32"/>
          <w:szCs w:val="32"/>
          <w:u w:val="none"/>
          <w:lang w:val="zh-CN" w:eastAsia="zh-CN" w:bidi="ar"/>
        </w:rPr>
      </w:pPr>
      <w:r>
        <w:rPr>
          <w:rFonts w:hint="eastAsia" w:ascii="宋体" w:hAnsi="宋体" w:eastAsia="宋体" w:cs="宋体"/>
          <w:i w:val="0"/>
          <w:iCs w:val="0"/>
          <w:color w:val="000000"/>
          <w:kern w:val="2"/>
          <w:sz w:val="32"/>
          <w:szCs w:val="32"/>
          <w:shd w:val="clear" w:color="auto" w:fill="FFFFFF"/>
          <w:lang w:val="en-US" w:eastAsia="zh-CN" w:bidi="ar-SA"/>
        </w:rPr>
        <w:t>针对预算绩效目标设置不够精准的问题，我院将进一步细化量化绩效目标，提高目标设置的科学性与精准度；针对预算执行进度不均衡的问题，强化预算执行动态监控和序时调度，确保预算执行的及时性、均衡性与安全性。同时，持续强化预算约束，不断提升整体预算管理水平。</w:t>
      </w:r>
      <w:bookmarkEnd w:id="58"/>
    </w:p>
    <w:p w14:paraId="5B132608">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63F48EED">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1B58D7EC">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6398C6F8">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7274D0AC">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416CC5AC">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57DC1D11">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4D9722EE">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774D684B">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1ACF0E1E">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p>
    <w:p w14:paraId="6660FA21">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SA"/>
        </w:rPr>
      </w:pPr>
      <w:r>
        <w:rPr>
          <w:rFonts w:hint="default" w:ascii="Times New Roman" w:hAnsi="Times New Roman" w:eastAsia="方正小标宋简体" w:cs="Times New Roman"/>
          <w:color w:val="000000"/>
          <w:kern w:val="0"/>
          <w:sz w:val="44"/>
          <w:szCs w:val="44"/>
          <w:u w:val="none"/>
          <w:lang w:val="en-US" w:eastAsia="zh-CN" w:bidi="ar-SA"/>
        </w:rPr>
        <w:t>部门预算项目支出绩效评价表</w:t>
      </w:r>
    </w:p>
    <w:p w14:paraId="499B617C">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仿宋_GBK"/>
          <w:b/>
          <w:color w:val="000000"/>
          <w:kern w:val="0"/>
          <w:sz w:val="32"/>
          <w:szCs w:val="32"/>
          <w:highlight w:val="none"/>
          <w:shd w:val="clear" w:color="auto" w:fill="FFFFFF"/>
          <w:lang w:val="en-US" w:eastAsia="zh-CN" w:bidi="ar-SA"/>
        </w:rPr>
      </w:pPr>
      <w:r>
        <w:rPr>
          <w:rFonts w:hint="default" w:ascii="Times New Roman" w:hAnsi="Times New Roman" w:eastAsia="方正仿宋_GBK"/>
          <w:color w:val="000000"/>
          <w:kern w:val="0"/>
          <w:sz w:val="32"/>
          <w:szCs w:val="32"/>
          <w:u w:val="none"/>
          <w:lang w:val="en-US" w:eastAsia="zh-CN"/>
        </w:rPr>
        <w:t>（202</w:t>
      </w:r>
      <w:r>
        <w:rPr>
          <w:rFonts w:hint="eastAsia" w:ascii="Times New Roman" w:hAnsi="Times New Roman" w:eastAsia="方正仿宋_GBK"/>
          <w:color w:val="000000"/>
          <w:kern w:val="0"/>
          <w:sz w:val="32"/>
          <w:szCs w:val="32"/>
          <w:u w:val="none"/>
          <w:lang w:val="en-US" w:eastAsia="zh-CN"/>
        </w:rPr>
        <w:t>5</w:t>
      </w:r>
      <w:r>
        <w:rPr>
          <w:rFonts w:hint="default" w:ascii="Times New Roman" w:hAnsi="Times New Roman" w:eastAsia="方正仿宋_GBK"/>
          <w:color w:val="000000"/>
          <w:kern w:val="0"/>
          <w:sz w:val="32"/>
          <w:szCs w:val="32"/>
          <w:u w:val="none"/>
          <w:lang w:val="en-US" w:eastAsia="zh-CN"/>
        </w:rPr>
        <w:t>年度）</w:t>
      </w:r>
    </w:p>
    <w:tbl>
      <w:tblPr>
        <w:tblStyle w:val="16"/>
        <w:tblpPr w:leftFromText="180" w:rightFromText="180" w:vertAnchor="text" w:horzAnchor="page" w:tblpX="543" w:tblpY="639"/>
        <w:tblOverlap w:val="never"/>
        <w:tblW w:w="112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3"/>
        <w:gridCol w:w="1486"/>
        <w:gridCol w:w="1330"/>
        <w:gridCol w:w="1659"/>
        <w:gridCol w:w="462"/>
        <w:gridCol w:w="1216"/>
        <w:gridCol w:w="464"/>
        <w:gridCol w:w="988"/>
        <w:gridCol w:w="568"/>
        <w:gridCol w:w="569"/>
        <w:gridCol w:w="1805"/>
      </w:tblGrid>
      <w:tr w14:paraId="5157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159" w:type="dxa"/>
            <w:gridSpan w:val="2"/>
            <w:tcBorders>
              <w:top w:val="single" w:color="000000" w:sz="4" w:space="0"/>
              <w:left w:val="single" w:color="000000" w:sz="4" w:space="0"/>
              <w:bottom w:val="single" w:color="000000" w:sz="4" w:space="0"/>
              <w:right w:val="single" w:color="000000" w:sz="4" w:space="0"/>
            </w:tcBorders>
            <w:noWrap w:val="0"/>
            <w:vAlign w:val="center"/>
          </w:tcPr>
          <w:p w14:paraId="1EB0B3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061" w:type="dxa"/>
            <w:gridSpan w:val="9"/>
            <w:tcBorders>
              <w:top w:val="single" w:color="000000" w:sz="4" w:space="0"/>
              <w:left w:val="single" w:color="000000" w:sz="4" w:space="0"/>
              <w:bottom w:val="single" w:color="000000" w:sz="4" w:space="0"/>
              <w:right w:val="single" w:color="000000" w:sz="4" w:space="0"/>
            </w:tcBorders>
            <w:noWrap w:val="0"/>
            <w:vAlign w:val="center"/>
          </w:tcPr>
          <w:p w14:paraId="74DD92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检察业务工作经费</w:t>
            </w:r>
          </w:p>
        </w:tc>
      </w:tr>
      <w:tr w14:paraId="5DFB8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2159" w:type="dxa"/>
            <w:gridSpan w:val="2"/>
            <w:tcBorders>
              <w:top w:val="single" w:color="000000" w:sz="4" w:space="0"/>
              <w:left w:val="single" w:color="000000" w:sz="4" w:space="0"/>
              <w:bottom w:val="single" w:color="000000" w:sz="4" w:space="0"/>
              <w:right w:val="single" w:color="000000" w:sz="4" w:space="0"/>
            </w:tcBorders>
            <w:noWrap w:val="0"/>
            <w:vAlign w:val="center"/>
          </w:tcPr>
          <w:p w14:paraId="2D4FC6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131" w:type="dxa"/>
            <w:gridSpan w:val="5"/>
            <w:tcBorders>
              <w:top w:val="single" w:color="000000" w:sz="4" w:space="0"/>
              <w:left w:val="single" w:color="000000" w:sz="4" w:space="0"/>
              <w:bottom w:val="single" w:color="000000" w:sz="4" w:space="0"/>
              <w:right w:val="single" w:color="000000" w:sz="4" w:space="0"/>
            </w:tcBorders>
            <w:noWrap w:val="0"/>
            <w:vAlign w:val="center"/>
          </w:tcPr>
          <w:p w14:paraId="7F7EBD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恩阳区检察院部门</w:t>
            </w:r>
          </w:p>
        </w:tc>
        <w:tc>
          <w:tcPr>
            <w:tcW w:w="988" w:type="dxa"/>
            <w:tcBorders>
              <w:top w:val="nil"/>
              <w:left w:val="nil"/>
              <w:bottom w:val="nil"/>
              <w:right w:val="nil"/>
            </w:tcBorders>
            <w:noWrap w:val="0"/>
            <w:vAlign w:val="center"/>
          </w:tcPr>
          <w:p w14:paraId="3D9C1C0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42" w:type="dxa"/>
            <w:gridSpan w:val="3"/>
            <w:tcBorders>
              <w:top w:val="single" w:color="000000" w:sz="4" w:space="0"/>
              <w:left w:val="single" w:color="000000" w:sz="4" w:space="0"/>
              <w:bottom w:val="single" w:color="000000" w:sz="4" w:space="0"/>
              <w:right w:val="single" w:color="000000" w:sz="4" w:space="0"/>
            </w:tcBorders>
            <w:noWrap w:val="0"/>
            <w:vAlign w:val="center"/>
          </w:tcPr>
          <w:p w14:paraId="2BA9E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恩阳区检察院</w:t>
            </w:r>
          </w:p>
        </w:tc>
      </w:tr>
      <w:tr w14:paraId="2FA48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67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A307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86" w:type="dxa"/>
            <w:vMerge w:val="restart"/>
            <w:tcBorders>
              <w:top w:val="single" w:color="000000" w:sz="4" w:space="0"/>
              <w:left w:val="single" w:color="000000" w:sz="4" w:space="0"/>
              <w:bottom w:val="single" w:color="000000" w:sz="4" w:space="0"/>
              <w:right w:val="single" w:color="000000" w:sz="4" w:space="0"/>
            </w:tcBorders>
            <w:noWrap w:val="0"/>
            <w:vAlign w:val="center"/>
          </w:tcPr>
          <w:p w14:paraId="6F5B3B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131" w:type="dxa"/>
            <w:gridSpan w:val="5"/>
            <w:tcBorders>
              <w:top w:val="single" w:color="000000" w:sz="4" w:space="0"/>
              <w:left w:val="single" w:color="000000" w:sz="4" w:space="0"/>
              <w:bottom w:val="single" w:color="000000" w:sz="4" w:space="0"/>
              <w:right w:val="single" w:color="000000" w:sz="4" w:space="0"/>
            </w:tcBorders>
            <w:noWrap w:val="0"/>
            <w:vAlign w:val="center"/>
          </w:tcPr>
          <w:p w14:paraId="2065F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30" w:type="dxa"/>
            <w:gridSpan w:val="4"/>
            <w:tcBorders>
              <w:top w:val="single" w:color="000000" w:sz="4" w:space="0"/>
              <w:left w:val="single" w:color="000000" w:sz="4" w:space="0"/>
              <w:bottom w:val="single" w:color="000000" w:sz="4" w:space="0"/>
              <w:right w:val="single" w:color="000000" w:sz="4" w:space="0"/>
            </w:tcBorders>
            <w:noWrap w:val="0"/>
            <w:vAlign w:val="center"/>
          </w:tcPr>
          <w:p w14:paraId="73D0B7D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2217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5"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D2A7F">
            <w:pP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9839A4">
            <w:pPr>
              <w:rPr>
                <w:rFonts w:hint="eastAsia" w:ascii="宋体" w:hAnsi="宋体" w:eastAsia="宋体" w:cs="宋体"/>
                <w:i w:val="0"/>
                <w:iCs w:val="0"/>
                <w:color w:val="000000"/>
                <w:sz w:val="18"/>
                <w:szCs w:val="18"/>
                <w:u w:val="none"/>
              </w:rPr>
            </w:pPr>
          </w:p>
        </w:tc>
        <w:tc>
          <w:tcPr>
            <w:tcW w:w="5131" w:type="dxa"/>
            <w:gridSpan w:val="5"/>
            <w:tcBorders>
              <w:top w:val="single" w:color="000000" w:sz="4" w:space="0"/>
              <w:left w:val="single" w:color="000000" w:sz="4" w:space="0"/>
              <w:bottom w:val="single" w:color="000000" w:sz="4" w:space="0"/>
              <w:right w:val="single" w:color="000000" w:sz="4" w:space="0"/>
            </w:tcBorders>
            <w:noWrap w:val="0"/>
            <w:vAlign w:val="center"/>
          </w:tcPr>
          <w:p w14:paraId="3523F0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坚持以习近平新时代中国特色社会主义思想为指导，深入贯彻习近平法治思想，全面学习宣传贯彻党的二十大和党的二十届三中全会精神，认真落实《关于全面深化检察改革、进一步加强新时代检察工作的意见》，守正创新，依法履职，坚持以“三个善于”为引领，突出“高质效办好每一个案件”主线，持续做实为大局服务、为人民司法、为法治担当，为加快建设“两地三区”现代化新恩阳贡献更新更大检察力量！</w:t>
            </w:r>
          </w:p>
        </w:tc>
        <w:tc>
          <w:tcPr>
            <w:tcW w:w="3930" w:type="dxa"/>
            <w:gridSpan w:val="4"/>
            <w:tcBorders>
              <w:top w:val="single" w:color="000000" w:sz="4" w:space="0"/>
              <w:left w:val="single" w:color="000000" w:sz="4" w:space="0"/>
              <w:bottom w:val="single" w:color="000000" w:sz="4" w:space="0"/>
              <w:right w:val="single" w:color="000000" w:sz="4" w:space="0"/>
            </w:tcBorders>
            <w:noWrap w:val="0"/>
            <w:vAlign w:val="center"/>
          </w:tcPr>
          <w:p w14:paraId="0A4634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恩阳区人民检察院在区委和市检察院的坚强领导下，坚持以习近平新时代中国特色社会主义思想和习近平法治思想为指导，深入贯彻党的二十届三中、四中全会精神，全面落实党中央决策部署和省、市、区委工作要求，认真贯彻《中共巴中市委关于促进全市检察工作高质量发展的意见》，按照市检察院党组“1144”发展思路，忠实履行法律监督职责，持续做实高质效办好每一个案件，努力为加快建设“两地三区”现代化新恩阳作出积极贡献。</w:t>
            </w:r>
          </w:p>
        </w:tc>
      </w:tr>
      <w:tr w14:paraId="270AF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910CA">
            <w:pPr>
              <w:rPr>
                <w:rFonts w:hint="eastAsia" w:ascii="宋体" w:hAnsi="宋体" w:eastAsia="宋体" w:cs="宋体"/>
                <w:i w:val="0"/>
                <w:iCs w:val="0"/>
                <w:color w:val="000000"/>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6AA50A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061" w:type="dxa"/>
            <w:gridSpan w:val="9"/>
            <w:tcBorders>
              <w:top w:val="single" w:color="000000" w:sz="4" w:space="0"/>
              <w:left w:val="single" w:color="000000" w:sz="4" w:space="0"/>
              <w:bottom w:val="single" w:color="000000" w:sz="4" w:space="0"/>
              <w:right w:val="single" w:color="000000" w:sz="4" w:space="0"/>
            </w:tcBorders>
            <w:noWrap w:val="0"/>
            <w:vAlign w:val="center"/>
          </w:tcPr>
          <w:p w14:paraId="5A258C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驰而不息扛起“发展之责”，以强烈担当服务中心大局；2、念兹在兹回应“群众之盼”，以务实举措护航民生民利；3、坚定不移筑牢“公正之盾”，以精准监督维护公平正义；4、旗帜鲜明锻造“强基之本”，以高度自觉强化自身建设。</w:t>
            </w:r>
          </w:p>
        </w:tc>
      </w:tr>
      <w:tr w14:paraId="6A209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restart"/>
            <w:tcBorders>
              <w:top w:val="single" w:color="000000" w:sz="4" w:space="0"/>
              <w:left w:val="single" w:color="000000" w:sz="4" w:space="0"/>
              <w:bottom w:val="single" w:color="000000" w:sz="4" w:space="0"/>
              <w:right w:val="single" w:color="000000" w:sz="4" w:space="0"/>
            </w:tcBorders>
            <w:noWrap w:val="0"/>
            <w:vAlign w:val="center"/>
          </w:tcPr>
          <w:p w14:paraId="65363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4B1F4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5038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56813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142" w:type="dxa"/>
            <w:gridSpan w:val="3"/>
            <w:tcBorders>
              <w:top w:val="single" w:color="000000" w:sz="4" w:space="0"/>
              <w:left w:val="single" w:color="000000" w:sz="4" w:space="0"/>
              <w:bottom w:val="single" w:color="000000" w:sz="4" w:space="0"/>
              <w:right w:val="single" w:color="000000" w:sz="4" w:space="0"/>
            </w:tcBorders>
            <w:noWrap w:val="0"/>
            <w:vAlign w:val="center"/>
          </w:tcPr>
          <w:p w14:paraId="17421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6909C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46B34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68403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0EAAD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1F6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1973E">
            <w:pPr>
              <w:jc w:val="center"/>
              <w:rPr>
                <w:rFonts w:hint="eastAsia" w:ascii="宋体" w:hAnsi="宋体" w:eastAsia="宋体" w:cs="宋体"/>
                <w:i w:val="0"/>
                <w:iCs w:val="0"/>
                <w:color w:val="000000"/>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C826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67482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11338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2142" w:type="dxa"/>
            <w:gridSpan w:val="3"/>
            <w:tcBorders>
              <w:top w:val="single" w:color="000000" w:sz="4" w:space="0"/>
              <w:left w:val="single" w:color="000000" w:sz="4" w:space="0"/>
              <w:bottom w:val="single" w:color="000000" w:sz="4" w:space="0"/>
              <w:right w:val="single" w:color="000000" w:sz="4" w:space="0"/>
            </w:tcBorders>
            <w:noWrap w:val="0"/>
            <w:vAlign w:val="center"/>
          </w:tcPr>
          <w:p w14:paraId="04B4E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4EC81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41301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33197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05" w:type="dxa"/>
            <w:vMerge w:val="restart"/>
            <w:tcBorders>
              <w:top w:val="single" w:color="000000" w:sz="4" w:space="0"/>
              <w:left w:val="single" w:color="000000" w:sz="4" w:space="0"/>
              <w:bottom w:val="single" w:color="000000" w:sz="4" w:space="0"/>
              <w:right w:val="single" w:color="000000" w:sz="4" w:space="0"/>
            </w:tcBorders>
            <w:noWrap w:val="0"/>
            <w:vAlign w:val="center"/>
          </w:tcPr>
          <w:p w14:paraId="41A4D3BB">
            <w:pPr>
              <w:rPr>
                <w:rFonts w:hint="eastAsia" w:ascii="黑体" w:hAnsi="黑体" w:eastAsia="黑体" w:cs="黑体"/>
                <w:i/>
                <w:iCs/>
                <w:color w:val="000000"/>
                <w:sz w:val="18"/>
                <w:szCs w:val="18"/>
                <w:u w:val="none"/>
              </w:rPr>
            </w:pPr>
          </w:p>
        </w:tc>
      </w:tr>
      <w:tr w14:paraId="21697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5F6B4">
            <w:pPr>
              <w:jc w:val="center"/>
              <w:rPr>
                <w:rFonts w:hint="eastAsia" w:ascii="宋体" w:hAnsi="宋体" w:eastAsia="宋体" w:cs="宋体"/>
                <w:i w:val="0"/>
                <w:iCs w:val="0"/>
                <w:color w:val="000000"/>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58B78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0FAA2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1713B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2142" w:type="dxa"/>
            <w:gridSpan w:val="3"/>
            <w:tcBorders>
              <w:top w:val="single" w:color="000000" w:sz="4" w:space="0"/>
              <w:left w:val="single" w:color="000000" w:sz="4" w:space="0"/>
              <w:bottom w:val="single" w:color="000000" w:sz="4" w:space="0"/>
              <w:right w:val="single" w:color="000000" w:sz="4" w:space="0"/>
            </w:tcBorders>
            <w:noWrap w:val="0"/>
            <w:vAlign w:val="center"/>
          </w:tcPr>
          <w:p w14:paraId="15530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0232C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2F5B7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145FC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C2D22">
            <w:pPr>
              <w:rPr>
                <w:rFonts w:hint="eastAsia" w:ascii="黑体" w:hAnsi="黑体" w:eastAsia="黑体" w:cs="黑体"/>
                <w:i/>
                <w:iCs/>
                <w:color w:val="000000"/>
                <w:sz w:val="18"/>
                <w:szCs w:val="18"/>
                <w:u w:val="none"/>
              </w:rPr>
            </w:pPr>
          </w:p>
        </w:tc>
      </w:tr>
      <w:tr w14:paraId="65CA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646CA">
            <w:pPr>
              <w:jc w:val="center"/>
              <w:rPr>
                <w:rFonts w:hint="eastAsia" w:ascii="宋体" w:hAnsi="宋体" w:eastAsia="宋体" w:cs="宋体"/>
                <w:i w:val="0"/>
                <w:iCs w:val="0"/>
                <w:color w:val="000000"/>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5154A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41DE2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25232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42" w:type="dxa"/>
            <w:gridSpan w:val="3"/>
            <w:tcBorders>
              <w:top w:val="single" w:color="000000" w:sz="4" w:space="0"/>
              <w:left w:val="single" w:color="000000" w:sz="4" w:space="0"/>
              <w:bottom w:val="single" w:color="000000" w:sz="4" w:space="0"/>
              <w:right w:val="single" w:color="000000" w:sz="4" w:space="0"/>
            </w:tcBorders>
            <w:noWrap w:val="0"/>
            <w:vAlign w:val="center"/>
          </w:tcPr>
          <w:p w14:paraId="3312B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706CD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459FA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7267A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4FCAB">
            <w:pPr>
              <w:rPr>
                <w:rFonts w:hint="eastAsia" w:ascii="黑体" w:hAnsi="黑体" w:eastAsia="黑体" w:cs="黑体"/>
                <w:i/>
                <w:iCs/>
                <w:color w:val="000000"/>
                <w:sz w:val="18"/>
                <w:szCs w:val="18"/>
                <w:u w:val="none"/>
              </w:rPr>
            </w:pPr>
          </w:p>
        </w:tc>
      </w:tr>
      <w:tr w14:paraId="2642D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B35CF">
            <w:pPr>
              <w:jc w:val="center"/>
              <w:rPr>
                <w:rFonts w:hint="eastAsia" w:ascii="宋体" w:hAnsi="宋体" w:eastAsia="宋体" w:cs="宋体"/>
                <w:i w:val="0"/>
                <w:iCs w:val="0"/>
                <w:color w:val="000000"/>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028FE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EF06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6CBF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42" w:type="dxa"/>
            <w:gridSpan w:val="3"/>
            <w:tcBorders>
              <w:top w:val="single" w:color="000000" w:sz="4" w:space="0"/>
              <w:left w:val="single" w:color="000000" w:sz="4" w:space="0"/>
              <w:bottom w:val="single" w:color="000000" w:sz="4" w:space="0"/>
              <w:right w:val="single" w:color="000000" w:sz="4" w:space="0"/>
            </w:tcBorders>
            <w:noWrap w:val="0"/>
            <w:vAlign w:val="center"/>
          </w:tcPr>
          <w:p w14:paraId="2A7FF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43CB1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3022E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314D8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67E9E">
            <w:pPr>
              <w:rPr>
                <w:rFonts w:hint="eastAsia" w:ascii="黑体" w:hAnsi="黑体" w:eastAsia="黑体" w:cs="黑体"/>
                <w:i/>
                <w:iCs/>
                <w:color w:val="000000"/>
                <w:sz w:val="18"/>
                <w:szCs w:val="18"/>
                <w:u w:val="none"/>
              </w:rPr>
            </w:pPr>
          </w:p>
        </w:tc>
      </w:tr>
      <w:tr w14:paraId="7042B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D7003">
            <w:pPr>
              <w:jc w:val="center"/>
              <w:rPr>
                <w:rFonts w:hint="eastAsia" w:ascii="宋体" w:hAnsi="宋体" w:eastAsia="宋体" w:cs="宋体"/>
                <w:i w:val="0"/>
                <w:iCs w:val="0"/>
                <w:color w:val="000000"/>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7D67C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3E953381">
            <w:pPr>
              <w:jc w:val="center"/>
              <w:rPr>
                <w:rFonts w:hint="eastAsia" w:ascii="微软雅黑" w:hAnsi="微软雅黑" w:eastAsia="微软雅黑" w:cs="微软雅黑"/>
                <w:i/>
                <w:iCs/>
                <w:color w:val="000000"/>
                <w:sz w:val="16"/>
                <w:szCs w:val="16"/>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69C58DD4">
            <w:pPr>
              <w:jc w:val="center"/>
              <w:rPr>
                <w:rFonts w:hint="eastAsia" w:ascii="微软雅黑" w:hAnsi="微软雅黑" w:eastAsia="微软雅黑" w:cs="微软雅黑"/>
                <w:i/>
                <w:iCs/>
                <w:color w:val="000000"/>
                <w:sz w:val="16"/>
                <w:szCs w:val="16"/>
                <w:u w:val="none"/>
              </w:rPr>
            </w:pPr>
          </w:p>
        </w:tc>
        <w:tc>
          <w:tcPr>
            <w:tcW w:w="2142" w:type="dxa"/>
            <w:gridSpan w:val="3"/>
            <w:tcBorders>
              <w:top w:val="single" w:color="000000" w:sz="4" w:space="0"/>
              <w:left w:val="single" w:color="000000" w:sz="4" w:space="0"/>
              <w:bottom w:val="single" w:color="000000" w:sz="4" w:space="0"/>
              <w:right w:val="single" w:color="000000" w:sz="4" w:space="0"/>
            </w:tcBorders>
            <w:noWrap w:val="0"/>
            <w:vAlign w:val="center"/>
          </w:tcPr>
          <w:p w14:paraId="0BEE19BD">
            <w:pPr>
              <w:jc w:val="center"/>
              <w:rPr>
                <w:rFonts w:hint="eastAsia" w:ascii="微软雅黑" w:hAnsi="微软雅黑" w:eastAsia="微软雅黑" w:cs="微软雅黑"/>
                <w:i/>
                <w:iCs/>
                <w:color w:val="000000"/>
                <w:sz w:val="16"/>
                <w:szCs w:val="16"/>
                <w:u w:val="none"/>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40A356BE">
            <w:pPr>
              <w:jc w:val="center"/>
              <w:rPr>
                <w:rFonts w:hint="eastAsia" w:ascii="微软雅黑" w:hAnsi="微软雅黑" w:eastAsia="微软雅黑" w:cs="微软雅黑"/>
                <w:i/>
                <w:iCs/>
                <w:color w:val="000000"/>
                <w:sz w:val="16"/>
                <w:szCs w:val="16"/>
                <w:u w:val="none"/>
              </w:rPr>
            </w:pP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01435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61C68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4F195">
            <w:pPr>
              <w:rPr>
                <w:rFonts w:hint="eastAsia" w:ascii="黑体" w:hAnsi="黑体" w:eastAsia="黑体" w:cs="黑体"/>
                <w:i/>
                <w:iCs/>
                <w:color w:val="000000"/>
                <w:sz w:val="18"/>
                <w:szCs w:val="18"/>
                <w:u w:val="none"/>
              </w:rPr>
            </w:pPr>
          </w:p>
        </w:tc>
      </w:tr>
      <w:tr w14:paraId="11B6D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trPr>
        <w:tc>
          <w:tcPr>
            <w:tcW w:w="67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4FD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6DA50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54C17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5654A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666F1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9047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2EB58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66261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319AC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D372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7530E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218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DA735">
            <w:pPr>
              <w:jc w:val="center"/>
              <w:rPr>
                <w:rFonts w:hint="eastAsia" w:ascii="宋体" w:hAnsi="宋体" w:eastAsia="宋体" w:cs="宋体"/>
                <w:i w:val="0"/>
                <w:iCs w:val="0"/>
                <w:color w:val="000000"/>
                <w:sz w:val="18"/>
                <w:szCs w:val="18"/>
                <w:u w:val="none"/>
              </w:rPr>
            </w:pPr>
          </w:p>
        </w:tc>
        <w:tc>
          <w:tcPr>
            <w:tcW w:w="1486" w:type="dxa"/>
            <w:vMerge w:val="restart"/>
            <w:tcBorders>
              <w:top w:val="single" w:color="000000" w:sz="4" w:space="0"/>
              <w:left w:val="single" w:color="000000" w:sz="4" w:space="0"/>
              <w:bottom w:val="single" w:color="000000" w:sz="4" w:space="0"/>
              <w:right w:val="single" w:color="000000" w:sz="4" w:space="0"/>
            </w:tcBorders>
            <w:noWrap w:val="0"/>
            <w:vAlign w:val="center"/>
          </w:tcPr>
          <w:p w14:paraId="6A334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14:paraId="7B036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0D8DA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信息化系统及网络安全保障</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6FE0B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40C2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094DE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117C2B6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23E62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36AE3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53449DAE">
            <w:pPr>
              <w:jc w:val="center"/>
              <w:rPr>
                <w:rFonts w:hint="eastAsia" w:ascii="微软雅黑" w:hAnsi="微软雅黑" w:eastAsia="微软雅黑" w:cs="微软雅黑"/>
                <w:i/>
                <w:iCs/>
                <w:color w:val="000000"/>
                <w:sz w:val="16"/>
                <w:szCs w:val="16"/>
                <w:u w:val="none"/>
              </w:rPr>
            </w:pPr>
          </w:p>
        </w:tc>
      </w:tr>
      <w:tr w14:paraId="5CCD5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E3A13">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ED063">
            <w:pPr>
              <w:jc w:val="center"/>
              <w:rPr>
                <w:rFonts w:hint="eastAsia" w:ascii="宋体" w:hAnsi="宋体" w:eastAsia="宋体" w:cs="宋体"/>
                <w:i w:val="0"/>
                <w:iCs w:val="0"/>
                <w:color w:val="000000"/>
                <w:sz w:val="18"/>
                <w:szCs w:val="18"/>
                <w:u w:val="none"/>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C253F">
            <w:pPr>
              <w:jc w:val="center"/>
              <w:rPr>
                <w:rFonts w:hint="eastAsia" w:ascii="宋体" w:hAnsi="宋体" w:eastAsia="宋体" w:cs="宋体"/>
                <w:i w:val="0"/>
                <w:iCs w:val="0"/>
                <w:color w:val="000000"/>
                <w:sz w:val="18"/>
                <w:szCs w:val="18"/>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2A9B3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各类案件完成率</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1F720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0FF0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580ED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08DABAEB">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85</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41767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C92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45D20DCC">
            <w:pPr>
              <w:jc w:val="center"/>
              <w:rPr>
                <w:rFonts w:hint="eastAsia" w:ascii="微软雅黑" w:hAnsi="微软雅黑" w:eastAsia="微软雅黑" w:cs="微软雅黑"/>
                <w:i/>
                <w:iCs/>
                <w:color w:val="000000"/>
                <w:sz w:val="16"/>
                <w:szCs w:val="16"/>
                <w:u w:val="none"/>
              </w:rPr>
            </w:pPr>
          </w:p>
        </w:tc>
      </w:tr>
      <w:tr w14:paraId="72696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8BEA2">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F3992E">
            <w:pPr>
              <w:jc w:val="center"/>
              <w:rPr>
                <w:rFonts w:hint="eastAsia" w:ascii="宋体" w:hAnsi="宋体" w:eastAsia="宋体" w:cs="宋体"/>
                <w:i w:val="0"/>
                <w:iCs w:val="0"/>
                <w:color w:val="000000"/>
                <w:sz w:val="18"/>
                <w:szCs w:val="18"/>
                <w:u w:val="none"/>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B46F7">
            <w:pPr>
              <w:jc w:val="center"/>
              <w:rPr>
                <w:rFonts w:hint="eastAsia" w:ascii="宋体" w:hAnsi="宋体" w:eastAsia="宋体" w:cs="宋体"/>
                <w:i w:val="0"/>
                <w:iCs w:val="0"/>
                <w:color w:val="000000"/>
                <w:sz w:val="18"/>
                <w:szCs w:val="18"/>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5EA36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办案和技术用房日常维护</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376F9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1E81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1A428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7E89717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70126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4DE09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3BF0A224">
            <w:pPr>
              <w:jc w:val="center"/>
              <w:rPr>
                <w:rFonts w:hint="eastAsia" w:ascii="微软雅黑" w:hAnsi="微软雅黑" w:eastAsia="微软雅黑" w:cs="微软雅黑"/>
                <w:i/>
                <w:iCs/>
                <w:color w:val="000000"/>
                <w:sz w:val="16"/>
                <w:szCs w:val="16"/>
                <w:u w:val="none"/>
              </w:rPr>
            </w:pPr>
          </w:p>
        </w:tc>
      </w:tr>
      <w:tr w14:paraId="23099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EA10C">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FF49B">
            <w:pPr>
              <w:jc w:val="center"/>
              <w:rPr>
                <w:rFonts w:hint="eastAsia" w:ascii="宋体" w:hAnsi="宋体" w:eastAsia="宋体" w:cs="宋体"/>
                <w:i w:val="0"/>
                <w:iCs w:val="0"/>
                <w:color w:val="000000"/>
                <w:sz w:val="18"/>
                <w:szCs w:val="18"/>
                <w:u w:val="none"/>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9767E">
            <w:pPr>
              <w:jc w:val="center"/>
              <w:rPr>
                <w:rFonts w:hint="eastAsia" w:ascii="宋体" w:hAnsi="宋体" w:eastAsia="宋体" w:cs="宋体"/>
                <w:i w:val="0"/>
                <w:iCs w:val="0"/>
                <w:color w:val="000000"/>
                <w:sz w:val="18"/>
                <w:szCs w:val="18"/>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43889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全年干警培训</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6D6B9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4725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5A1E5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0AB3CA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39</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1019B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3ED80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1CEB9E13">
            <w:pPr>
              <w:jc w:val="center"/>
              <w:rPr>
                <w:rFonts w:hint="eastAsia" w:ascii="微软雅黑" w:hAnsi="微软雅黑" w:eastAsia="微软雅黑" w:cs="微软雅黑"/>
                <w:i/>
                <w:iCs/>
                <w:color w:val="000000"/>
                <w:sz w:val="16"/>
                <w:szCs w:val="16"/>
                <w:u w:val="none"/>
              </w:rPr>
            </w:pPr>
          </w:p>
        </w:tc>
      </w:tr>
      <w:tr w14:paraId="2EC9C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E3124">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5C245">
            <w:pPr>
              <w:jc w:val="center"/>
              <w:rPr>
                <w:rFonts w:hint="eastAsia" w:ascii="宋体" w:hAnsi="宋体" w:eastAsia="宋体" w:cs="宋体"/>
                <w:i w:val="0"/>
                <w:iCs w:val="0"/>
                <w:color w:val="000000"/>
                <w:sz w:val="18"/>
                <w:szCs w:val="18"/>
                <w:u w:val="none"/>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14:paraId="05900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5C17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案件办理合格率</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2A2AC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19C2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7CF6F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bookmarkStart w:id="73" w:name="_GoBack"/>
            <w:bookmarkEnd w:id="73"/>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23AE9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5395B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5F341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2D7831F6">
            <w:pPr>
              <w:jc w:val="center"/>
              <w:rPr>
                <w:rFonts w:hint="eastAsia" w:ascii="微软雅黑" w:hAnsi="微软雅黑" w:eastAsia="微软雅黑" w:cs="微软雅黑"/>
                <w:i/>
                <w:iCs/>
                <w:color w:val="000000"/>
                <w:sz w:val="16"/>
                <w:szCs w:val="16"/>
                <w:u w:val="none"/>
              </w:rPr>
            </w:pPr>
          </w:p>
        </w:tc>
      </w:tr>
      <w:tr w14:paraId="1699C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227FD">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F7080">
            <w:pPr>
              <w:jc w:val="center"/>
              <w:rPr>
                <w:rFonts w:hint="eastAsia" w:ascii="宋体" w:hAnsi="宋体" w:eastAsia="宋体" w:cs="宋体"/>
                <w:i w:val="0"/>
                <w:iCs w:val="0"/>
                <w:color w:val="000000"/>
                <w:sz w:val="18"/>
                <w:szCs w:val="18"/>
                <w:u w:val="none"/>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569BF">
            <w:pPr>
              <w:jc w:val="center"/>
              <w:rPr>
                <w:rFonts w:hint="eastAsia" w:ascii="宋体" w:hAnsi="宋体" w:eastAsia="宋体" w:cs="宋体"/>
                <w:i w:val="0"/>
                <w:iCs w:val="0"/>
                <w:color w:val="000000"/>
                <w:sz w:val="18"/>
                <w:szCs w:val="18"/>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43F27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信息化系统及网络安全保障率</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6F7DE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A40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7F6E5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F12D09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45656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6DF15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5D6B035D">
            <w:pPr>
              <w:jc w:val="center"/>
              <w:rPr>
                <w:rFonts w:hint="eastAsia" w:ascii="微软雅黑" w:hAnsi="微软雅黑" w:eastAsia="微软雅黑" w:cs="微软雅黑"/>
                <w:i/>
                <w:iCs/>
                <w:color w:val="000000"/>
                <w:sz w:val="16"/>
                <w:szCs w:val="16"/>
                <w:u w:val="none"/>
              </w:rPr>
            </w:pPr>
          </w:p>
        </w:tc>
      </w:tr>
      <w:tr w14:paraId="0E57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31CD6">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985F5">
            <w:pPr>
              <w:jc w:val="center"/>
              <w:rPr>
                <w:rFonts w:hint="eastAsia" w:ascii="宋体" w:hAnsi="宋体" w:eastAsia="宋体" w:cs="宋体"/>
                <w:i w:val="0"/>
                <w:iCs w:val="0"/>
                <w:color w:val="000000"/>
                <w:sz w:val="18"/>
                <w:szCs w:val="18"/>
                <w:u w:val="none"/>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14:paraId="77CB1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9D70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办案和技术用房正常运行</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7A3E8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1392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365</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47DBB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D61119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365</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32519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55605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70CDAD55">
            <w:pPr>
              <w:jc w:val="center"/>
              <w:rPr>
                <w:rFonts w:hint="eastAsia" w:ascii="微软雅黑" w:hAnsi="微软雅黑" w:eastAsia="微软雅黑" w:cs="微软雅黑"/>
                <w:i/>
                <w:iCs/>
                <w:color w:val="000000"/>
                <w:sz w:val="16"/>
                <w:szCs w:val="16"/>
                <w:u w:val="none"/>
              </w:rPr>
            </w:pPr>
          </w:p>
        </w:tc>
      </w:tr>
      <w:tr w14:paraId="326F3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BCAA8">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BE10B">
            <w:pPr>
              <w:jc w:val="center"/>
              <w:rPr>
                <w:rFonts w:hint="eastAsia" w:ascii="宋体" w:hAnsi="宋体" w:eastAsia="宋体" w:cs="宋体"/>
                <w:i w:val="0"/>
                <w:iCs w:val="0"/>
                <w:color w:val="000000"/>
                <w:sz w:val="18"/>
                <w:szCs w:val="18"/>
                <w:u w:val="none"/>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BCBBC">
            <w:pPr>
              <w:jc w:val="center"/>
              <w:rPr>
                <w:rFonts w:hint="eastAsia" w:ascii="宋体" w:hAnsi="宋体" w:eastAsia="宋体" w:cs="宋体"/>
                <w:i w:val="0"/>
                <w:iCs w:val="0"/>
                <w:color w:val="000000"/>
                <w:sz w:val="18"/>
                <w:szCs w:val="18"/>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0521B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提高办案效率</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00A79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9E96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确保案件及时审结</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0357C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3DD35F5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案件及时审结</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3A33B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1EC4C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2D893CD8">
            <w:pPr>
              <w:jc w:val="center"/>
              <w:rPr>
                <w:rFonts w:hint="eastAsia" w:ascii="微软雅黑" w:hAnsi="微软雅黑" w:eastAsia="微软雅黑" w:cs="微软雅黑"/>
                <w:i/>
                <w:iCs/>
                <w:color w:val="000000"/>
                <w:sz w:val="16"/>
                <w:szCs w:val="16"/>
                <w:u w:val="none"/>
              </w:rPr>
            </w:pPr>
          </w:p>
        </w:tc>
      </w:tr>
      <w:tr w14:paraId="5A81A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CFE2C">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47FEA">
            <w:pPr>
              <w:jc w:val="center"/>
              <w:rPr>
                <w:rFonts w:hint="eastAsia" w:ascii="宋体" w:hAnsi="宋体" w:eastAsia="宋体" w:cs="宋体"/>
                <w:i w:val="0"/>
                <w:iCs w:val="0"/>
                <w:color w:val="000000"/>
                <w:sz w:val="18"/>
                <w:szCs w:val="18"/>
                <w:u w:val="none"/>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10327">
            <w:pPr>
              <w:jc w:val="center"/>
              <w:rPr>
                <w:rFonts w:hint="eastAsia" w:ascii="宋体" w:hAnsi="宋体" w:eastAsia="宋体" w:cs="宋体"/>
                <w:i w:val="0"/>
                <w:iCs w:val="0"/>
                <w:color w:val="000000"/>
                <w:sz w:val="18"/>
                <w:szCs w:val="18"/>
                <w:u w:val="none"/>
              </w:rPr>
            </w:pP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618E8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干警培训按期开展率</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4AD78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6F01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19D48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472428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58E4C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0062B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309BEC11">
            <w:pPr>
              <w:jc w:val="center"/>
              <w:rPr>
                <w:rFonts w:hint="eastAsia" w:ascii="微软雅黑" w:hAnsi="微软雅黑" w:eastAsia="微软雅黑" w:cs="微软雅黑"/>
                <w:i/>
                <w:iCs/>
                <w:color w:val="000000"/>
                <w:sz w:val="16"/>
                <w:szCs w:val="16"/>
                <w:u w:val="none"/>
              </w:rPr>
            </w:pPr>
          </w:p>
        </w:tc>
      </w:tr>
      <w:tr w14:paraId="40EF5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A7DC9">
            <w:pPr>
              <w:jc w:val="center"/>
              <w:rPr>
                <w:rFonts w:hint="eastAsia" w:ascii="宋体" w:hAnsi="宋体" w:eastAsia="宋体" w:cs="宋体"/>
                <w:i w:val="0"/>
                <w:iCs w:val="0"/>
                <w:color w:val="000000"/>
                <w:sz w:val="18"/>
                <w:szCs w:val="18"/>
                <w:u w:val="none"/>
              </w:rPr>
            </w:pPr>
          </w:p>
        </w:tc>
        <w:tc>
          <w:tcPr>
            <w:tcW w:w="1486" w:type="dxa"/>
            <w:vMerge w:val="restart"/>
            <w:tcBorders>
              <w:top w:val="single" w:color="000000" w:sz="4" w:space="0"/>
              <w:left w:val="single" w:color="000000" w:sz="4" w:space="0"/>
              <w:bottom w:val="single" w:color="000000" w:sz="4" w:space="0"/>
              <w:right w:val="single" w:color="000000" w:sz="4" w:space="0"/>
            </w:tcBorders>
            <w:noWrap w:val="0"/>
            <w:vAlign w:val="center"/>
          </w:tcPr>
          <w:p w14:paraId="1CDE7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1106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56A2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法治化营商环境优化程度</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30C72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82D7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3800A002">
            <w:pPr>
              <w:jc w:val="center"/>
              <w:rPr>
                <w:rFonts w:hint="eastAsia" w:ascii="宋体" w:hAnsi="宋体" w:eastAsia="宋体" w:cs="宋体"/>
                <w:i w:val="0"/>
                <w:iCs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11D75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6A659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6FD7B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3DB318F1">
            <w:pPr>
              <w:jc w:val="center"/>
              <w:rPr>
                <w:rFonts w:hint="eastAsia" w:ascii="微软雅黑" w:hAnsi="微软雅黑" w:eastAsia="微软雅黑" w:cs="微软雅黑"/>
                <w:i/>
                <w:iCs/>
                <w:color w:val="000000"/>
                <w:sz w:val="16"/>
                <w:szCs w:val="16"/>
                <w:u w:val="none"/>
              </w:rPr>
            </w:pPr>
          </w:p>
        </w:tc>
      </w:tr>
      <w:tr w14:paraId="66A04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F73F7">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84E85">
            <w:pPr>
              <w:jc w:val="center"/>
              <w:rPr>
                <w:rFonts w:hint="eastAsia" w:ascii="宋体" w:hAnsi="宋体" w:eastAsia="宋体" w:cs="宋体"/>
                <w:i w:val="0"/>
                <w:iCs w:val="0"/>
                <w:color w:val="000000"/>
                <w:sz w:val="18"/>
                <w:szCs w:val="18"/>
                <w:u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5AB92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43464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切实增强人民群众安全感</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20E99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6CEF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58543E21">
            <w:pPr>
              <w:jc w:val="center"/>
              <w:rPr>
                <w:rFonts w:hint="eastAsia" w:ascii="宋体" w:hAnsi="宋体" w:eastAsia="宋体" w:cs="宋体"/>
                <w:i w:val="0"/>
                <w:iCs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E1FCE9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71CB5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055C5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0DAB4724">
            <w:pPr>
              <w:jc w:val="center"/>
              <w:rPr>
                <w:rFonts w:hint="eastAsia" w:ascii="微软雅黑" w:hAnsi="微软雅黑" w:eastAsia="微软雅黑" w:cs="微软雅黑"/>
                <w:i/>
                <w:iCs/>
                <w:color w:val="000000"/>
                <w:sz w:val="16"/>
                <w:szCs w:val="16"/>
                <w:u w:val="none"/>
              </w:rPr>
            </w:pPr>
          </w:p>
        </w:tc>
      </w:tr>
      <w:tr w14:paraId="1BF5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1D886">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7AB5A">
            <w:pPr>
              <w:jc w:val="center"/>
              <w:rPr>
                <w:rFonts w:hint="eastAsia" w:ascii="宋体" w:hAnsi="宋体" w:eastAsia="宋体" w:cs="宋体"/>
                <w:i w:val="0"/>
                <w:iCs w:val="0"/>
                <w:color w:val="000000"/>
                <w:sz w:val="18"/>
                <w:szCs w:val="18"/>
                <w:u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5F786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1AE3E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生态环境司法保护程度</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4220E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B49E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4C09C606">
            <w:pPr>
              <w:jc w:val="center"/>
              <w:rPr>
                <w:rFonts w:hint="eastAsia" w:ascii="宋体" w:hAnsi="宋体" w:eastAsia="宋体" w:cs="宋体"/>
                <w:i w:val="0"/>
                <w:iCs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BA1A4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2CD1F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405DF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5D0ACC66">
            <w:pPr>
              <w:jc w:val="center"/>
              <w:rPr>
                <w:rFonts w:hint="eastAsia" w:ascii="微软雅黑" w:hAnsi="微软雅黑" w:eastAsia="微软雅黑" w:cs="微软雅黑"/>
                <w:i/>
                <w:iCs/>
                <w:color w:val="000000"/>
                <w:sz w:val="16"/>
                <w:szCs w:val="16"/>
                <w:u w:val="none"/>
              </w:rPr>
            </w:pPr>
          </w:p>
        </w:tc>
      </w:tr>
      <w:tr w14:paraId="213D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0EF55">
            <w:pPr>
              <w:jc w:val="center"/>
              <w:rPr>
                <w:rFonts w:hint="eastAsia" w:ascii="宋体" w:hAnsi="宋体" w:eastAsia="宋体" w:cs="宋体"/>
                <w:i w:val="0"/>
                <w:iCs w:val="0"/>
                <w:color w:val="000000"/>
                <w:sz w:val="18"/>
                <w:szCs w:val="18"/>
                <w:u w:val="none"/>
              </w:rPr>
            </w:pPr>
          </w:p>
        </w:tc>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7EAC5">
            <w:pPr>
              <w:jc w:val="center"/>
              <w:rPr>
                <w:rFonts w:hint="eastAsia" w:ascii="宋体" w:hAnsi="宋体" w:eastAsia="宋体" w:cs="宋体"/>
                <w:i w:val="0"/>
                <w:iCs w:val="0"/>
                <w:color w:val="000000"/>
                <w:sz w:val="18"/>
                <w:szCs w:val="18"/>
                <w:u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4D455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49B10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持续推进行政检察监督、持续提升队伍业务素能</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311E1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8C32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优良中差</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090BFAE">
            <w:pPr>
              <w:jc w:val="center"/>
              <w:rPr>
                <w:rFonts w:hint="eastAsia" w:ascii="宋体" w:hAnsi="宋体" w:eastAsia="宋体" w:cs="宋体"/>
                <w:i w:val="0"/>
                <w:iCs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41C9DC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6C8DD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154F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3E39CF93">
            <w:pPr>
              <w:jc w:val="center"/>
              <w:rPr>
                <w:rFonts w:hint="eastAsia" w:ascii="微软雅黑" w:hAnsi="微软雅黑" w:eastAsia="微软雅黑" w:cs="微软雅黑"/>
                <w:i/>
                <w:iCs/>
                <w:color w:val="000000"/>
                <w:sz w:val="16"/>
                <w:szCs w:val="16"/>
                <w:u w:val="none"/>
              </w:rPr>
            </w:pPr>
          </w:p>
        </w:tc>
      </w:tr>
      <w:tr w14:paraId="5DF44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231947">
            <w:pPr>
              <w:jc w:val="center"/>
              <w:rPr>
                <w:rFonts w:hint="eastAsia" w:ascii="宋体" w:hAnsi="宋体" w:eastAsia="宋体" w:cs="宋体"/>
                <w:i w:val="0"/>
                <w:iCs w:val="0"/>
                <w:color w:val="000000"/>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68D6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3C3BF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09328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2C15C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CBF3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60D3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08D4F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14FCA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74633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66673337">
            <w:pPr>
              <w:jc w:val="center"/>
              <w:rPr>
                <w:rFonts w:hint="eastAsia" w:ascii="微软雅黑" w:hAnsi="微软雅黑" w:eastAsia="微软雅黑" w:cs="微软雅黑"/>
                <w:i/>
                <w:iCs/>
                <w:color w:val="000000"/>
                <w:sz w:val="16"/>
                <w:szCs w:val="16"/>
                <w:u w:val="none"/>
              </w:rPr>
            </w:pPr>
          </w:p>
        </w:tc>
      </w:tr>
      <w:tr w14:paraId="088A3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036CE">
            <w:pPr>
              <w:jc w:val="center"/>
              <w:rPr>
                <w:rFonts w:hint="eastAsia" w:ascii="宋体" w:hAnsi="宋体" w:eastAsia="宋体" w:cs="宋体"/>
                <w:i w:val="0"/>
                <w:iCs w:val="0"/>
                <w:color w:val="000000"/>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41B2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6A190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1AC79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预算控制数</w:t>
            </w:r>
          </w:p>
        </w:tc>
        <w:tc>
          <w:tcPr>
            <w:tcW w:w="462" w:type="dxa"/>
            <w:tcBorders>
              <w:top w:val="single" w:color="000000" w:sz="4" w:space="0"/>
              <w:left w:val="single" w:color="000000" w:sz="4" w:space="0"/>
              <w:bottom w:val="single" w:color="000000" w:sz="4" w:space="0"/>
              <w:right w:val="single" w:color="000000" w:sz="4" w:space="0"/>
            </w:tcBorders>
            <w:noWrap w:val="0"/>
            <w:vAlign w:val="center"/>
          </w:tcPr>
          <w:p w14:paraId="530E9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94B9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7F100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1D02528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150</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0AAE5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5703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2669C9B4">
            <w:pPr>
              <w:jc w:val="center"/>
              <w:rPr>
                <w:rFonts w:hint="eastAsia" w:ascii="微软雅黑" w:hAnsi="微软雅黑" w:eastAsia="微软雅黑" w:cs="微软雅黑"/>
                <w:i/>
                <w:iCs/>
                <w:color w:val="000000"/>
                <w:sz w:val="16"/>
                <w:szCs w:val="16"/>
                <w:u w:val="none"/>
              </w:rPr>
            </w:pPr>
          </w:p>
        </w:tc>
      </w:tr>
      <w:tr w14:paraId="4635B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8278" w:type="dxa"/>
            <w:gridSpan w:val="8"/>
            <w:tcBorders>
              <w:top w:val="single" w:color="000000" w:sz="4" w:space="0"/>
              <w:left w:val="single" w:color="000000" w:sz="4" w:space="0"/>
              <w:bottom w:val="single" w:color="000000" w:sz="4" w:space="0"/>
              <w:right w:val="single" w:color="000000" w:sz="4" w:space="0"/>
            </w:tcBorders>
            <w:noWrap w:val="0"/>
            <w:vAlign w:val="center"/>
          </w:tcPr>
          <w:p w14:paraId="7DC89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14:paraId="0496D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4D8C9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533BCBFE">
            <w:pPr>
              <w:rPr>
                <w:rFonts w:hint="eastAsia" w:ascii="宋体" w:hAnsi="宋体" w:eastAsia="宋体" w:cs="宋体"/>
                <w:i w:val="0"/>
                <w:iCs w:val="0"/>
                <w:color w:val="000000"/>
                <w:sz w:val="18"/>
                <w:szCs w:val="18"/>
                <w:u w:val="none"/>
              </w:rPr>
            </w:pPr>
          </w:p>
        </w:tc>
      </w:tr>
      <w:tr w14:paraId="2D553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trPr>
        <w:tc>
          <w:tcPr>
            <w:tcW w:w="673" w:type="dxa"/>
            <w:tcBorders>
              <w:top w:val="single" w:color="000000" w:sz="4" w:space="0"/>
              <w:left w:val="single" w:color="000000" w:sz="4" w:space="0"/>
              <w:bottom w:val="single" w:color="000000" w:sz="4" w:space="0"/>
              <w:right w:val="single" w:color="000000" w:sz="4" w:space="0"/>
            </w:tcBorders>
            <w:noWrap w:val="0"/>
            <w:vAlign w:val="center"/>
          </w:tcPr>
          <w:p w14:paraId="3CFCF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547" w:type="dxa"/>
            <w:gridSpan w:val="10"/>
            <w:tcBorders>
              <w:top w:val="single" w:color="000000" w:sz="4" w:space="0"/>
              <w:left w:val="single" w:color="000000" w:sz="4" w:space="0"/>
              <w:bottom w:val="single" w:color="000000" w:sz="4" w:space="0"/>
              <w:right w:val="single" w:color="000000" w:sz="4" w:space="0"/>
            </w:tcBorders>
            <w:noWrap w:val="0"/>
            <w:vAlign w:val="center"/>
          </w:tcPr>
          <w:p w14:paraId="7ABEA2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依据项目决策、过程管理、预算执行率及绩效目标实现程度等指标进行自评，综合得分为96分，评价等次为“优”。项目实施期间，一是严厉打击颠覆、分裂、暴恐等严重刑事犯罪，有力维护国家政治安全和政权安全；二是全面落实认罪认罚从宽制度，加强刑事立案、诉讼及审判监督，扎实推进刑事抗诉与羁押必要性审查工作；三是依法办理各类危害人民群众人身财产安全、破坏社会管理秩序的犯罪案件，切实保障社会稳定。截至目前，项目各项绩效目标已全面完成。</w:t>
            </w:r>
          </w:p>
        </w:tc>
      </w:tr>
      <w:tr w14:paraId="70198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73" w:type="dxa"/>
            <w:tcBorders>
              <w:top w:val="single" w:color="000000" w:sz="4" w:space="0"/>
              <w:left w:val="single" w:color="000000" w:sz="4" w:space="0"/>
              <w:bottom w:val="single" w:color="000000" w:sz="4" w:space="0"/>
              <w:right w:val="single" w:color="000000" w:sz="4" w:space="0"/>
            </w:tcBorders>
            <w:noWrap w:val="0"/>
            <w:vAlign w:val="center"/>
          </w:tcPr>
          <w:p w14:paraId="4A494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547" w:type="dxa"/>
            <w:gridSpan w:val="10"/>
            <w:tcBorders>
              <w:top w:val="single" w:color="000000" w:sz="4" w:space="0"/>
              <w:left w:val="single" w:color="000000" w:sz="4" w:space="0"/>
              <w:bottom w:val="single" w:color="000000" w:sz="4" w:space="0"/>
              <w:right w:val="single" w:color="000000" w:sz="4" w:space="0"/>
            </w:tcBorders>
            <w:noWrap w:val="0"/>
            <w:vAlign w:val="center"/>
          </w:tcPr>
          <w:p w14:paraId="76BEA6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一是预算绩效目标设置不够精准，二是预算执行进度不均衡。</w:t>
            </w:r>
          </w:p>
        </w:tc>
      </w:tr>
      <w:tr w14:paraId="41092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673" w:type="dxa"/>
            <w:tcBorders>
              <w:top w:val="single" w:color="000000" w:sz="4" w:space="0"/>
              <w:left w:val="single" w:color="000000" w:sz="4" w:space="0"/>
              <w:bottom w:val="single" w:color="000000" w:sz="4" w:space="0"/>
              <w:right w:val="single" w:color="000000" w:sz="4" w:space="0"/>
            </w:tcBorders>
            <w:noWrap w:val="0"/>
            <w:vAlign w:val="center"/>
          </w:tcPr>
          <w:p w14:paraId="7297F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547" w:type="dxa"/>
            <w:gridSpan w:val="10"/>
            <w:tcBorders>
              <w:top w:val="single" w:color="000000" w:sz="4" w:space="0"/>
              <w:left w:val="single" w:color="000000" w:sz="4" w:space="0"/>
              <w:bottom w:val="single" w:color="000000" w:sz="4" w:space="0"/>
              <w:right w:val="single" w:color="000000" w:sz="4" w:space="0"/>
            </w:tcBorders>
            <w:noWrap w:val="0"/>
            <w:vAlign w:val="center"/>
          </w:tcPr>
          <w:p w14:paraId="7FEB9C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预算绩效目标设置不够精准的问题，我院将进一步细化量化绩效目标，提高目标设置的科学性与精准度；针对预算执行进度不均衡的问题，强化预算执行动态监控和序时调度，确保预算执行的及时性、均衡性与安全性。同时，持续强化预算约束，不断提升整体预算管理水平。</w:t>
            </w:r>
          </w:p>
        </w:tc>
      </w:tr>
    </w:tbl>
    <w:p w14:paraId="57DB60B4">
      <w:pPr>
        <w:keepNext w:val="0"/>
        <w:keepLines w:val="0"/>
        <w:pageBreakBefore w:val="0"/>
        <w:widowControl w:val="0"/>
        <w:suppressLineNumbers w:val="0"/>
        <w:suppressAutoHyphens w:val="0"/>
        <w:bidi w:val="0"/>
      </w:pPr>
    </w:p>
    <w:p w14:paraId="03D46184">
      <w:pPr>
        <w:rPr>
          <w:rFonts w:hint="eastAsia" w:ascii="Times New Roman" w:hAnsi="Times New Roman" w:eastAsia="黑体" w:cs="黑体"/>
          <w:color w:val="auto"/>
          <w:kern w:val="0"/>
          <w:sz w:val="32"/>
          <w:szCs w:val="32"/>
          <w:highlight w:val="none"/>
          <w:shd w:val="clear" w:color="auto" w:fill="FFFFFF"/>
          <w:lang w:val="zh-CN"/>
        </w:rPr>
      </w:pPr>
    </w:p>
    <w:p w14:paraId="77935544">
      <w:pPr>
        <w:widowControl/>
        <w:jc w:val="center"/>
        <w:rPr>
          <w:rFonts w:hint="eastAsia" w:ascii="Times New Roman" w:hAnsi="Times New Roman" w:eastAsia="仿宋"/>
          <w:b w:val="0"/>
          <w:color w:val="auto"/>
          <w:highlight w:val="none"/>
        </w:rPr>
      </w:pPr>
      <w:bookmarkStart w:id="59"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9"/>
      <w:bookmarkStart w:id="60" w:name="_Toc15396619"/>
    </w:p>
    <w:p w14:paraId="7CD3B3D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3FF87D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0"/>
    </w:p>
    <w:p w14:paraId="666FF36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0"/>
      <w:r>
        <w:rPr>
          <w:rFonts w:hint="eastAsia" w:ascii="Times New Roman" w:hAnsi="Times New Roman" w:eastAsia="仿宋_GB2312" w:cs="仿宋_GB2312"/>
          <w:color w:val="auto"/>
          <w:sz w:val="32"/>
          <w:szCs w:val="32"/>
          <w:highlight w:val="none"/>
        </w:rPr>
        <w:t>二、收入决算表</w:t>
      </w:r>
      <w:bookmarkEnd w:id="61"/>
    </w:p>
    <w:p w14:paraId="2EB42FD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1"/>
      <w:r>
        <w:rPr>
          <w:rFonts w:hint="eastAsia" w:ascii="Times New Roman" w:hAnsi="Times New Roman" w:eastAsia="仿宋_GB2312" w:cs="仿宋_GB2312"/>
          <w:color w:val="auto"/>
          <w:sz w:val="32"/>
          <w:szCs w:val="32"/>
          <w:highlight w:val="none"/>
        </w:rPr>
        <w:t>三、支出决算表</w:t>
      </w:r>
      <w:bookmarkEnd w:id="62"/>
    </w:p>
    <w:p w14:paraId="4C415E0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2"/>
      <w:r>
        <w:rPr>
          <w:rFonts w:hint="eastAsia" w:ascii="Times New Roman" w:hAnsi="Times New Roman" w:eastAsia="仿宋_GB2312" w:cs="仿宋_GB2312"/>
          <w:color w:val="auto"/>
          <w:sz w:val="32"/>
          <w:szCs w:val="32"/>
          <w:highlight w:val="none"/>
        </w:rPr>
        <w:t>四、财政拨款收入支出决算总表</w:t>
      </w:r>
      <w:bookmarkEnd w:id="63"/>
    </w:p>
    <w:p w14:paraId="4DBA60C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3"/>
      <w:r>
        <w:rPr>
          <w:rFonts w:hint="eastAsia" w:ascii="Times New Roman" w:hAnsi="Times New Roman" w:eastAsia="仿宋_GB2312" w:cs="仿宋_GB2312"/>
          <w:color w:val="auto"/>
          <w:sz w:val="32"/>
          <w:szCs w:val="32"/>
          <w:highlight w:val="none"/>
        </w:rPr>
        <w:t>五、财政拨款支出决算明细表</w:t>
      </w:r>
      <w:bookmarkEnd w:id="64"/>
      <w:bookmarkStart w:id="65" w:name="_Toc15396624"/>
    </w:p>
    <w:p w14:paraId="19CC751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5"/>
    </w:p>
    <w:p w14:paraId="3A5A4E1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5"/>
      <w:r>
        <w:rPr>
          <w:rFonts w:hint="eastAsia" w:ascii="Times New Roman" w:hAnsi="Times New Roman" w:eastAsia="仿宋_GB2312" w:cs="仿宋_GB2312"/>
          <w:color w:val="auto"/>
          <w:sz w:val="32"/>
          <w:szCs w:val="32"/>
          <w:highlight w:val="none"/>
        </w:rPr>
        <w:t>七、一般公共预算财政拨款支出决算明细表</w:t>
      </w:r>
      <w:bookmarkEnd w:id="66"/>
    </w:p>
    <w:p w14:paraId="7FB386B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6"/>
      <w:r>
        <w:rPr>
          <w:rFonts w:hint="eastAsia" w:ascii="Times New Roman" w:hAnsi="Times New Roman" w:eastAsia="仿宋_GB2312" w:cs="仿宋_GB2312"/>
          <w:color w:val="auto"/>
          <w:sz w:val="32"/>
          <w:szCs w:val="32"/>
          <w:highlight w:val="none"/>
        </w:rPr>
        <w:t>八、一般公共预算财政拨款基本支出决算表</w:t>
      </w:r>
      <w:bookmarkEnd w:id="67"/>
    </w:p>
    <w:p w14:paraId="7DD2BC6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7"/>
      <w:r>
        <w:rPr>
          <w:rFonts w:hint="eastAsia" w:ascii="Times New Roman" w:hAnsi="Times New Roman" w:eastAsia="仿宋_GB2312" w:cs="仿宋_GB2312"/>
          <w:color w:val="auto"/>
          <w:sz w:val="32"/>
          <w:szCs w:val="32"/>
          <w:highlight w:val="none"/>
        </w:rPr>
        <w:t>九、一般公共预算财政拨款项目支出决算表</w:t>
      </w:r>
      <w:bookmarkEnd w:id="68"/>
    </w:p>
    <w:p w14:paraId="750D336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8"/>
      <w:r>
        <w:rPr>
          <w:rFonts w:hint="eastAsia" w:ascii="Times New Roman" w:hAnsi="Times New Roman" w:eastAsia="仿宋_GB2312" w:cs="仿宋_GB2312"/>
          <w:color w:val="auto"/>
          <w:sz w:val="32"/>
          <w:szCs w:val="32"/>
          <w:highlight w:val="none"/>
        </w:rPr>
        <w:t>十、</w:t>
      </w:r>
      <w:bookmarkEnd w:id="69"/>
      <w:r>
        <w:rPr>
          <w:rFonts w:hint="eastAsia" w:ascii="Times New Roman" w:hAnsi="Times New Roman" w:eastAsia="仿宋_GB2312" w:cs="仿宋_GB2312"/>
          <w:color w:val="auto"/>
          <w:sz w:val="32"/>
          <w:szCs w:val="32"/>
          <w:highlight w:val="none"/>
        </w:rPr>
        <w:t>政府性基金预算财政拨款收入支出决算表</w:t>
      </w:r>
    </w:p>
    <w:p w14:paraId="75E5B8A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9"/>
      <w:r>
        <w:rPr>
          <w:rFonts w:hint="eastAsia" w:ascii="Times New Roman" w:hAnsi="Times New Roman" w:eastAsia="仿宋_GB2312" w:cs="仿宋_GB2312"/>
          <w:color w:val="auto"/>
          <w:sz w:val="32"/>
          <w:szCs w:val="32"/>
          <w:highlight w:val="none"/>
        </w:rPr>
        <w:t>十一、</w:t>
      </w:r>
      <w:bookmarkEnd w:id="7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A85D6C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30"/>
      <w:r>
        <w:rPr>
          <w:rFonts w:hint="eastAsia" w:ascii="Times New Roman" w:hAnsi="Times New Roman" w:eastAsia="仿宋_GB2312" w:cs="仿宋_GB2312"/>
          <w:color w:val="auto"/>
          <w:sz w:val="32"/>
          <w:szCs w:val="32"/>
          <w:highlight w:val="none"/>
        </w:rPr>
        <w:t>十二、</w:t>
      </w:r>
      <w:bookmarkEnd w:id="71"/>
      <w:r>
        <w:rPr>
          <w:rFonts w:hint="eastAsia" w:ascii="Times New Roman" w:hAnsi="Times New Roman" w:eastAsia="仿宋_GB2312" w:cs="仿宋_GB2312"/>
          <w:color w:val="auto"/>
          <w:sz w:val="32"/>
          <w:szCs w:val="32"/>
          <w:highlight w:val="none"/>
          <w:lang w:eastAsia="zh-CN"/>
        </w:rPr>
        <w:t>国有资本经营预算财政拨款支出决算表</w:t>
      </w:r>
    </w:p>
    <w:p w14:paraId="5268629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2" w:name="_Toc15396631"/>
      <w:r>
        <w:rPr>
          <w:rFonts w:hint="eastAsia" w:ascii="Times New Roman" w:hAnsi="Times New Roman" w:eastAsia="仿宋_GB2312" w:cs="仿宋_GB2312"/>
          <w:color w:val="auto"/>
          <w:sz w:val="32"/>
          <w:szCs w:val="32"/>
          <w:highlight w:val="none"/>
        </w:rPr>
        <w:t>十三、</w:t>
      </w:r>
      <w:bookmarkEnd w:id="72"/>
      <w:r>
        <w:rPr>
          <w:rFonts w:hint="eastAsia" w:ascii="Times New Roman" w:hAnsi="Times New Roman" w:eastAsia="仿宋_GB2312" w:cs="仿宋_GB2312"/>
          <w:color w:val="auto"/>
          <w:sz w:val="32"/>
          <w:szCs w:val="32"/>
          <w:highlight w:val="none"/>
          <w:lang w:eastAsia="zh-CN"/>
        </w:rPr>
        <w:t>财政拨款“三公”经费支出决算表</w:t>
      </w:r>
    </w:p>
    <w:p w14:paraId="7F917264">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2000000000000000000"/>
    <w:charset w:val="86"/>
    <w:family w:val="script"/>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89728">
    <w:pPr>
      <w:pStyle w:val="11"/>
      <w:jc w:val="center"/>
    </w:pPr>
  </w:p>
  <w:p w14:paraId="509212CD">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02A07">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D09B7">
    <w:pPr>
      <w:pStyle w:val="11"/>
      <w:jc w:val="center"/>
    </w:pPr>
  </w:p>
  <w:p w14:paraId="1363393F">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F8EE0">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5C3D2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5C3D2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986F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7D4E81"/>
    <w:multiLevelType w:val="singleLevel"/>
    <w:tmpl w:val="907D4E81"/>
    <w:lvl w:ilvl="0" w:tentative="0">
      <w:start w:val="2"/>
      <w:numFmt w:val="chineseCounting"/>
      <w:suff w:val="nothing"/>
      <w:lvlText w:val="（%1）"/>
      <w:lvlJc w:val="left"/>
      <w:rPr>
        <w:rFonts w:hint="eastAsia"/>
      </w:rPr>
    </w:lvl>
  </w:abstractNum>
  <w:abstractNum w:abstractNumId="1">
    <w:nsid w:val="92C2AF26"/>
    <w:multiLevelType w:val="singleLevel"/>
    <w:tmpl w:val="92C2AF26"/>
    <w:lvl w:ilvl="0" w:tentative="0">
      <w:start w:val="3"/>
      <w:numFmt w:val="decimal"/>
      <w:lvlText w:val="%1."/>
      <w:lvlJc w:val="left"/>
      <w:pPr>
        <w:tabs>
          <w:tab w:val="left" w:pos="312"/>
        </w:tabs>
      </w:pPr>
    </w:lvl>
  </w:abstractNum>
  <w:abstractNum w:abstractNumId="2">
    <w:nsid w:val="980215D7"/>
    <w:multiLevelType w:val="singleLevel"/>
    <w:tmpl w:val="980215D7"/>
    <w:lvl w:ilvl="0" w:tentative="0">
      <w:start w:val="2"/>
      <w:numFmt w:val="chineseCounting"/>
      <w:suff w:val="nothing"/>
      <w:lvlText w:val="（%1）"/>
      <w:lvlJc w:val="left"/>
      <w:rPr>
        <w:rFonts w:hint="eastAsia"/>
      </w:rPr>
    </w:lvl>
  </w:abstractNum>
  <w:abstractNum w:abstractNumId="3">
    <w:nsid w:val="9D610A19"/>
    <w:multiLevelType w:val="singleLevel"/>
    <w:tmpl w:val="9D610A19"/>
    <w:lvl w:ilvl="0" w:tentative="0">
      <w:start w:val="2"/>
      <w:numFmt w:val="chineseCounting"/>
      <w:suff w:val="nothing"/>
      <w:lvlText w:val="（%1）"/>
      <w:lvlJc w:val="left"/>
      <w:rPr>
        <w:rFonts w:hint="eastAsia"/>
      </w:rPr>
    </w:lvl>
  </w:abstractNum>
  <w:abstractNum w:abstractNumId="4">
    <w:nsid w:val="BBD406F9"/>
    <w:multiLevelType w:val="singleLevel"/>
    <w:tmpl w:val="BBD406F9"/>
    <w:lvl w:ilvl="0" w:tentative="0">
      <w:start w:val="1"/>
      <w:numFmt w:val="decimal"/>
      <w:lvlText w:val="%1."/>
      <w:lvlJc w:val="left"/>
      <w:pPr>
        <w:tabs>
          <w:tab w:val="left" w:pos="312"/>
        </w:tabs>
      </w:pPr>
    </w:lvl>
  </w:abstractNum>
  <w:abstractNum w:abstractNumId="5">
    <w:nsid w:val="72EC09E3"/>
    <w:multiLevelType w:val="singleLevel"/>
    <w:tmpl w:val="72EC09E3"/>
    <w:lvl w:ilvl="0" w:tentative="0">
      <w:start w:val="1"/>
      <w:numFmt w:val="chineseCounting"/>
      <w:suff w:val="nothing"/>
      <w:lvlText w:val="%1、"/>
      <w:lvlJc w:val="left"/>
      <w:rPr>
        <w:rFonts w:hint="eastAsia"/>
      </w:rPr>
    </w:lvl>
  </w:abstractNum>
  <w:num w:numId="1">
    <w:abstractNumId w:val="5"/>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C9662B4"/>
    <w:rsid w:val="2CE21007"/>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806E1C"/>
    <w:rsid w:val="3B9FDB6C"/>
    <w:rsid w:val="3BF5BC2F"/>
    <w:rsid w:val="3C920BB5"/>
    <w:rsid w:val="3CEBA265"/>
    <w:rsid w:val="3D98207C"/>
    <w:rsid w:val="3D9B0D99"/>
    <w:rsid w:val="3DEE7CF3"/>
    <w:rsid w:val="3DF02244"/>
    <w:rsid w:val="3E0C1C8C"/>
    <w:rsid w:val="3E78745D"/>
    <w:rsid w:val="3FF4CAE0"/>
    <w:rsid w:val="3FF7B227"/>
    <w:rsid w:val="40E54C45"/>
    <w:rsid w:val="41313393"/>
    <w:rsid w:val="42082B23"/>
    <w:rsid w:val="43A407DF"/>
    <w:rsid w:val="44515BEA"/>
    <w:rsid w:val="44E268DA"/>
    <w:rsid w:val="453F7E5B"/>
    <w:rsid w:val="486A6C7A"/>
    <w:rsid w:val="488E68D6"/>
    <w:rsid w:val="49176D9B"/>
    <w:rsid w:val="494006BD"/>
    <w:rsid w:val="4A627F82"/>
    <w:rsid w:val="4B0E749A"/>
    <w:rsid w:val="4B4F25DA"/>
    <w:rsid w:val="4BDA0CFB"/>
    <w:rsid w:val="4BE068DB"/>
    <w:rsid w:val="4D3C0CCC"/>
    <w:rsid w:val="4D577224"/>
    <w:rsid w:val="4DBF1CEB"/>
    <w:rsid w:val="4EAB630A"/>
    <w:rsid w:val="4ECE2238"/>
    <w:rsid w:val="4F833267"/>
    <w:rsid w:val="4FD05A3A"/>
    <w:rsid w:val="4FD96E61"/>
    <w:rsid w:val="4FE9BD67"/>
    <w:rsid w:val="4FFB052F"/>
    <w:rsid w:val="53083A92"/>
    <w:rsid w:val="537E6D0A"/>
    <w:rsid w:val="53AF27A2"/>
    <w:rsid w:val="53F74C96"/>
    <w:rsid w:val="55FC29AD"/>
    <w:rsid w:val="56E47B74"/>
    <w:rsid w:val="57BD3DD4"/>
    <w:rsid w:val="5A720F6D"/>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7AE06E9"/>
    <w:rsid w:val="681C4F0D"/>
    <w:rsid w:val="69046D0F"/>
    <w:rsid w:val="698D0931"/>
    <w:rsid w:val="6A993CED"/>
    <w:rsid w:val="6B053271"/>
    <w:rsid w:val="6B730A4C"/>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1A63EE"/>
    <w:rsid w:val="76B55386"/>
    <w:rsid w:val="76C417C0"/>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HTML Address"/>
    <w:basedOn w:val="1"/>
    <w:qFormat/>
    <w:uiPriority w:val="0"/>
    <w:rPr>
      <w:i/>
      <w:iCs/>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915;&#31639;&#20844;&#24320;&#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915;&#31639;&#20844;&#24320;&#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915;&#31639;&#20844;&#24320;&#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915;&#31639;&#20844;&#24320;&#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915;&#31639;&#20844;&#24320;&#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915;&#31639;&#20844;&#24320;&#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[工作簿1]Sheet1!$A$3</c:f>
              <c:strCache>
                <c:ptCount val="1"/>
                <c:pt idx="0">
                  <c:v>2024年</c:v>
                </c:pt>
              </c:strCache>
            </c:strRef>
          </c:tx>
          <c:spPr>
            <a:solidFill>
              <a:schemeClr val="accent1"/>
            </a:solidFill>
            <a:ln>
              <a:noFill/>
            </a:ln>
            <a:effectLst/>
          </c:spPr>
          <c:invertIfNegative val="0"/>
          <c:dLbls>
            <c:delete val="1"/>
          </c:dLbls>
          <c:cat>
            <c:multiLvlStrRef>
              <c:f>[工作簿1]Sheet1!$B$1:$C$2</c:f>
              <c:multiLvlStrCache>
                <c:ptCount val="2"/>
                <c:lvl>
                  <c:pt idx="0">
                    <c:v>收入</c:v>
                  </c:pt>
                  <c:pt idx="1">
                    <c:v>支出</c:v>
                  </c:pt>
                </c:lvl>
                <c:lvl/>
              </c:multiLvlStrCache>
            </c:multiLvlStrRef>
          </c:cat>
          <c:val>
            <c:numRef>
              <c:f>[工作簿1]Sheet1!$B$3:$C$3</c:f>
              <c:numCache>
                <c:formatCode>General</c:formatCode>
                <c:ptCount val="2"/>
                <c:pt idx="0">
                  <c:v>1057.37</c:v>
                </c:pt>
                <c:pt idx="1">
                  <c:v>1057.37</c:v>
                </c:pt>
              </c:numCache>
            </c:numRef>
          </c:val>
        </c:ser>
        <c:ser>
          <c:idx val="1"/>
          <c:order val="1"/>
          <c:tx>
            <c:strRef>
              <c:f>[工作簿1]Sheet1!$A$4</c:f>
              <c:strCache>
                <c:ptCount val="1"/>
                <c:pt idx="0">
                  <c:v>2025年</c:v>
                </c:pt>
              </c:strCache>
            </c:strRef>
          </c:tx>
          <c:spPr>
            <a:solidFill>
              <a:schemeClr val="accent2"/>
            </a:solidFill>
            <a:ln>
              <a:noFill/>
            </a:ln>
            <a:effectLst/>
          </c:spPr>
          <c:invertIfNegative val="0"/>
          <c:dLbls>
            <c:delete val="1"/>
          </c:dLbls>
          <c:cat>
            <c:multiLvlStrRef>
              <c:f>[工作簿1]Sheet1!$B$1:$C$2</c:f>
              <c:multiLvlStrCache>
                <c:ptCount val="2"/>
                <c:lvl>
                  <c:pt idx="0">
                    <c:v>收入</c:v>
                  </c:pt>
                  <c:pt idx="1">
                    <c:v>支出</c:v>
                  </c:pt>
                </c:lvl>
                <c:lvl/>
              </c:multiLvlStrCache>
            </c:multiLvlStrRef>
          </c:cat>
          <c:val>
            <c:numRef>
              <c:f>[工作簿1]Sheet1!$B$4:$C$4</c:f>
              <c:numCache>
                <c:formatCode>General</c:formatCode>
                <c:ptCount val="2"/>
                <c:pt idx="0">
                  <c:v>913</c:v>
                </c:pt>
                <c:pt idx="1">
                  <c:v>913</c:v>
                </c:pt>
              </c:numCache>
            </c:numRef>
          </c:val>
        </c:ser>
        <c:dLbls>
          <c:showLegendKey val="0"/>
          <c:showVal val="0"/>
          <c:showCatName val="0"/>
          <c:showSerName val="0"/>
          <c:showPercent val="0"/>
          <c:showBubbleSize val="0"/>
        </c:dLbls>
        <c:gapWidth val="246"/>
        <c:overlap val="-28"/>
        <c:axId val="665530187"/>
        <c:axId val="581909681"/>
      </c:barChart>
      <c:catAx>
        <c:axId val="6655301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1909681"/>
        <c:crosses val="autoZero"/>
        <c:auto val="1"/>
        <c:lblAlgn val="ctr"/>
        <c:lblOffset val="100"/>
        <c:noMultiLvlLbl val="0"/>
      </c:catAx>
      <c:valAx>
        <c:axId val="58190968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55301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e3042df-f505-4c09-a5e7-2f1c47f8fa7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Lbls>
            <c:delete val="1"/>
          </c:dLbls>
          <c:cat>
            <c:strRef>
              <c:f>[决算公开图表.xlsx]Sheet2!$A$1:$A$9</c:f>
              <c:strCache>
                <c:ptCount val="9"/>
                <c:pt idx="0">
                  <c:v>收入决算结构图</c:v>
                </c:pt>
                <c:pt idx="1">
                  <c:v>一般公共预算财政拨款</c:v>
                </c:pt>
                <c:pt idx="2">
                  <c:v>政府性基金预算财政拨款</c:v>
                </c:pt>
                <c:pt idx="3">
                  <c:v>国有资本经营预算财政拨款</c:v>
                </c:pt>
                <c:pt idx="4">
                  <c:v>上级补助收入</c:v>
                </c:pt>
                <c:pt idx="5">
                  <c:v>事业收入</c:v>
                </c:pt>
                <c:pt idx="6">
                  <c:v>经营收入</c:v>
                </c:pt>
                <c:pt idx="7">
                  <c:v>附属单位上缴收入</c:v>
                </c:pt>
                <c:pt idx="8">
                  <c:v>其他收入</c:v>
                </c:pt>
              </c:strCache>
            </c:strRef>
          </c:cat>
          <c:val>
            <c:numRef>
              <c:f>[决算公开图表.xlsx]Sheet2!$B$1:$B$9</c:f>
              <c:numCache>
                <c:formatCode>General</c:formatCode>
                <c:ptCount val="9"/>
                <c:pt idx="1">
                  <c:v>913</c:v>
                </c:pt>
                <c:pt idx="2">
                  <c:v>0</c:v>
                </c:pt>
                <c:pt idx="3">
                  <c:v>0</c:v>
                </c:pt>
                <c:pt idx="4">
                  <c:v>0</c:v>
                </c:pt>
                <c:pt idx="5">
                  <c:v>0</c:v>
                </c:pt>
                <c:pt idx="6">
                  <c:v>0</c:v>
                </c:pt>
                <c:pt idx="7">
                  <c:v>0</c:v>
                </c:pt>
                <c:pt idx="8">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eeb63d1-a026-4eda-bb9e-76b6712b925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elete val="1"/>
          </c:dLbls>
          <c:cat>
            <c:strRef>
              <c:f>[决算公开图表.xlsx]Sheet3!$A$1:$A$6</c:f>
              <c:strCache>
                <c:ptCount val="6"/>
                <c:pt idx="0">
                  <c:v>支出决算结构图</c:v>
                </c:pt>
                <c:pt idx="1">
                  <c:v>基本支出</c:v>
                </c:pt>
                <c:pt idx="2">
                  <c:v>项目支出</c:v>
                </c:pt>
                <c:pt idx="3">
                  <c:v>上缴上级支出</c:v>
                </c:pt>
                <c:pt idx="4">
                  <c:v>经营支出</c:v>
                </c:pt>
                <c:pt idx="5">
                  <c:v>对附属单位补助支出</c:v>
                </c:pt>
              </c:strCache>
            </c:strRef>
          </c:cat>
          <c:val>
            <c:numRef>
              <c:f>[决算公开图表.xlsx]Sheet3!$B$1:$B$6</c:f>
              <c:numCache>
                <c:formatCode>General</c:formatCode>
                <c:ptCount val="6"/>
                <c:pt idx="1">
                  <c:v>652.37</c:v>
                </c:pt>
                <c:pt idx="2">
                  <c:v>260.63</c:v>
                </c:pt>
                <c:pt idx="3">
                  <c:v>0</c:v>
                </c:pt>
                <c:pt idx="4">
                  <c:v>0</c:v>
                </c:pt>
                <c:pt idx="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39cd7b-9193-4791-9a6c-ce305dd2f00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[决算公开图表.xlsx]图4!$A$3</c:f>
              <c:strCache>
                <c:ptCount val="1"/>
                <c:pt idx="0">
                  <c:v>2024年</c:v>
                </c:pt>
              </c:strCache>
            </c:strRef>
          </c:tx>
          <c:spPr>
            <a:solidFill>
              <a:schemeClr val="accent1"/>
            </a:solidFill>
            <a:ln>
              <a:noFill/>
            </a:ln>
            <a:effectLst/>
          </c:spPr>
          <c:invertIfNegative val="0"/>
          <c:dLbls>
            <c:delete val="1"/>
          </c:dLbls>
          <c:cat>
            <c:multiLvlStrRef>
              <c:f>[决算公开图表.xlsx]图4!$B$1:$C$2</c:f>
              <c:multiLvlStrCache>
                <c:ptCount val="2"/>
                <c:lvl>
                  <c:pt idx="0">
                    <c:v>收入</c:v>
                  </c:pt>
                  <c:pt idx="1">
                    <c:v>支出</c:v>
                  </c:pt>
                </c:lvl>
                <c:lvl/>
              </c:multiLvlStrCache>
            </c:multiLvlStrRef>
          </c:cat>
          <c:val>
            <c:numRef>
              <c:f>[决算公开图表.xlsx]图4!$B$3:$C$3</c:f>
              <c:numCache>
                <c:formatCode>General</c:formatCode>
                <c:ptCount val="2"/>
                <c:pt idx="0">
                  <c:v>1057.37</c:v>
                </c:pt>
                <c:pt idx="1">
                  <c:v>1057.37</c:v>
                </c:pt>
              </c:numCache>
            </c:numRef>
          </c:val>
        </c:ser>
        <c:ser>
          <c:idx val="1"/>
          <c:order val="1"/>
          <c:tx>
            <c:strRef>
              <c:f>[决算公开图表.xlsx]图4!$A$4</c:f>
              <c:strCache>
                <c:ptCount val="1"/>
                <c:pt idx="0">
                  <c:v>2025年</c:v>
                </c:pt>
              </c:strCache>
            </c:strRef>
          </c:tx>
          <c:spPr>
            <a:solidFill>
              <a:schemeClr val="accent2"/>
            </a:solidFill>
            <a:ln>
              <a:noFill/>
            </a:ln>
            <a:effectLst/>
          </c:spPr>
          <c:invertIfNegative val="0"/>
          <c:dLbls>
            <c:delete val="1"/>
          </c:dLbls>
          <c:cat>
            <c:multiLvlStrRef>
              <c:f>[决算公开图表.xlsx]图4!$B$1:$C$2</c:f>
              <c:multiLvlStrCache>
                <c:ptCount val="2"/>
                <c:lvl>
                  <c:pt idx="0">
                    <c:v>收入</c:v>
                  </c:pt>
                  <c:pt idx="1">
                    <c:v>支出</c:v>
                  </c:pt>
                </c:lvl>
                <c:lvl/>
              </c:multiLvlStrCache>
            </c:multiLvlStrRef>
          </c:cat>
          <c:val>
            <c:numRef>
              <c:f>[决算公开图表.xlsx]图4!$B$4:$C$4</c:f>
              <c:numCache>
                <c:formatCode>General</c:formatCode>
                <c:ptCount val="2"/>
                <c:pt idx="0">
                  <c:v>913</c:v>
                </c:pt>
                <c:pt idx="1">
                  <c:v>913</c:v>
                </c:pt>
              </c:numCache>
            </c:numRef>
          </c:val>
        </c:ser>
        <c:dLbls>
          <c:showLegendKey val="0"/>
          <c:showVal val="0"/>
          <c:showCatName val="0"/>
          <c:showSerName val="0"/>
          <c:showPercent val="0"/>
          <c:showBubbleSize val="0"/>
        </c:dLbls>
        <c:gapWidth val="246"/>
        <c:overlap val="-28"/>
        <c:axId val="665530187"/>
        <c:axId val="581909681"/>
      </c:barChart>
      <c:catAx>
        <c:axId val="6655301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1909681"/>
        <c:crosses val="autoZero"/>
        <c:auto val="1"/>
        <c:lblAlgn val="ctr"/>
        <c:lblOffset val="100"/>
        <c:noMultiLvlLbl val="0"/>
      </c:catAx>
      <c:valAx>
        <c:axId val="58190968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55301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2a338a4-d5cb-4d1a-9790-b94041badd8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[决算公开图表.xlsx]图5!$A$3</c:f>
              <c:strCache>
                <c:ptCount val="1"/>
                <c:pt idx="0">
                  <c:v>2024年</c:v>
                </c:pt>
              </c:strCache>
            </c:strRef>
          </c:tx>
          <c:spPr>
            <a:solidFill>
              <a:schemeClr val="accent1"/>
            </a:solidFill>
            <a:ln>
              <a:noFill/>
            </a:ln>
            <a:effectLst/>
          </c:spPr>
          <c:invertIfNegative val="0"/>
          <c:dLbls>
            <c:delete val="1"/>
          </c:dLbls>
          <c:cat>
            <c:multiLvlStrRef>
              <c:f>[决算公开图表.xlsx]图5!$B$1:$C$2</c:f>
              <c:multiLvlStrCache>
                <c:ptCount val="2"/>
                <c:lvl>
                  <c:pt idx="0">
                    <c:v>支出</c:v>
                  </c:pt>
                </c:lvl>
                <c:lvl/>
              </c:multiLvlStrCache>
            </c:multiLvlStrRef>
          </c:cat>
          <c:val>
            <c:numRef>
              <c:f>[决算公开图表.xlsx]图5!$B$3</c:f>
              <c:numCache>
                <c:formatCode>General</c:formatCode>
                <c:ptCount val="1"/>
                <c:pt idx="0">
                  <c:v>1057.37</c:v>
                </c:pt>
              </c:numCache>
            </c:numRef>
          </c:val>
        </c:ser>
        <c:ser>
          <c:idx val="1"/>
          <c:order val="1"/>
          <c:tx>
            <c:strRef>
              <c:f>[决算公开图表.xlsx]图5!$A$4</c:f>
              <c:strCache>
                <c:ptCount val="1"/>
                <c:pt idx="0">
                  <c:v>2025年</c:v>
                </c:pt>
              </c:strCache>
            </c:strRef>
          </c:tx>
          <c:spPr>
            <a:solidFill>
              <a:schemeClr val="accent2"/>
            </a:solidFill>
            <a:ln>
              <a:noFill/>
            </a:ln>
            <a:effectLst/>
          </c:spPr>
          <c:invertIfNegative val="0"/>
          <c:dLbls>
            <c:delete val="1"/>
          </c:dLbls>
          <c:cat>
            <c:multiLvlStrRef>
              <c:f>[决算公开图表.xlsx]图5!$B$1:$C$2</c:f>
              <c:multiLvlStrCache>
                <c:ptCount val="2"/>
                <c:lvl>
                  <c:pt idx="0">
                    <c:v>支出</c:v>
                  </c:pt>
                </c:lvl>
                <c:lvl/>
              </c:multiLvlStrCache>
            </c:multiLvlStrRef>
          </c:cat>
          <c:val>
            <c:numRef>
              <c:f>[决算公开图表.xlsx]图5!$B$4</c:f>
              <c:numCache>
                <c:formatCode>General</c:formatCode>
                <c:ptCount val="1"/>
                <c:pt idx="0">
                  <c:v>913</c:v>
                </c:pt>
              </c:numCache>
            </c:numRef>
          </c:val>
        </c:ser>
        <c:dLbls>
          <c:showLegendKey val="0"/>
          <c:showVal val="0"/>
          <c:showCatName val="0"/>
          <c:showSerName val="0"/>
          <c:showPercent val="0"/>
          <c:showBubbleSize val="0"/>
        </c:dLbls>
        <c:gapWidth val="246"/>
        <c:overlap val="-28"/>
        <c:axId val="665530187"/>
        <c:axId val="581909681"/>
      </c:barChart>
      <c:catAx>
        <c:axId val="6655301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1909681"/>
        <c:crosses val="autoZero"/>
        <c:auto val="1"/>
        <c:lblAlgn val="ctr"/>
        <c:lblOffset val="100"/>
        <c:noMultiLvlLbl val="0"/>
      </c:catAx>
      <c:valAx>
        <c:axId val="58190968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55301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2a338a4-d5cb-4d1a-9790-b94041badd8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[决算公开图表.xlsx]图6!$A$2:$A$5</c:f>
              <c:strCache>
                <c:ptCount val="4"/>
                <c:pt idx="0">
                  <c:v>公共安全支出</c:v>
                </c:pt>
                <c:pt idx="1">
                  <c:v>社会保障和就业支出</c:v>
                </c:pt>
                <c:pt idx="2">
                  <c:v>卫生健康支出</c:v>
                </c:pt>
                <c:pt idx="3">
                  <c:v>住房保障支出</c:v>
                </c:pt>
              </c:strCache>
            </c:strRef>
          </c:cat>
          <c:val>
            <c:numRef>
              <c:f>[决算公开图表.xlsx]图6!$B$2:$B$5</c:f>
              <c:numCache>
                <c:formatCode>General</c:formatCode>
                <c:ptCount val="4"/>
                <c:pt idx="0">
                  <c:v>799.1</c:v>
                </c:pt>
                <c:pt idx="1">
                  <c:v>43.09</c:v>
                </c:pt>
                <c:pt idx="2">
                  <c:v>30.2</c:v>
                </c:pt>
                <c:pt idx="3">
                  <c:v>40.61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ca434a-1cdc-42da-9f63-252334b186c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[决算公开图表.xlsx]图7!$A$2:$A$4</c:f>
              <c:strCache>
                <c:ptCount val="3"/>
                <c:pt idx="0">
                  <c:v>因公出国（境）费</c:v>
                </c:pt>
                <c:pt idx="1">
                  <c:v>公务用车购置及运行维护费</c:v>
                </c:pt>
                <c:pt idx="2">
                  <c:v>公务接待费</c:v>
                </c:pt>
              </c:strCache>
            </c:strRef>
          </c:cat>
          <c:val>
            <c:numRef>
              <c:f>[决算公开图表.xlsx]图7!$B$2:$B$4</c:f>
              <c:numCache>
                <c:formatCode>General</c:formatCode>
                <c:ptCount val="3"/>
                <c:pt idx="0">
                  <c:v>0</c:v>
                </c:pt>
                <c:pt idx="1">
                  <c:v>7.8</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f12c7ca-d5da-4085-8c52-c81b23887b0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35</Pages>
  <Words>13536</Words>
  <Characters>14285</Characters>
  <Lines>61</Lines>
  <Paragraphs>17</Paragraphs>
  <TotalTime>5</TotalTime>
  <ScaleCrop>false</ScaleCrop>
  <LinksUpToDate>false</LinksUpToDate>
  <CharactersWithSpaces>14329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L</cp:lastModifiedBy>
  <cp:lastPrinted>2026-08-03T09:27:00Z</cp:lastPrinted>
  <dcterms:modified xsi:type="dcterms:W3CDTF">2026-09-17T09:21:32Z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eyJoZGlkIjoiZmY3N2M0Y2YyMWQ3ODgzNmQyOTQyZDg3Mzc4OTBlMGEiLCJ1c2VySWQiOiI0MzczNTMzODEifQ==</vt:lpwstr>
  </property>
</Properties>
</file>