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597"/>
      <w:bookmarkStart w:id="1" w:name="_Toc15377425"/>
      <w:bookmarkStart w:id="2" w:name="_Toc15377193"/>
      <w:bookmarkStart w:id="3" w:name="_Toc15378441"/>
      <w:bookmarkStart w:id="4" w:name="_Toc1539647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4636"/>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598"/>
      <w:bookmarkStart w:id="8" w:name="_Toc15377426"/>
      <w:bookmarkStart w:id="9" w:name="_Toc15377194"/>
      <w:bookmarkStart w:id="10" w:name="_Toc15396476"/>
      <w:bookmarkStart w:id="11" w:name="_Toc15306268"/>
      <w:bookmarkStart w:id="12" w:name="_Toc1710"/>
      <w:bookmarkStart w:id="13" w:name="_Toc15378442"/>
      <w:r>
        <w:rPr>
          <w:rFonts w:hint="eastAsia" w:ascii="方正小标宋简体" w:hAnsi="方正小标宋简体" w:eastAsia="方正小标宋简体" w:cs="方正小标宋简体"/>
          <w:color w:val="auto"/>
          <w:sz w:val="72"/>
          <w:szCs w:val="72"/>
          <w:highlight w:val="none"/>
          <w:lang w:eastAsia="zh-CN"/>
        </w:rPr>
        <w:t>巴中市巴</w:t>
      </w:r>
      <w:r>
        <w:rPr>
          <w:rFonts w:hint="eastAsia" w:ascii="方正小标宋简体" w:hAnsi="方正小标宋简体" w:eastAsia="方正小标宋简体" w:cs="方正小标宋简体"/>
          <w:b/>
          <w:bCs/>
          <w:color w:val="auto"/>
          <w:sz w:val="72"/>
          <w:szCs w:val="72"/>
          <w:highlight w:val="none"/>
          <w:lang w:eastAsia="zh-CN"/>
        </w:rPr>
        <w:t>州区人民检察院</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auto"/>
          <w:sz w:val="52"/>
          <w:szCs w:val="52"/>
          <w:highlight w:val="none"/>
        </w:rPr>
      </w:pPr>
      <w:bookmarkStart w:id="14" w:name="_Toc1915"/>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w:t>
      </w:r>
      <w:bookmarkEnd w:id="14"/>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rPr>
          <w:color w:val="auto"/>
          <w:highlight w:val="none"/>
        </w:rPr>
      </w:pPr>
    </w:p>
    <w:sdt>
      <w:sdtPr>
        <w:rPr>
          <w:rFonts w:ascii="宋体" w:hAnsi="宋体" w:eastAsia="宋体" w:cs="Times New Roman"/>
          <w:kern w:val="2"/>
          <w:sz w:val="24"/>
          <w:szCs w:val="24"/>
          <w:lang w:val="en-US" w:eastAsia="zh-CN" w:bidi="ar-SA"/>
        </w:rPr>
        <w:id w:val="14746079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sz w:val="24"/>
              <w:szCs w:val="24"/>
            </w:rPr>
          </w:pPr>
          <w:bookmarkStart w:id="15" w:name="_Toc15377196"/>
          <w:bookmarkStart w:id="16" w:name="_Toc15396599"/>
          <w:r>
            <w:rPr>
              <w:sz w:val="24"/>
              <w:szCs w:val="24"/>
            </w:rPr>
            <w:fldChar w:fldCharType="begin"/>
          </w:r>
          <w:r>
            <w:rPr>
              <w:sz w:val="24"/>
              <w:szCs w:val="24"/>
            </w:rPr>
            <w:instrText xml:space="preserve">TOC \o "1-2" \h \u </w:instrText>
          </w:r>
          <w:r>
            <w:rPr>
              <w:sz w:val="24"/>
              <w:szCs w:val="24"/>
            </w:rPr>
            <w:fldChar w:fldCharType="separate"/>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_Toc18520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 xml:space="preserve">第一部分 </w:t>
          </w:r>
          <w:r>
            <w:rPr>
              <w:rFonts w:hint="eastAsia" w:ascii="仿宋" w:hAnsi="仿宋" w:eastAsia="仿宋" w:cs="仿宋"/>
              <w:b/>
              <w:bCs w:val="0"/>
              <w:sz w:val="24"/>
              <w:szCs w:val="24"/>
              <w:highlight w:val="none"/>
            </w:rPr>
            <w:t>部门概况</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_Toc18520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_Toc7397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部门职责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_Toc7397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_Toc30462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二、机</w:t>
          </w:r>
          <w:r>
            <w:rPr>
              <w:rFonts w:hint="eastAsia" w:ascii="仿宋" w:hAnsi="仿宋" w:eastAsia="仿宋" w:cs="仿宋"/>
              <w:bCs w:val="0"/>
              <w:sz w:val="24"/>
              <w:szCs w:val="24"/>
              <w:highlight w:val="none"/>
            </w:rPr>
            <w:t>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_Toc30462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_Toc13386 </w:instrText>
          </w:r>
          <w:r>
            <w:rPr>
              <w:rFonts w:hint="eastAsia" w:ascii="仿宋" w:hAnsi="仿宋" w:eastAsia="仿宋" w:cs="仿宋"/>
              <w:b/>
              <w:sz w:val="24"/>
              <w:szCs w:val="24"/>
            </w:rPr>
            <w:fldChar w:fldCharType="separate"/>
          </w:r>
          <w:r>
            <w:rPr>
              <w:rFonts w:hint="eastAsia" w:ascii="仿宋" w:hAnsi="仿宋" w:eastAsia="仿宋" w:cs="仿宋"/>
              <w:b/>
              <w:bCs/>
              <w:sz w:val="24"/>
              <w:szCs w:val="24"/>
              <w:highlight w:val="none"/>
            </w:rPr>
            <w:t xml:space="preserve">第二部分 </w:t>
          </w:r>
          <w:r>
            <w:rPr>
              <w:rFonts w:hint="eastAsia" w:ascii="仿宋" w:hAnsi="仿宋" w:eastAsia="仿宋" w:cs="仿宋"/>
              <w:b/>
              <w:bCs/>
              <w:sz w:val="24"/>
              <w:szCs w:val="24"/>
              <w:highlight w:val="none"/>
              <w:lang w:val="en-US" w:eastAsia="zh-CN"/>
            </w:rPr>
            <w:t>2022年度</w:t>
          </w:r>
          <w:r>
            <w:rPr>
              <w:rFonts w:hint="eastAsia" w:ascii="仿宋" w:hAnsi="仿宋" w:eastAsia="仿宋" w:cs="仿宋"/>
              <w:b/>
              <w:bCs/>
              <w:sz w:val="24"/>
              <w:szCs w:val="24"/>
              <w:highlight w:val="none"/>
            </w:rPr>
            <w:t>部门决算情况说明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_Toc13386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_Toc30653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一、 </w:t>
          </w:r>
          <w:r>
            <w:rPr>
              <w:rFonts w:hint="eastAsia" w:ascii="仿宋" w:hAnsi="仿宋" w:eastAsia="仿宋" w:cs="仿宋"/>
              <w:sz w:val="24"/>
              <w:szCs w:val="24"/>
              <w:highlight w:val="none"/>
            </w:rPr>
            <w:t>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_Toc30653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_Toc25008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二、 </w:t>
          </w:r>
          <w:r>
            <w:rPr>
              <w:rFonts w:hint="eastAsia" w:ascii="仿宋" w:hAnsi="仿宋" w:eastAsia="仿宋" w:cs="仿宋"/>
              <w:sz w:val="24"/>
              <w:szCs w:val="24"/>
              <w:highlight w:val="none"/>
            </w:rPr>
            <w:t>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_Toc25008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_Toc834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三、 </w:t>
          </w:r>
          <w:r>
            <w:rPr>
              <w:rFonts w:hint="eastAsia" w:ascii="仿宋" w:hAnsi="仿宋" w:eastAsia="仿宋" w:cs="仿宋"/>
              <w:sz w:val="24"/>
              <w:szCs w:val="24"/>
              <w:highlight w:val="none"/>
            </w:rPr>
            <w:t>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_Toc834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_Toc11972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_Toc11972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_Toc6906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_Toc6906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_Toc4396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_Toc6418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_Toc6418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_Toc14989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九、 </w:t>
          </w:r>
          <w:r>
            <w:rPr>
              <w:rFonts w:hint="eastAsia" w:ascii="仿宋" w:hAnsi="仿宋" w:eastAsia="仿宋" w:cs="仿宋"/>
              <w:sz w:val="24"/>
              <w:szCs w:val="24"/>
              <w:highlight w:val="none"/>
            </w:rPr>
            <w:t>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_Toc14989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_Toc30716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十、 </w:t>
          </w:r>
          <w:r>
            <w:rPr>
              <w:rFonts w:hint="eastAsia" w:ascii="仿宋" w:hAnsi="仿宋" w:eastAsia="仿宋" w:cs="仿宋"/>
              <w:sz w:val="24"/>
              <w:szCs w:val="24"/>
              <w:highlight w:val="none"/>
            </w:rPr>
            <w:t>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_Toc30716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_Toc23740 </w:instrText>
          </w:r>
          <w:r>
            <w:rPr>
              <w:rFonts w:hint="eastAsia" w:ascii="仿宋" w:hAnsi="仿宋" w:eastAsia="仿宋" w:cs="仿宋"/>
              <w:b/>
              <w:sz w:val="24"/>
              <w:szCs w:val="24"/>
            </w:rPr>
            <w:fldChar w:fldCharType="separate"/>
          </w:r>
          <w:r>
            <w:rPr>
              <w:rFonts w:hint="eastAsia" w:ascii="仿宋" w:hAnsi="仿宋" w:eastAsia="仿宋" w:cs="仿宋"/>
              <w:b/>
              <w:sz w:val="24"/>
              <w:szCs w:val="24"/>
            </w:rPr>
            <w:t xml:space="preserve">第三部分 </w:t>
          </w:r>
          <w:r>
            <w:rPr>
              <w:rFonts w:hint="eastAsia" w:ascii="仿宋" w:hAnsi="仿宋" w:eastAsia="仿宋" w:cs="仿宋"/>
              <w:b/>
              <w:sz w:val="24"/>
              <w:szCs w:val="24"/>
              <w:highlight w:val="none"/>
            </w:rPr>
            <w:t>名词解释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_Toc23740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_Toc28035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第四部分 附件</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_Toc28035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_Toc26800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_Toc26800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8306"/>
            </w:tabs>
            <w:rPr>
              <w:rFonts w:hint="eastAsia"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\l _Toc22884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rPr>
            <w:t>第五部分 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_Toc22884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_Toc2757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一、收</w:t>
          </w:r>
          <w:r>
            <w:rPr>
              <w:rFonts w:hint="eastAsia" w:ascii="仿宋" w:hAnsi="仿宋" w:eastAsia="仿宋" w:cs="仿宋"/>
              <w:bCs w:val="0"/>
              <w:sz w:val="24"/>
              <w:szCs w:val="24"/>
              <w:highlight w:val="none"/>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_Toc29781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二、收</w:t>
          </w:r>
          <w:r>
            <w:rPr>
              <w:rFonts w:hint="eastAsia" w:ascii="仿宋" w:hAnsi="仿宋" w:eastAsia="仿宋" w:cs="仿宋"/>
              <w:bCs w:val="0"/>
              <w:sz w:val="24"/>
              <w:szCs w:val="24"/>
              <w:highlight w:val="none"/>
            </w:rPr>
            <w:t>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_Toc29781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_Toc32502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三、</w:t>
          </w:r>
          <w:r>
            <w:rPr>
              <w:rFonts w:hint="eastAsia" w:ascii="仿宋" w:hAnsi="仿宋" w:eastAsia="仿宋" w:cs="仿宋"/>
              <w:sz w:val="24"/>
              <w:szCs w:val="24"/>
              <w:highlight w:val="none"/>
            </w:rPr>
            <w:t>支</w:t>
          </w:r>
          <w:r>
            <w:rPr>
              <w:rFonts w:hint="eastAsia" w:ascii="仿宋" w:hAnsi="仿宋" w:eastAsia="仿宋" w:cs="仿宋"/>
              <w:bCs w:val="0"/>
              <w:sz w:val="24"/>
              <w:szCs w:val="24"/>
              <w:highlight w:val="none"/>
            </w:rPr>
            <w:t>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_Toc32502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_Toc2005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四、</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_Toc14055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五、</w:t>
          </w:r>
          <w:r>
            <w:rPr>
              <w:rFonts w:hint="eastAsia" w:ascii="仿宋" w:hAnsi="仿宋" w:eastAsia="仿宋" w:cs="仿宋"/>
              <w:sz w:val="24"/>
              <w:szCs w:val="24"/>
              <w:highlight w:val="none"/>
            </w:rPr>
            <w:t>财</w:t>
          </w:r>
          <w:r>
            <w:rPr>
              <w:rFonts w:hint="eastAsia" w:ascii="仿宋" w:hAnsi="仿宋" w:eastAsia="仿宋" w:cs="仿宋"/>
              <w:bCs w:val="0"/>
              <w:sz w:val="24"/>
              <w:szCs w:val="24"/>
              <w:highlight w:val="none"/>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_Toc14055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_Toc16595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六、</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_Toc16595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_Toc16663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七、</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_Toc16663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_Toc31712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八、</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_Toc31712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_Toc6077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九、</w:t>
          </w:r>
          <w:r>
            <w:rPr>
              <w:rFonts w:hint="eastAsia" w:ascii="仿宋" w:hAnsi="仿宋" w:eastAsia="仿宋" w:cs="仿宋"/>
              <w:sz w:val="24"/>
              <w:szCs w:val="24"/>
              <w:highlight w:val="none"/>
            </w:rPr>
            <w:t>一</w:t>
          </w:r>
          <w:r>
            <w:rPr>
              <w:rFonts w:hint="eastAsia" w:ascii="仿宋" w:hAnsi="仿宋" w:eastAsia="仿宋" w:cs="仿宋"/>
              <w:bCs w:val="0"/>
              <w:sz w:val="24"/>
              <w:szCs w:val="24"/>
              <w:highlight w:val="none"/>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_Toc6077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_Toc8880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w:t>
          </w:r>
          <w:r>
            <w:rPr>
              <w:rFonts w:hint="eastAsia" w:ascii="仿宋" w:hAnsi="仿宋" w:eastAsia="仿宋" w:cs="仿宋"/>
              <w:sz w:val="24"/>
              <w:szCs w:val="24"/>
              <w:highlight w:val="none"/>
            </w:rPr>
            <w:t>政</w:t>
          </w:r>
          <w:r>
            <w:rPr>
              <w:rFonts w:hint="eastAsia" w:ascii="仿宋" w:hAnsi="仿宋" w:eastAsia="仿宋" w:cs="仿宋"/>
              <w:bCs w:val="0"/>
              <w:sz w:val="24"/>
              <w:szCs w:val="24"/>
              <w:highlight w:val="none"/>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_Toc8880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_Toc23717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十一、</w:t>
          </w:r>
          <w:r>
            <w:rPr>
              <w:rFonts w:hint="eastAsia" w:ascii="仿宋" w:hAnsi="仿宋" w:eastAsia="仿宋" w:cs="仿宋"/>
              <w:sz w:val="24"/>
              <w:szCs w:val="24"/>
              <w:highlight w:val="none"/>
            </w:rPr>
            <w:t>国</w:t>
          </w:r>
          <w:r>
            <w:rPr>
              <w:rFonts w:hint="eastAsia" w:ascii="仿宋" w:hAnsi="仿宋" w:eastAsia="仿宋" w:cs="仿宋"/>
              <w:bCs w:val="0"/>
              <w:sz w:val="24"/>
              <w:szCs w:val="24"/>
              <w:highlight w:val="none"/>
            </w:rPr>
            <w:t>有资本经营预算</w:t>
          </w:r>
          <w:r>
            <w:rPr>
              <w:rFonts w:hint="eastAsia" w:ascii="仿宋" w:hAnsi="仿宋" w:eastAsia="仿宋" w:cs="仿宋"/>
              <w:bCs w:val="0"/>
              <w:sz w:val="24"/>
              <w:szCs w:val="24"/>
              <w:highlight w:val="none"/>
              <w:lang w:eastAsia="zh-CN"/>
            </w:rPr>
            <w:t>财政拨款收入</w:t>
          </w:r>
          <w:r>
            <w:rPr>
              <w:rFonts w:hint="eastAsia" w:ascii="仿宋" w:hAnsi="仿宋" w:eastAsia="仿宋" w:cs="仿宋"/>
              <w:bCs w:val="0"/>
              <w:sz w:val="24"/>
              <w:szCs w:val="24"/>
              <w:highlight w:val="none"/>
            </w:rPr>
            <w:t>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_Toc23717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_Toc31497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十二、</w:t>
          </w:r>
          <w:r>
            <w:rPr>
              <w:rFonts w:hint="eastAsia" w:ascii="仿宋" w:hAnsi="仿宋" w:eastAsia="仿宋" w:cs="仿宋"/>
              <w:bCs w:val="0"/>
              <w:sz w:val="24"/>
              <w:szCs w:val="24"/>
              <w:highlight w:val="none"/>
              <w:lang w:eastAsia="zh-CN"/>
            </w:rPr>
            <w:t>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_Toc31497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6"/>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_Toc25862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十三、</w:t>
          </w:r>
          <w:r>
            <w:rPr>
              <w:rFonts w:hint="eastAsia" w:ascii="仿宋" w:hAnsi="仿宋" w:eastAsia="仿宋" w:cs="仿宋"/>
              <w:bCs w:val="0"/>
              <w:sz w:val="24"/>
              <w:szCs w:val="24"/>
              <w:highlight w:val="none"/>
              <w:lang w:eastAsia="zh-CN"/>
            </w:rPr>
            <w:t>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_Toc25862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r>
            <w:rPr>
              <w:b/>
              <w:sz w:val="24"/>
              <w:szCs w:val="24"/>
            </w:rPr>
            <w:fldChar w:fldCharType="end"/>
          </w:r>
        </w:p>
      </w:sdtContent>
    </w:sdt>
    <w:p>
      <w:pPr>
        <w:widowControl/>
        <w:spacing w:line="440" w:lineRule="exact"/>
        <w:jc w:val="left"/>
        <w:rPr>
          <w:rFonts w:hint="eastAsia" w:ascii="仿宋" w:hAnsi="仿宋" w:eastAsia="仿宋"/>
          <w:bCs/>
          <w:color w:val="auto"/>
          <w:kern w:val="44"/>
          <w:sz w:val="24"/>
          <w:highlight w:val="yellow"/>
          <w:lang w:eastAsia="zh-CN"/>
        </w:rPr>
      </w:pP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rPr>
          <w:rFonts w:ascii="黑体" w:eastAsia="黑体"/>
          <w:color w:val="auto"/>
          <w:sz w:val="32"/>
          <w:szCs w:val="32"/>
          <w:highlight w:val="none"/>
        </w:rPr>
      </w:pPr>
      <w:bookmarkStart w:id="17" w:name="_Toc18520"/>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5"/>
      <w:bookmarkEnd w:id="16"/>
      <w:bookmarkEnd w:id="17"/>
    </w:p>
    <w:p>
      <w:pPr>
        <w:pStyle w:val="5"/>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b w:val="0"/>
          <w:color w:val="auto"/>
          <w:highlight w:val="none"/>
          <w:lang w:eastAsia="zh-CN"/>
        </w:rPr>
      </w:pPr>
      <w:bookmarkStart w:id="18" w:name="_Toc15377197"/>
      <w:bookmarkStart w:id="19" w:name="_Toc15396600"/>
      <w:bookmarkStart w:id="20" w:name="_Toc7397"/>
      <w:r>
        <w:rPr>
          <w:rFonts w:hint="eastAsia" w:ascii="黑体" w:hAnsi="黑体" w:eastAsia="黑体"/>
          <w:b w:val="0"/>
          <w:color w:val="auto"/>
          <w:highlight w:val="none"/>
        </w:rPr>
        <w:t>一、</w:t>
      </w:r>
      <w:bookmarkEnd w:id="18"/>
      <w:bookmarkEnd w:id="19"/>
      <w:r>
        <w:rPr>
          <w:rFonts w:hint="eastAsia" w:ascii="黑体" w:hAnsi="黑体" w:eastAsia="黑体"/>
          <w:b w:val="0"/>
          <w:color w:val="auto"/>
          <w:highlight w:val="none"/>
          <w:lang w:eastAsia="zh-CN"/>
        </w:rPr>
        <w:t>部门职责</w:t>
      </w:r>
      <w:bookmarkEnd w:id="20"/>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一是对区人民代表大会及其常务委员会负责并报告工作，接受其监督；接受上级人民检察院的领导并对其负责。二是依法向区人民代表大会及其常务委员会提出议案。三是对于危害国家安全以及严重破坏国家的政策、法律、政令统一实施的重大犯罪案件，行使检察权。四是对于公安机关、国家安全机关侦查的案件以及自行侦查的案件进行审查，决定是否逮捕、起诉或者不起诉。并对侦查活动是否合法实行监督。五是对刑事案件提起公诉，支持公诉；对于人民法院的刑事判决、裁定是否正确和审判活动是否合法实行监督。六是对人民法院的民事审判和行政诉讼活动实行法律监督，对人民法院已经发生效力的民事行政判决、裁定，有违反法律、法规规定的，依法提出抗诉。七是对在生态环境和资源保护、食品药品安全等领域，依法提起公益诉讼。八是对社区矫正活动是否合法实施监督。九是负责其他应由本院承办的事项。</w:t>
      </w:r>
    </w:p>
    <w:p>
      <w:pPr>
        <w:pStyle w:val="5"/>
        <w:pageBreakBefore w:val="0"/>
        <w:widowControl w:val="0"/>
        <w:kinsoku/>
        <w:wordWrap/>
        <w:overflowPunct/>
        <w:topLinePunct w:val="0"/>
        <w:autoSpaceDE/>
        <w:autoSpaceDN/>
        <w:bidi w:val="0"/>
        <w:adjustRightInd/>
        <w:snapToGrid/>
        <w:spacing w:before="0" w:after="0" w:line="560" w:lineRule="exact"/>
        <w:textAlignment w:val="auto"/>
        <w:rPr>
          <w:rStyle w:val="29"/>
          <w:b w:val="0"/>
          <w:bCs w:val="0"/>
          <w:color w:val="auto"/>
          <w:highlight w:val="none"/>
        </w:rPr>
      </w:pPr>
      <w:bookmarkStart w:id="21" w:name="_Toc15396601"/>
      <w:bookmarkStart w:id="22" w:name="_Toc15377200"/>
      <w:bookmarkStart w:id="23" w:name="_Toc30462"/>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eastAsia="zh-CN"/>
        </w:rPr>
        <w:t>巴中市巴州区人民检察院</w:t>
      </w:r>
      <w:r>
        <w:rPr>
          <w:rFonts w:hint="default" w:ascii="仿宋" w:hAnsi="仿宋" w:eastAsia="仿宋" w:cs="Times New Roman"/>
          <w:color w:val="auto"/>
          <w:sz w:val="32"/>
          <w:szCs w:val="32"/>
          <w:highlight w:val="none"/>
          <w:lang w:eastAsia="zh-CN"/>
        </w:rPr>
        <w:t>202</w:t>
      </w:r>
      <w:r>
        <w:rPr>
          <w:rFonts w:hint="eastAsia" w:ascii="仿宋" w:hAnsi="仿宋" w:eastAsia="仿宋" w:cs="Times New Roman"/>
          <w:color w:val="auto"/>
          <w:sz w:val="32"/>
          <w:szCs w:val="32"/>
          <w:highlight w:val="none"/>
          <w:lang w:val="en-US" w:eastAsia="zh-CN"/>
        </w:rPr>
        <w:t>2</w:t>
      </w:r>
      <w:r>
        <w:rPr>
          <w:rFonts w:hint="default" w:ascii="仿宋" w:hAnsi="仿宋" w:eastAsia="仿宋" w:cs="Times New Roman"/>
          <w:color w:val="auto"/>
          <w:sz w:val="32"/>
          <w:szCs w:val="32"/>
          <w:highlight w:val="none"/>
        </w:rPr>
        <w:t>年下属二级预</w:t>
      </w:r>
      <w:bookmarkStart w:id="114" w:name="_GoBack"/>
      <w:bookmarkEnd w:id="114"/>
      <w:r>
        <w:rPr>
          <w:rFonts w:hint="default" w:ascii="仿宋" w:hAnsi="仿宋" w:eastAsia="仿宋" w:cs="Times New Roman"/>
          <w:color w:val="auto"/>
          <w:sz w:val="32"/>
          <w:szCs w:val="32"/>
          <w:highlight w:val="none"/>
        </w:rPr>
        <w:t>算单位</w:t>
      </w:r>
      <w:r>
        <w:rPr>
          <w:rFonts w:hint="eastAsia" w:ascii="仿宋" w:hAnsi="仿宋" w:eastAsia="仿宋" w:cs="Times New Roman"/>
          <w:color w:val="auto"/>
          <w:sz w:val="32"/>
          <w:szCs w:val="32"/>
          <w:highlight w:val="none"/>
          <w:lang w:val="en-US" w:eastAsia="zh-CN"/>
        </w:rPr>
        <w:t>0</w:t>
      </w:r>
      <w:r>
        <w:rPr>
          <w:rFonts w:hint="default" w:ascii="仿宋" w:hAnsi="仿宋" w:eastAsia="仿宋" w:cs="Times New Roman"/>
          <w:color w:val="auto"/>
          <w:sz w:val="32"/>
          <w:szCs w:val="32"/>
          <w:highlight w:val="none"/>
        </w:rPr>
        <w:t>个，其中行政单位</w:t>
      </w:r>
      <w:r>
        <w:rPr>
          <w:rFonts w:hint="eastAsia" w:ascii="仿宋" w:hAnsi="仿宋" w:eastAsia="仿宋" w:cs="Times New Roman"/>
          <w:color w:val="auto"/>
          <w:sz w:val="32"/>
          <w:szCs w:val="32"/>
          <w:highlight w:val="none"/>
          <w:lang w:val="en-US" w:eastAsia="zh-CN"/>
        </w:rPr>
        <w:t>0</w:t>
      </w:r>
      <w:r>
        <w:rPr>
          <w:rFonts w:hint="default" w:ascii="仿宋" w:hAnsi="仿宋" w:eastAsia="仿宋" w:cs="Times New Roman"/>
          <w:color w:val="auto"/>
          <w:sz w:val="32"/>
          <w:szCs w:val="32"/>
          <w:highlight w:val="none"/>
        </w:rPr>
        <w:t>个，参照公务员法管理的事业单位</w:t>
      </w:r>
      <w:r>
        <w:rPr>
          <w:rFonts w:hint="eastAsia" w:ascii="仿宋" w:hAnsi="仿宋" w:eastAsia="仿宋" w:cs="Times New Roman"/>
          <w:color w:val="auto"/>
          <w:sz w:val="32"/>
          <w:szCs w:val="32"/>
          <w:highlight w:val="none"/>
          <w:lang w:val="en-US" w:eastAsia="zh-CN"/>
        </w:rPr>
        <w:t>0</w:t>
      </w:r>
      <w:r>
        <w:rPr>
          <w:rFonts w:hint="default" w:ascii="仿宋" w:hAnsi="仿宋" w:eastAsia="仿宋" w:cs="Times New Roman"/>
          <w:color w:val="auto"/>
          <w:sz w:val="32"/>
          <w:szCs w:val="32"/>
          <w:highlight w:val="none"/>
        </w:rPr>
        <w:t>个，其他事业单位</w:t>
      </w:r>
      <w:r>
        <w:rPr>
          <w:rFonts w:hint="eastAsia" w:ascii="仿宋" w:hAnsi="仿宋" w:eastAsia="仿宋" w:cs="Times New Roman"/>
          <w:color w:val="auto"/>
          <w:sz w:val="32"/>
          <w:szCs w:val="32"/>
          <w:highlight w:val="none"/>
          <w:lang w:val="en-US" w:eastAsia="zh-CN"/>
        </w:rPr>
        <w:t>0</w:t>
      </w:r>
      <w:r>
        <w:rPr>
          <w:rFonts w:hint="default" w:ascii="仿宋" w:hAnsi="仿宋" w:eastAsia="仿宋" w:cs="Times New Roman"/>
          <w:color w:val="auto"/>
          <w:sz w:val="32"/>
          <w:szCs w:val="32"/>
          <w:highlight w:val="none"/>
        </w:rPr>
        <w:t>个。</w:t>
      </w:r>
      <w:bookmarkStart w:id="24" w:name="_Toc15377204"/>
      <w:bookmarkStart w:id="25" w:name="_Toc13386"/>
      <w:bookmarkStart w:id="26" w:name="_Toc15396602"/>
    </w:p>
    <w:p>
      <w:pPr>
        <w:rPr>
          <w:rFonts w:hint="eastAsia" w:ascii="黑体" w:hAnsi="黑体" w:eastAsia="黑体"/>
          <w:b w:val="0"/>
          <w:bCs/>
          <w:color w:val="auto"/>
          <w:highlight w:val="none"/>
        </w:rPr>
      </w:pPr>
      <w:r>
        <w:rPr>
          <w:rFonts w:hint="eastAsia" w:ascii="黑体" w:hAnsi="黑体" w:eastAsia="黑体"/>
          <w:b w:val="0"/>
          <w:bCs/>
          <w:color w:val="auto"/>
          <w:highlight w:val="none"/>
        </w:rPr>
        <w:br w:type="page"/>
      </w:r>
    </w:p>
    <w:p>
      <w:pPr>
        <w:pStyle w:val="4"/>
        <w:pageBreakBefore w:val="0"/>
        <w:kinsoku/>
        <w:wordWrap/>
        <w:overflowPunct/>
        <w:topLinePunct w:val="0"/>
        <w:bidi w:val="0"/>
        <w:spacing w:before="0" w:after="0" w:line="560" w:lineRule="exact"/>
        <w:ind w:right="440"/>
        <w:jc w:val="center"/>
        <w:textAlignment w:val="auto"/>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24"/>
      <w:bookmarkEnd w:id="25"/>
      <w:bookmarkEnd w:id="26"/>
    </w:p>
    <w:p>
      <w:pPr>
        <w:pageBreakBefore w:val="0"/>
        <w:kinsoku/>
        <w:wordWrap/>
        <w:overflowPunct/>
        <w:topLinePunct w:val="0"/>
        <w:bidi w:val="0"/>
        <w:spacing w:line="560" w:lineRule="exact"/>
        <w:textAlignment w:val="auto"/>
        <w:rPr>
          <w:color w:val="auto"/>
          <w:highlight w:val="none"/>
        </w:rPr>
      </w:pPr>
    </w:p>
    <w:p>
      <w:pPr>
        <w:pStyle w:val="27"/>
        <w:pageBreakBefore w:val="0"/>
        <w:numPr>
          <w:ilvl w:val="0"/>
          <w:numId w:val="1"/>
        </w:numPr>
        <w:kinsoku/>
        <w:wordWrap/>
        <w:overflowPunct/>
        <w:topLinePunct w:val="0"/>
        <w:bidi w:val="0"/>
        <w:spacing w:line="560" w:lineRule="exact"/>
        <w:ind w:firstLineChars="0"/>
        <w:textAlignment w:val="auto"/>
        <w:outlineLvl w:val="1"/>
        <w:rPr>
          <w:rStyle w:val="29"/>
          <w:rFonts w:ascii="黑体" w:hAnsi="黑体" w:eastAsia="黑体"/>
          <w:b w:val="0"/>
          <w:color w:val="auto"/>
          <w:highlight w:val="none"/>
        </w:rPr>
      </w:pPr>
      <w:bookmarkStart w:id="27" w:name="_Toc15377205"/>
      <w:bookmarkStart w:id="28" w:name="_Toc30653"/>
      <w:bookmarkStart w:id="29"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7"/>
      <w:bookmarkEnd w:id="28"/>
      <w:bookmarkEnd w:id="29"/>
    </w:p>
    <w:p>
      <w:pPr>
        <w:pageBreakBefore w:val="0"/>
        <w:kinsoku/>
        <w:wordWrap/>
        <w:overflowPunct/>
        <w:topLinePunct w:val="0"/>
        <w:bidi w:val="0"/>
        <w:spacing w:line="560" w:lineRule="exact"/>
        <w:ind w:firstLine="640" w:firstLineChars="200"/>
        <w:textAlignment w:val="auto"/>
        <w:rPr>
          <w:rFonts w:hint="eastAsia" w:ascii="仿宋" w:hAnsi="仿宋" w:eastAsia="仿宋" w:cs="Times New Roman"/>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入总计</w:t>
      </w:r>
      <w:r>
        <w:rPr>
          <w:rFonts w:hint="eastAsia" w:ascii="仿宋" w:hAnsi="仿宋" w:eastAsia="仿宋"/>
          <w:color w:val="auto"/>
          <w:sz w:val="32"/>
          <w:szCs w:val="32"/>
          <w:highlight w:val="none"/>
          <w:lang w:val="en-US" w:eastAsia="zh-CN"/>
        </w:rPr>
        <w:t>1192.9万元</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eastAsia="zh-CN"/>
        </w:rPr>
        <w:t>入减少</w:t>
      </w:r>
      <w:r>
        <w:rPr>
          <w:rFonts w:hint="eastAsia" w:ascii="仿宋" w:hAnsi="仿宋" w:eastAsia="仿宋"/>
          <w:color w:val="auto"/>
          <w:sz w:val="32"/>
          <w:szCs w:val="32"/>
          <w:highlight w:val="none"/>
          <w:lang w:val="en-US" w:eastAsia="zh-CN"/>
        </w:rPr>
        <w:t>0.43万元，下降0.03%，</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359.84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color w:val="auto"/>
          <w:sz w:val="32"/>
          <w:szCs w:val="32"/>
          <w:highlight w:val="none"/>
        </w:rPr>
        <w:t>收入减少的主要原因是</w:t>
      </w:r>
      <w:r>
        <w:rPr>
          <w:rFonts w:hint="eastAsia" w:ascii="仿宋" w:hAnsi="仿宋" w:eastAsia="仿宋" w:cs="Times New Roman"/>
          <w:color w:val="auto"/>
          <w:sz w:val="32"/>
          <w:szCs w:val="32"/>
          <w:highlight w:val="none"/>
          <w:lang w:eastAsia="zh-CN"/>
        </w:rPr>
        <w:t>人员增减变化经费</w:t>
      </w:r>
      <w:r>
        <w:rPr>
          <w:rFonts w:hint="eastAsia" w:ascii="仿宋" w:hAnsi="仿宋" w:eastAsia="仿宋" w:cs="Times New Roman"/>
          <w:color w:val="auto"/>
          <w:sz w:val="32"/>
          <w:szCs w:val="32"/>
          <w:highlight w:val="none"/>
        </w:rPr>
        <w:t>减少，支出</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rPr>
        <w:t>主要是</w:t>
      </w:r>
      <w:r>
        <w:rPr>
          <w:rFonts w:hint="eastAsia" w:ascii="仿宋" w:hAnsi="仿宋" w:eastAsia="仿宋" w:cs="Times New Roman"/>
          <w:color w:val="auto"/>
          <w:sz w:val="32"/>
          <w:szCs w:val="32"/>
          <w:highlight w:val="none"/>
          <w:lang w:eastAsia="zh-CN"/>
        </w:rPr>
        <w:t>上</w:t>
      </w:r>
      <w:r>
        <w:rPr>
          <w:rFonts w:hint="eastAsia" w:ascii="仿宋" w:hAnsi="仿宋" w:eastAsia="仿宋" w:cs="Times New Roman"/>
          <w:color w:val="auto"/>
          <w:sz w:val="32"/>
          <w:szCs w:val="32"/>
          <w:highlight w:val="none"/>
        </w:rPr>
        <w:t>年支出中包含上年结转经费的支出且当年无结转下年的经费</w:t>
      </w:r>
      <w:r>
        <w:rPr>
          <w:rFonts w:hint="eastAsia" w:ascii="仿宋" w:hAnsi="仿宋" w:eastAsia="仿宋" w:cs="Times New Roman"/>
          <w:color w:val="auto"/>
          <w:sz w:val="32"/>
          <w:szCs w:val="32"/>
          <w:highlight w:val="none"/>
          <w:lang w:eastAsia="zh-CN"/>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jc w:val="center"/>
      </w:pPr>
      <w:r>
        <w:drawing>
          <wp:inline distT="0" distB="0" distL="114300" distR="114300">
            <wp:extent cx="3981450" cy="2206625"/>
            <wp:effectExtent l="4445" t="4445" r="6985"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pageBreakBefore w:val="0"/>
        <w:numPr>
          <w:ilvl w:val="0"/>
          <w:numId w:val="1"/>
        </w:numPr>
        <w:kinsoku/>
        <w:wordWrap/>
        <w:overflowPunct/>
        <w:topLinePunct w:val="0"/>
        <w:bidi w:val="0"/>
        <w:spacing w:line="560" w:lineRule="exact"/>
        <w:ind w:firstLineChars="0"/>
        <w:textAlignment w:val="auto"/>
        <w:outlineLvl w:val="1"/>
        <w:rPr>
          <w:rStyle w:val="29"/>
          <w:rFonts w:ascii="黑体" w:hAnsi="黑体" w:eastAsia="黑体"/>
          <w:b w:val="0"/>
          <w:color w:val="auto"/>
          <w:highlight w:val="none"/>
        </w:rPr>
      </w:pPr>
      <w:bookmarkStart w:id="30" w:name="_Toc25008"/>
      <w:bookmarkStart w:id="31" w:name="_Toc15396604"/>
      <w:bookmarkStart w:id="32"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30"/>
      <w:bookmarkEnd w:id="31"/>
      <w:bookmarkEnd w:id="32"/>
    </w:p>
    <w:p>
      <w:pPr>
        <w:pageBreakBefore w:val="0"/>
        <w:kinsoku/>
        <w:wordWrap/>
        <w:overflowPunct/>
        <w:topLinePunct w:val="0"/>
        <w:bidi w:val="0"/>
        <w:spacing w:line="560" w:lineRule="exact"/>
        <w:ind w:firstLine="640" w:firstLineChars="200"/>
        <w:textAlignment w:val="auto"/>
        <w:outlineLvl w:val="1"/>
        <w:rPr>
          <w:rFonts w:ascii="仿宋" w:hAnsi="仿宋" w:eastAsia="仿宋"/>
          <w:color w:val="auto"/>
          <w:sz w:val="32"/>
          <w:szCs w:val="32"/>
          <w:highlight w:val="none"/>
        </w:rPr>
      </w:pPr>
      <w:bookmarkStart w:id="33" w:name="_Toc470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3"/>
    </w:p>
    <w:p>
      <w:pPr>
        <w:pageBreakBefore w:val="0"/>
        <w:kinsoku/>
        <w:wordWrap/>
        <w:overflowPunct/>
        <w:topLinePunct w:val="0"/>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jc w:val="center"/>
        <w:rPr>
          <w:rFonts w:hint="eastAsia" w:ascii="仿宋" w:hAnsi="仿宋" w:eastAsia="仿宋"/>
          <w:color w:val="auto"/>
          <w:sz w:val="32"/>
          <w:szCs w:val="32"/>
          <w:highlight w:val="none"/>
        </w:rPr>
      </w:pPr>
      <w:r>
        <w:drawing>
          <wp:inline distT="0" distB="0" distL="114300" distR="114300">
            <wp:extent cx="3310890" cy="1524635"/>
            <wp:effectExtent l="4445" t="4445" r="6985" b="1016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pageBreakBefore w:val="0"/>
        <w:numPr>
          <w:ilvl w:val="0"/>
          <w:numId w:val="1"/>
        </w:numPr>
        <w:kinsoku/>
        <w:wordWrap/>
        <w:overflowPunct/>
        <w:topLinePunct w:val="0"/>
        <w:bidi w:val="0"/>
        <w:spacing w:line="560" w:lineRule="exact"/>
        <w:ind w:firstLineChars="0"/>
        <w:textAlignment w:val="auto"/>
        <w:outlineLvl w:val="1"/>
        <w:rPr>
          <w:rStyle w:val="29"/>
          <w:rFonts w:ascii="黑体" w:hAnsi="黑体" w:eastAsia="黑体"/>
          <w:b w:val="0"/>
          <w:color w:val="auto"/>
          <w:highlight w:val="none"/>
        </w:rPr>
      </w:pPr>
      <w:bookmarkStart w:id="34" w:name="_Toc15377207"/>
      <w:bookmarkStart w:id="35" w:name="_Toc15396605"/>
      <w:bookmarkStart w:id="36" w:name="_Toc834"/>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4"/>
      <w:bookmarkEnd w:id="35"/>
      <w:bookmarkEnd w:id="36"/>
    </w:p>
    <w:p>
      <w:pPr>
        <w:pageBreakBefore w:val="0"/>
        <w:kinsoku/>
        <w:wordWrap/>
        <w:overflowPunct/>
        <w:topLinePunct w:val="0"/>
        <w:bidi w:val="0"/>
        <w:spacing w:line="560" w:lineRule="exact"/>
        <w:ind w:firstLine="640" w:firstLineChars="200"/>
        <w:textAlignment w:val="auto"/>
        <w:outlineLvl w:val="1"/>
        <w:rPr>
          <w:rFonts w:ascii="仿宋" w:hAnsi="仿宋" w:eastAsia="仿宋"/>
          <w:color w:val="auto"/>
          <w:sz w:val="32"/>
          <w:szCs w:val="32"/>
          <w:highlight w:val="none"/>
          <w:shd w:val="pct10" w:color="auto" w:fill="FFFFFF"/>
        </w:rPr>
      </w:pPr>
      <w:bookmarkStart w:id="37" w:name="_Toc1058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916.77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76.85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7"/>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2"/>
        <w:jc w:val="center"/>
        <w:rPr>
          <w:rFonts w:ascii="仿宋_GB2312" w:eastAsia="仿宋_GB2312"/>
          <w:color w:val="auto"/>
          <w:sz w:val="32"/>
          <w:szCs w:val="32"/>
          <w:highlight w:val="none"/>
        </w:rPr>
      </w:pPr>
      <w:r>
        <w:drawing>
          <wp:inline distT="0" distB="0" distL="114300" distR="114300">
            <wp:extent cx="3263900" cy="1810385"/>
            <wp:effectExtent l="4445" t="4445" r="8255" b="1397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60" w:lineRule="exact"/>
        <w:ind w:firstLine="640" w:firstLineChars="200"/>
        <w:textAlignment w:val="auto"/>
        <w:outlineLvl w:val="1"/>
        <w:rPr>
          <w:rStyle w:val="29"/>
          <w:rFonts w:ascii="黑体" w:hAnsi="黑体" w:eastAsia="黑体"/>
          <w:b w:val="0"/>
          <w:color w:val="auto"/>
          <w:highlight w:val="none"/>
        </w:rPr>
      </w:pPr>
      <w:bookmarkStart w:id="38" w:name="_Toc11972"/>
      <w:bookmarkStart w:id="39" w:name="_Toc15396606"/>
      <w:bookmarkStart w:id="40" w:name="_Toc15377208"/>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8"/>
      <w:bookmarkEnd w:id="39"/>
      <w:bookmarkEnd w:id="40"/>
    </w:p>
    <w:p>
      <w:pPr>
        <w:pageBreakBefore w:val="0"/>
        <w:kinsoku/>
        <w:wordWrap/>
        <w:overflowPunct/>
        <w:topLinePunct w:val="0"/>
        <w:bidi w:val="0"/>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eastAsia="zh-CN"/>
        </w:rPr>
        <w:t>收入减少</w:t>
      </w:r>
      <w:r>
        <w:rPr>
          <w:rFonts w:hint="eastAsia" w:ascii="仿宋" w:hAnsi="仿宋" w:eastAsia="仿宋"/>
          <w:color w:val="auto"/>
          <w:sz w:val="32"/>
          <w:szCs w:val="32"/>
          <w:highlight w:val="none"/>
          <w:lang w:val="en-US" w:eastAsia="zh-CN"/>
        </w:rPr>
        <w:t>0.43万元，下降0.03%，</w:t>
      </w:r>
      <w:r>
        <w:rPr>
          <w:rFonts w:hint="eastAsia" w:ascii="仿宋" w:hAnsi="仿宋" w:eastAsia="仿宋"/>
          <w:color w:val="auto"/>
          <w:sz w:val="32"/>
          <w:szCs w:val="32"/>
          <w:highlight w:val="none"/>
        </w:rPr>
        <w:t>支</w:t>
      </w:r>
      <w:r>
        <w:rPr>
          <w:rFonts w:hint="eastAsia" w:ascii="仿宋" w:hAnsi="仿宋" w:eastAsia="仿宋"/>
          <w:color w:val="auto"/>
          <w:sz w:val="32"/>
          <w:szCs w:val="32"/>
          <w:highlight w:val="none"/>
          <w:lang w:eastAsia="zh-CN"/>
        </w:rPr>
        <w:t>出</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359.84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color w:val="auto"/>
          <w:sz w:val="32"/>
          <w:szCs w:val="32"/>
          <w:highlight w:val="none"/>
        </w:rPr>
        <w:t>收入减少的主要原因是</w:t>
      </w:r>
      <w:r>
        <w:rPr>
          <w:rFonts w:hint="eastAsia" w:ascii="仿宋" w:hAnsi="仿宋" w:eastAsia="仿宋" w:cs="Times New Roman"/>
          <w:color w:val="auto"/>
          <w:sz w:val="32"/>
          <w:szCs w:val="32"/>
          <w:highlight w:val="none"/>
          <w:lang w:eastAsia="zh-CN"/>
        </w:rPr>
        <w:t>人员增减变化经费</w:t>
      </w:r>
      <w:r>
        <w:rPr>
          <w:rFonts w:hint="eastAsia" w:ascii="仿宋" w:hAnsi="仿宋" w:eastAsia="仿宋" w:cs="Times New Roman"/>
          <w:color w:val="auto"/>
          <w:sz w:val="32"/>
          <w:szCs w:val="32"/>
          <w:highlight w:val="none"/>
        </w:rPr>
        <w:t>减少，支出</w:t>
      </w:r>
      <w:r>
        <w:rPr>
          <w:rFonts w:hint="eastAsia" w:ascii="仿宋" w:hAnsi="仿宋" w:eastAsia="仿宋" w:cs="Times New Roman"/>
          <w:color w:val="auto"/>
          <w:sz w:val="32"/>
          <w:szCs w:val="32"/>
          <w:highlight w:val="none"/>
          <w:lang w:eastAsia="zh-CN"/>
        </w:rPr>
        <w:t>减少</w:t>
      </w:r>
      <w:r>
        <w:rPr>
          <w:rFonts w:hint="eastAsia" w:ascii="仿宋" w:hAnsi="仿宋" w:eastAsia="仿宋" w:cs="Times New Roman"/>
          <w:color w:val="auto"/>
          <w:sz w:val="32"/>
          <w:szCs w:val="32"/>
          <w:highlight w:val="none"/>
        </w:rPr>
        <w:t>主要是</w:t>
      </w:r>
      <w:r>
        <w:rPr>
          <w:rFonts w:hint="eastAsia" w:ascii="仿宋" w:hAnsi="仿宋" w:eastAsia="仿宋" w:cs="Times New Roman"/>
          <w:color w:val="auto"/>
          <w:sz w:val="32"/>
          <w:szCs w:val="32"/>
          <w:highlight w:val="none"/>
          <w:lang w:eastAsia="zh-CN"/>
        </w:rPr>
        <w:t>上</w:t>
      </w:r>
      <w:r>
        <w:rPr>
          <w:rFonts w:hint="eastAsia" w:ascii="仿宋" w:hAnsi="仿宋" w:eastAsia="仿宋" w:cs="Times New Roman"/>
          <w:color w:val="auto"/>
          <w:sz w:val="32"/>
          <w:szCs w:val="32"/>
          <w:highlight w:val="none"/>
        </w:rPr>
        <w:t>年支出中包含上年结转经费的支出且当年无结转下年的经费</w:t>
      </w:r>
      <w:r>
        <w:rPr>
          <w:rFonts w:hint="eastAsia" w:ascii="仿宋" w:hAnsi="仿宋" w:eastAsia="仿宋" w:cs="Times New Roman"/>
          <w:color w:val="auto"/>
          <w:sz w:val="32"/>
          <w:szCs w:val="32"/>
          <w:highlight w:val="none"/>
          <w:lang w:eastAsia="zh-CN"/>
        </w:rPr>
        <w:t>。</w:t>
      </w:r>
    </w:p>
    <w:p>
      <w:pPr>
        <w:pageBreakBefore w:val="0"/>
        <w:kinsoku/>
        <w:wordWrap/>
        <w:overflowPunct/>
        <w:topLinePunct w:val="0"/>
        <w:bidi w:val="0"/>
        <w:spacing w:line="560" w:lineRule="exact"/>
        <w:ind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2"/>
        <w:jc w:val="center"/>
        <w:rPr>
          <w:rFonts w:ascii="仿宋" w:hAnsi="仿宋" w:eastAsia="仿宋"/>
          <w:b/>
          <w:color w:val="auto"/>
          <w:sz w:val="32"/>
          <w:szCs w:val="32"/>
          <w:highlight w:val="none"/>
        </w:rPr>
      </w:pPr>
      <w:r>
        <w:drawing>
          <wp:inline distT="0" distB="0" distL="114300" distR="114300">
            <wp:extent cx="3642995" cy="2035175"/>
            <wp:effectExtent l="4445" t="4445" r="10160" b="1778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ascii="仿宋" w:hAnsi="仿宋" w:eastAsia="仿宋"/>
          <w:b/>
          <w:color w:val="auto"/>
          <w:sz w:val="32"/>
          <w:szCs w:val="32"/>
          <w:highlight w:val="none"/>
        </w:rPr>
      </w:pPr>
    </w:p>
    <w:p>
      <w:pPr>
        <w:pageBreakBefore w:val="0"/>
        <w:kinsoku/>
        <w:wordWrap/>
        <w:overflowPunct/>
        <w:topLinePunct w:val="0"/>
        <w:bidi w:val="0"/>
        <w:spacing w:line="560" w:lineRule="exact"/>
        <w:ind w:firstLine="640" w:firstLineChars="200"/>
        <w:textAlignment w:val="auto"/>
        <w:outlineLvl w:val="1"/>
        <w:rPr>
          <w:rStyle w:val="29"/>
          <w:rFonts w:ascii="黑体" w:hAnsi="黑体" w:eastAsia="黑体"/>
          <w:b w:val="0"/>
          <w:color w:val="auto"/>
          <w:highlight w:val="none"/>
        </w:rPr>
      </w:pPr>
      <w:bookmarkStart w:id="41" w:name="_Toc15396607"/>
      <w:bookmarkStart w:id="42" w:name="_Toc15377209"/>
      <w:bookmarkStart w:id="43" w:name="_Toc6906"/>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41"/>
      <w:bookmarkEnd w:id="42"/>
      <w:bookmarkEnd w:id="43"/>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auto"/>
          <w:sz w:val="32"/>
          <w:szCs w:val="32"/>
          <w:highlight w:val="none"/>
        </w:rPr>
      </w:pPr>
      <w:bookmarkStart w:id="44" w:name="_Toc15377210"/>
      <w:r>
        <w:rPr>
          <w:rFonts w:hint="eastAsia" w:ascii="仿宋" w:hAnsi="仿宋" w:eastAsia="仿宋"/>
          <w:b/>
          <w:color w:val="auto"/>
          <w:sz w:val="32"/>
          <w:szCs w:val="32"/>
          <w:highlight w:val="none"/>
        </w:rPr>
        <w:t>（一）一般公共预算财政拨款支出决算总体情况</w:t>
      </w:r>
      <w:bookmarkEnd w:id="44"/>
    </w:p>
    <w:p>
      <w:pPr>
        <w:pageBreakBefore w:val="0"/>
        <w:kinsoku/>
        <w:wordWrap/>
        <w:overflowPunct/>
        <w:topLinePunct w:val="0"/>
        <w:bidi w:val="0"/>
        <w:spacing w:line="56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359.84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eastAsia="zh-CN"/>
        </w:rPr>
        <w:t>上</w:t>
      </w:r>
      <w:r>
        <w:rPr>
          <w:rFonts w:hint="eastAsia" w:ascii="仿宋" w:hAnsi="仿宋" w:eastAsia="仿宋" w:cs="Times New Roman"/>
          <w:color w:val="auto"/>
          <w:sz w:val="32"/>
          <w:szCs w:val="32"/>
          <w:highlight w:val="none"/>
        </w:rPr>
        <w:t>年支出中包含上年结转经费的支出且当年无结转下年的经费</w:t>
      </w:r>
      <w:r>
        <w:rPr>
          <w:rFonts w:hint="eastAsia" w:ascii="仿宋" w:hAnsi="仿宋" w:eastAsia="仿宋" w:cs="Times New Roman"/>
          <w:color w:val="auto"/>
          <w:sz w:val="32"/>
          <w:szCs w:val="32"/>
          <w:highlight w:val="none"/>
          <w:lang w:eastAsia="zh-CN"/>
        </w:rPr>
        <w:t>。</w:t>
      </w:r>
    </w:p>
    <w:p>
      <w:pPr>
        <w:pageBreakBefore w:val="0"/>
        <w:kinsoku/>
        <w:wordWrap/>
        <w:overflowPunct/>
        <w:topLinePunct w:val="0"/>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jc w:val="center"/>
        <w:rPr>
          <w:rFonts w:ascii="仿宋" w:hAnsi="仿宋" w:eastAsia="仿宋"/>
          <w:color w:val="auto"/>
          <w:sz w:val="32"/>
          <w:szCs w:val="32"/>
          <w:highlight w:val="none"/>
        </w:rPr>
      </w:pPr>
      <w:r>
        <w:drawing>
          <wp:inline distT="0" distB="0" distL="114300" distR="114300">
            <wp:extent cx="2676525" cy="1329055"/>
            <wp:effectExtent l="4445" t="4445" r="16510" b="7620"/>
            <wp:docPr id="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auto"/>
          <w:sz w:val="32"/>
          <w:szCs w:val="32"/>
          <w:highlight w:val="none"/>
        </w:rPr>
      </w:pPr>
      <w:bookmarkStart w:id="45" w:name="_Toc15377211"/>
      <w:r>
        <w:rPr>
          <w:rFonts w:hint="eastAsia" w:ascii="仿宋" w:hAnsi="仿宋" w:eastAsia="仿宋"/>
          <w:b/>
          <w:color w:val="auto"/>
          <w:sz w:val="32"/>
          <w:szCs w:val="32"/>
          <w:highlight w:val="none"/>
        </w:rPr>
        <w:t>（二）一般公共预算财政拨款支出决算结构情况</w:t>
      </w:r>
      <w:bookmarkEnd w:id="45"/>
    </w:p>
    <w:p>
      <w:pPr>
        <w:pageBreakBefore w:val="0"/>
        <w:kinsoku/>
        <w:wordWrap/>
        <w:overflowPunct/>
        <w:topLinePunct w:val="0"/>
        <w:bidi w:val="0"/>
        <w:spacing w:line="560"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公共</w:t>
      </w:r>
      <w:r>
        <w:rPr>
          <w:rFonts w:hint="eastAsia" w:ascii="仿宋" w:hAnsi="仿宋" w:eastAsia="仿宋"/>
          <w:b/>
          <w:color w:val="auto"/>
          <w:sz w:val="32"/>
          <w:szCs w:val="32"/>
          <w:highlight w:val="none"/>
          <w:lang w:eastAsia="zh-CN"/>
        </w:rPr>
        <w:t>安全</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1025.41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70.14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46.54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50.81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jc w:val="center"/>
        <w:rPr>
          <w:rFonts w:ascii="仿宋" w:hAnsi="仿宋" w:eastAsia="仿宋"/>
          <w:color w:val="auto"/>
          <w:sz w:val="32"/>
          <w:szCs w:val="32"/>
          <w:highlight w:val="none"/>
        </w:rPr>
      </w:pPr>
      <w:r>
        <w:drawing>
          <wp:inline distT="0" distB="0" distL="114300" distR="114300">
            <wp:extent cx="3383915" cy="1687195"/>
            <wp:effectExtent l="4445" t="4445" r="10160" b="1524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60" w:lineRule="exact"/>
        <w:ind w:firstLine="643" w:firstLineChars="200"/>
        <w:textAlignment w:val="auto"/>
        <w:outlineLvl w:val="2"/>
        <w:rPr>
          <w:rFonts w:ascii="仿宋" w:hAnsi="仿宋" w:eastAsia="仿宋"/>
          <w:b/>
          <w:color w:val="auto"/>
          <w:sz w:val="32"/>
          <w:szCs w:val="32"/>
          <w:highlight w:val="none"/>
        </w:rPr>
      </w:pPr>
      <w:bookmarkStart w:id="46" w:name="_Toc15377212"/>
      <w:r>
        <w:rPr>
          <w:rFonts w:hint="eastAsia" w:ascii="仿宋" w:hAnsi="仿宋" w:eastAsia="仿宋"/>
          <w:b/>
          <w:color w:val="auto"/>
          <w:sz w:val="32"/>
          <w:szCs w:val="32"/>
          <w:highlight w:val="none"/>
        </w:rPr>
        <w:t>（三）一般公共预算财政拨款支出决算具体情况</w:t>
      </w:r>
      <w:bookmarkEnd w:id="46"/>
    </w:p>
    <w:p>
      <w:pPr>
        <w:pageBreakBefore w:val="0"/>
        <w:kinsoku/>
        <w:wordWrap/>
        <w:overflowPunct/>
        <w:topLinePunct w:val="0"/>
        <w:bidi w:val="0"/>
        <w:spacing w:line="560" w:lineRule="exact"/>
        <w:ind w:firstLine="643" w:firstLineChars="200"/>
        <w:textAlignment w:val="auto"/>
        <w:outlineLvl w:val="1"/>
        <w:rPr>
          <w:rFonts w:ascii="仿宋" w:hAnsi="仿宋" w:eastAsia="仿宋"/>
          <w:color w:val="auto"/>
          <w:sz w:val="32"/>
          <w:szCs w:val="32"/>
          <w:highlight w:val="none"/>
        </w:rPr>
      </w:pPr>
      <w:bookmarkStart w:id="47" w:name="_Toc15377444"/>
      <w:bookmarkStart w:id="48" w:name="_Toc31347"/>
      <w:bookmarkStart w:id="49" w:name="_Toc15377213"/>
      <w:bookmarkStart w:id="50"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1192.9</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47"/>
      <w:bookmarkEnd w:id="48"/>
      <w:bookmarkEnd w:id="49"/>
      <w:bookmarkEnd w:id="50"/>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1</w:t>
      </w:r>
      <w:r>
        <w:rPr>
          <w:rStyle w:val="17"/>
          <w:rFonts w:ascii="仿宋" w:hAnsi="仿宋" w:eastAsia="仿宋"/>
          <w:bCs/>
          <w:color w:val="000000"/>
          <w:sz w:val="32"/>
          <w:szCs w:val="32"/>
        </w:rPr>
        <w:t>.</w:t>
      </w:r>
      <w:r>
        <w:rPr>
          <w:rStyle w:val="31"/>
          <w:rFonts w:hint="eastAsia" w:ascii="仿宋" w:hAnsi="仿宋" w:eastAsia="仿宋"/>
          <w:bCs/>
          <w:color w:val="000000"/>
          <w:sz w:val="32"/>
          <w:szCs w:val="32"/>
        </w:rPr>
        <w:t xml:space="preserve"> </w:t>
      </w:r>
      <w:r>
        <w:rPr>
          <w:rStyle w:val="17"/>
          <w:rFonts w:hint="eastAsia" w:ascii="仿宋" w:hAnsi="仿宋" w:eastAsia="仿宋"/>
          <w:bCs/>
          <w:color w:val="000000"/>
          <w:sz w:val="32"/>
          <w:szCs w:val="32"/>
        </w:rPr>
        <w:t>公共安全</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（类）检察（款）行政运行（项）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692.49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b w:val="0"/>
          <w:bCs/>
        </w:rPr>
      </w:pPr>
      <w:r>
        <w:rPr>
          <w:rStyle w:val="17"/>
          <w:rFonts w:hint="eastAsia" w:ascii="仿宋" w:hAnsi="仿宋" w:eastAsia="仿宋"/>
          <w:bCs/>
          <w:color w:val="000000"/>
          <w:sz w:val="32"/>
          <w:szCs w:val="32"/>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 xml:space="preserve"> 公共安全</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（类）检察（款）一般行政管理事务（项）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272.03</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Pr>
      </w:pPr>
      <w:r>
        <w:rPr>
          <w:rStyle w:val="17"/>
          <w:rFonts w:hint="eastAsia" w:ascii="仿宋" w:hAnsi="仿宋" w:eastAsia="仿宋"/>
          <w:bCs/>
          <w:color w:val="000000"/>
          <w:sz w:val="32"/>
          <w:szCs w:val="32"/>
        </w:rPr>
        <w:t>3</w:t>
      </w:r>
      <w:r>
        <w:rPr>
          <w:rStyle w:val="17"/>
          <w:rFonts w:ascii="仿宋" w:hAnsi="仿宋" w:eastAsia="仿宋"/>
          <w:bCs/>
          <w:color w:val="000000"/>
          <w:sz w:val="32"/>
          <w:szCs w:val="32"/>
        </w:rPr>
        <w:t>.</w:t>
      </w:r>
      <w:r>
        <w:rPr>
          <w:rFonts w:hint="eastAsia" w:ascii="仿宋" w:hAnsi="仿宋" w:eastAsia="仿宋"/>
          <w:bCs/>
          <w:color w:val="000000"/>
          <w:sz w:val="32"/>
          <w:szCs w:val="32"/>
        </w:rPr>
        <w:t xml:space="preserve"> </w:t>
      </w:r>
      <w:r>
        <w:rPr>
          <w:rStyle w:val="17"/>
          <w:rFonts w:hint="eastAsia" w:ascii="仿宋" w:hAnsi="仿宋" w:eastAsia="仿宋"/>
          <w:bCs/>
          <w:color w:val="000000"/>
          <w:sz w:val="32"/>
          <w:szCs w:val="32"/>
        </w:rPr>
        <w:t>公共安全</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（类）检察（款）</w:t>
      </w:r>
      <w:r>
        <w:rPr>
          <w:rStyle w:val="17"/>
          <w:rFonts w:hint="eastAsia" w:ascii="仿宋" w:hAnsi="仿宋" w:eastAsia="仿宋"/>
          <w:bCs/>
          <w:color w:val="000000"/>
          <w:sz w:val="32"/>
          <w:szCs w:val="32"/>
          <w:lang w:eastAsia="zh-CN"/>
        </w:rPr>
        <w:t>事业运行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56.8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 xml:space="preserve"> 公共安全（类）检察（款）其他检察支出（项）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5</w:t>
      </w:r>
      <w:r>
        <w:rPr>
          <w:rStyle w:val="17"/>
          <w:rFonts w:ascii="仿宋" w:hAnsi="仿宋" w:eastAsia="仿宋"/>
          <w:bCs/>
          <w:color w:val="000000"/>
          <w:sz w:val="32"/>
          <w:szCs w:val="32"/>
        </w:rPr>
        <w:t>.</w:t>
      </w:r>
      <w:r>
        <w:rPr>
          <w:rFonts w:hint="eastAsia" w:ascii="仿宋" w:hAnsi="仿宋" w:eastAsia="仿宋"/>
          <w:bCs/>
          <w:color w:val="000000"/>
          <w:sz w:val="32"/>
          <w:szCs w:val="32"/>
        </w:rPr>
        <w:t xml:space="preserve"> </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（类）行政事业单位</w:t>
      </w:r>
      <w:r>
        <w:rPr>
          <w:rStyle w:val="17"/>
          <w:rFonts w:hint="eastAsia" w:ascii="仿宋" w:hAnsi="仿宋" w:eastAsia="仿宋"/>
          <w:bCs/>
          <w:color w:val="000000"/>
          <w:sz w:val="32"/>
          <w:szCs w:val="32"/>
          <w:lang w:eastAsia="zh-CN"/>
        </w:rPr>
        <w:t>养老支出</w:t>
      </w:r>
      <w:r>
        <w:rPr>
          <w:rStyle w:val="17"/>
          <w:rFonts w:hint="eastAsia" w:ascii="仿宋" w:hAnsi="仿宋" w:eastAsia="仿宋"/>
          <w:bCs/>
          <w:color w:val="000000"/>
          <w:sz w:val="32"/>
          <w:szCs w:val="32"/>
        </w:rPr>
        <w:t>（款）机关事业单位基本养老保险缴费支出（项）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67.69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rPr>
        <w:t>6．社会保障和就业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抚恤</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死亡抚恤</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pPr>
      <w:r>
        <w:rPr>
          <w:rStyle w:val="17"/>
          <w:rFonts w:hint="eastAsia" w:ascii="仿宋" w:hAnsi="仿宋" w:eastAsia="仿宋"/>
          <w:bCs/>
          <w:color w:val="000000"/>
          <w:sz w:val="32"/>
          <w:szCs w:val="32"/>
          <w:lang w:val="en-US" w:eastAsia="zh-CN"/>
        </w:rPr>
        <w:t>7</w:t>
      </w:r>
      <w:r>
        <w:rPr>
          <w:rStyle w:val="17"/>
          <w:rFonts w:hint="eastAsia" w:ascii="仿宋" w:hAnsi="仿宋" w:eastAsia="仿宋"/>
          <w:bCs/>
          <w:color w:val="000000"/>
          <w:sz w:val="32"/>
          <w:szCs w:val="32"/>
        </w:rPr>
        <w:t>．社会保障和就业</w:t>
      </w:r>
      <w:r>
        <w:rPr>
          <w:rStyle w:val="17"/>
          <w:rFonts w:hint="eastAsia" w:ascii="仿宋" w:hAnsi="仿宋" w:eastAsia="仿宋"/>
          <w:bCs/>
          <w:color w:val="000000"/>
          <w:sz w:val="32"/>
          <w:szCs w:val="32"/>
          <w:lang w:eastAsia="zh-CN"/>
        </w:rPr>
        <w:t>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0.86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7"/>
          <w:rFonts w:hint="eastAsia" w:ascii="仿宋" w:hAnsi="仿宋" w:eastAsia="仿宋"/>
          <w:bCs/>
          <w:color w:val="000000"/>
          <w:sz w:val="32"/>
          <w:szCs w:val="32"/>
        </w:rPr>
        <w:t>（类）行政事业单位医疗（款）行政单位医疗（项）：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34.96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Fonts w:hint="eastAsia" w:ascii="仿宋" w:hAnsi="仿宋" w:eastAsia="仿宋"/>
          <w:bCs/>
          <w:color w:val="000000"/>
          <w:sz w:val="32"/>
          <w:szCs w:val="32"/>
        </w:rPr>
      </w:pPr>
      <w:r>
        <w:rPr>
          <w:rStyle w:val="17"/>
          <w:rFonts w:hint="eastAsia" w:ascii="仿宋" w:hAnsi="仿宋" w:eastAsia="仿宋"/>
          <w:bCs/>
          <w:color w:val="000000"/>
          <w:sz w:val="32"/>
          <w:szCs w:val="32"/>
          <w:lang w:val="en-US" w:eastAsia="zh-CN"/>
        </w:rPr>
        <w:t>9</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7"/>
          <w:rFonts w:hint="eastAsia" w:ascii="仿宋" w:hAnsi="仿宋" w:eastAsia="仿宋"/>
          <w:bCs/>
          <w:color w:val="000000"/>
          <w:sz w:val="32"/>
          <w:szCs w:val="32"/>
        </w:rPr>
        <w:t>（类）行政事业单位医疗（款）</w:t>
      </w:r>
      <w:r>
        <w:rPr>
          <w:rStyle w:val="17"/>
          <w:rFonts w:hint="eastAsia" w:ascii="仿宋" w:hAnsi="仿宋" w:eastAsia="仿宋"/>
          <w:bCs/>
          <w:color w:val="000000"/>
          <w:sz w:val="32"/>
          <w:szCs w:val="32"/>
          <w:lang w:eastAsia="zh-CN"/>
        </w:rPr>
        <w:t>事业</w:t>
      </w:r>
      <w:r>
        <w:rPr>
          <w:rStyle w:val="17"/>
          <w:rFonts w:hint="eastAsia" w:ascii="仿宋" w:hAnsi="仿宋" w:eastAsia="仿宋"/>
          <w:bCs/>
          <w:color w:val="000000"/>
          <w:sz w:val="32"/>
          <w:szCs w:val="32"/>
        </w:rPr>
        <w:t>单位医疗（项）：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3.96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7"/>
          <w:rFonts w:hint="eastAsia" w:ascii="仿宋" w:hAnsi="仿宋" w:eastAsia="仿宋"/>
          <w:bCs/>
          <w:color w:val="000000"/>
          <w:sz w:val="32"/>
          <w:szCs w:val="32"/>
        </w:rPr>
        <w:t>（类）行政事业单位医疗（款）公务员医疗补助（项）：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7.62</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000000"/>
          <w:sz w:val="32"/>
          <w:szCs w:val="32"/>
          <w:lang w:val="en-US" w:eastAsia="zh-CN"/>
        </w:rPr>
        <w:t>11</w:t>
      </w: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（类）住房改革支出（款）住房公积金（项）：</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50.81</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pageBreakBefore w:val="0"/>
        <w:tabs>
          <w:tab w:val="right" w:pos="8306"/>
        </w:tabs>
        <w:kinsoku/>
        <w:wordWrap/>
        <w:overflowPunct/>
        <w:topLinePunct w:val="0"/>
        <w:bidi w:val="0"/>
        <w:spacing w:line="560" w:lineRule="exact"/>
        <w:ind w:firstLine="640"/>
        <w:textAlignment w:val="auto"/>
        <w:outlineLvl w:val="1"/>
        <w:rPr>
          <w:rStyle w:val="29"/>
          <w:color w:val="auto"/>
          <w:highlight w:val="none"/>
        </w:rPr>
      </w:pPr>
      <w:bookmarkStart w:id="51" w:name="_Toc15377214"/>
      <w:bookmarkStart w:id="52" w:name="_Toc4396"/>
      <w:bookmarkStart w:id="5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51"/>
      <w:bookmarkEnd w:id="52"/>
      <w:bookmarkEnd w:id="53"/>
      <w:r>
        <w:rPr>
          <w:rStyle w:val="29"/>
          <w:rFonts w:ascii="黑体" w:hAnsi="黑体" w:eastAsia="黑体"/>
          <w:b w:val="0"/>
          <w:color w:val="auto"/>
          <w:highlight w:val="none"/>
        </w:rPr>
        <w:tab/>
      </w:r>
    </w:p>
    <w:p>
      <w:pPr>
        <w:pageBreakBefore w:val="0"/>
        <w:kinsoku/>
        <w:wordWrap/>
        <w:overflowPunct/>
        <w:topLinePunct w:val="0"/>
        <w:bidi w:val="0"/>
        <w:spacing w:line="560"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916.77</w:t>
      </w:r>
      <w:r>
        <w:rPr>
          <w:rFonts w:hint="eastAsia" w:ascii="仿宋" w:hAnsi="仿宋" w:eastAsia="仿宋"/>
          <w:color w:val="auto"/>
          <w:sz w:val="32"/>
          <w:szCs w:val="32"/>
          <w:highlight w:val="none"/>
        </w:rPr>
        <w:t>万元，其中：</w:t>
      </w:r>
    </w:p>
    <w:p>
      <w:pPr>
        <w:pageBreakBefore w:val="0"/>
        <w:kinsoku/>
        <w:wordWrap/>
        <w:overflowPunct/>
        <w:topLinePunct w:val="0"/>
        <w:bidi w:val="0"/>
        <w:spacing w:line="560" w:lineRule="exact"/>
        <w:ind w:firstLine="645"/>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723.35</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职工基本医疗保险缴费、公务员医疗补助缴费、</w:t>
      </w:r>
      <w:r>
        <w:rPr>
          <w:rFonts w:hint="eastAsia" w:ascii="仿宋" w:hAnsi="仿宋" w:eastAsia="仿宋"/>
          <w:color w:val="auto"/>
          <w:sz w:val="32"/>
          <w:szCs w:val="32"/>
          <w:highlight w:val="none"/>
        </w:rPr>
        <w:t>其他社会保障缴费、其他工资福利支出、生活补助、医疗费、奖励金、住房公积金等。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193.42</w:t>
      </w:r>
      <w:r>
        <w:rPr>
          <w:rFonts w:hint="eastAsia" w:ascii="仿宋" w:hAnsi="仿宋" w:eastAsia="仿宋"/>
          <w:color w:val="auto"/>
          <w:sz w:val="32"/>
          <w:szCs w:val="32"/>
          <w:highlight w:val="none"/>
        </w:rPr>
        <w:t>万元，主要包括：办公费、印刷费、水费、电费、邮电费、物业管理费、差旅费、维修（护）费、公务接待费、劳务费、工会经费、福利费、公务用车运行维护费、其他交通费、其他商品和服务支出等。</w:t>
      </w:r>
    </w:p>
    <w:p>
      <w:pPr>
        <w:pageBreakBefore w:val="0"/>
        <w:kinsoku/>
        <w:wordWrap/>
        <w:overflowPunct/>
        <w:topLinePunct w:val="0"/>
        <w:bidi w:val="0"/>
        <w:spacing w:line="560" w:lineRule="exact"/>
        <w:ind w:firstLine="640"/>
        <w:textAlignment w:val="auto"/>
        <w:outlineLvl w:val="1"/>
        <w:rPr>
          <w:rStyle w:val="29"/>
          <w:rFonts w:ascii="黑体" w:hAnsi="黑体" w:eastAsia="黑体"/>
          <w:b w:val="0"/>
          <w:color w:val="auto"/>
          <w:highlight w:val="none"/>
        </w:rPr>
      </w:pPr>
      <w:bookmarkStart w:id="54" w:name="_Toc15377215"/>
      <w:bookmarkStart w:id="55" w:name="_Toc2375"/>
      <w:bookmarkStart w:id="56" w:name="_Toc15396609"/>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4"/>
      <w:bookmarkEnd w:id="55"/>
      <w:bookmarkEnd w:id="56"/>
    </w:p>
    <w:p>
      <w:pPr>
        <w:pageBreakBefore w:val="0"/>
        <w:kinsoku/>
        <w:wordWrap/>
        <w:overflowPunct/>
        <w:topLinePunct w:val="0"/>
        <w:bidi w:val="0"/>
        <w:spacing w:line="560" w:lineRule="exact"/>
        <w:ind w:firstLine="640"/>
        <w:textAlignment w:val="auto"/>
        <w:outlineLvl w:val="2"/>
        <w:rPr>
          <w:rFonts w:ascii="仿宋" w:hAnsi="仿宋" w:eastAsia="仿宋"/>
          <w:b/>
          <w:color w:val="auto"/>
          <w:sz w:val="32"/>
          <w:szCs w:val="32"/>
          <w:highlight w:val="none"/>
        </w:rPr>
      </w:pPr>
      <w:bookmarkStart w:id="57" w:name="_Toc15377216"/>
      <w:r>
        <w:rPr>
          <w:rFonts w:hint="eastAsia" w:ascii="仿宋" w:hAnsi="仿宋" w:eastAsia="仿宋"/>
          <w:b/>
          <w:color w:val="auto"/>
          <w:sz w:val="32"/>
          <w:szCs w:val="32"/>
          <w:highlight w:val="none"/>
        </w:rPr>
        <w:t>（一）“三公”经费财政拨款支出决算总体情况说明</w:t>
      </w:r>
      <w:bookmarkEnd w:id="57"/>
    </w:p>
    <w:p>
      <w:pPr>
        <w:pageBreakBefore w:val="0"/>
        <w:kinsoku/>
        <w:wordWrap/>
        <w:overflowPunct/>
        <w:topLinePunct w:val="0"/>
        <w:bidi w:val="0"/>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15.9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减少1.12万元，下降5.58%。</w:t>
      </w:r>
      <w:r>
        <w:rPr>
          <w:rFonts w:hint="eastAsia" w:ascii="仿宋" w:hAnsi="仿宋" w:eastAsia="仿宋"/>
          <w:color w:val="auto"/>
          <w:sz w:val="32"/>
          <w:szCs w:val="32"/>
          <w:highlight w:val="none"/>
        </w:rPr>
        <w:t>决算数与预算数持平。</w:t>
      </w:r>
    </w:p>
    <w:p>
      <w:pPr>
        <w:pageBreakBefore w:val="0"/>
        <w:kinsoku/>
        <w:wordWrap/>
        <w:overflowPunct/>
        <w:topLinePunct w:val="0"/>
        <w:bidi w:val="0"/>
        <w:spacing w:line="560" w:lineRule="exact"/>
        <w:ind w:firstLine="640"/>
        <w:textAlignment w:val="auto"/>
        <w:outlineLvl w:val="2"/>
        <w:rPr>
          <w:rFonts w:ascii="仿宋" w:hAnsi="仿宋" w:eastAsia="仿宋"/>
          <w:b/>
          <w:color w:val="auto"/>
          <w:sz w:val="32"/>
          <w:szCs w:val="32"/>
          <w:highlight w:val="none"/>
        </w:rPr>
      </w:pPr>
      <w:bookmarkStart w:id="58" w:name="_Toc15377217"/>
      <w:r>
        <w:rPr>
          <w:rFonts w:hint="eastAsia" w:ascii="仿宋" w:hAnsi="仿宋" w:eastAsia="仿宋"/>
          <w:b/>
          <w:color w:val="auto"/>
          <w:sz w:val="32"/>
          <w:szCs w:val="32"/>
          <w:highlight w:val="none"/>
        </w:rPr>
        <w:t>（二）“三公”经费财政拨款支出决算具体情况说明</w:t>
      </w:r>
      <w:bookmarkEnd w:id="58"/>
    </w:p>
    <w:p>
      <w:pPr>
        <w:pageBreakBefore w:val="0"/>
        <w:kinsoku/>
        <w:wordWrap/>
        <w:overflowPunct/>
        <w:topLinePunct w:val="0"/>
        <w:bidi w:val="0"/>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98.11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1.89</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wordWrap/>
        <w:overflowPunct/>
        <w:topLinePunct w:val="0"/>
        <w:bidi w:val="0"/>
        <w:spacing w:line="560" w:lineRule="exact"/>
        <w:ind w:firstLine="64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jc w:val="center"/>
        <w:rPr>
          <w:rFonts w:hint="eastAsia" w:ascii="仿宋" w:hAnsi="仿宋" w:eastAsia="仿宋"/>
          <w:color w:val="auto"/>
          <w:sz w:val="32"/>
          <w:szCs w:val="32"/>
          <w:highlight w:val="none"/>
        </w:rPr>
      </w:pPr>
      <w:r>
        <w:drawing>
          <wp:inline distT="0" distB="0" distL="114300" distR="114300">
            <wp:extent cx="2926715" cy="1700530"/>
            <wp:effectExtent l="4445" t="4445" r="10160" b="1714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560" w:lineRule="exact"/>
        <w:ind w:firstLine="640"/>
        <w:textAlignment w:val="auto"/>
        <w:rPr>
          <w:rFonts w:hint="eastAsia"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pageBreakBefore w:val="0"/>
        <w:kinsoku/>
        <w:wordWrap/>
        <w:overflowPunct/>
        <w:topLinePunct w:val="0"/>
        <w:bidi w:val="0"/>
        <w:spacing w:line="560" w:lineRule="exact"/>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15.6</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1.04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预算口径改变，</w:t>
      </w:r>
      <w:r>
        <w:rPr>
          <w:rFonts w:hint="eastAsia" w:ascii="仿宋" w:hAnsi="仿宋" w:eastAsia="仿宋"/>
          <w:color w:val="000000"/>
          <w:sz w:val="32"/>
          <w:szCs w:val="32"/>
        </w:rPr>
        <w:t>压减支出</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15.6</w:t>
      </w:r>
      <w:r>
        <w:rPr>
          <w:rFonts w:hint="eastAsia" w:ascii="仿宋_GB2312" w:eastAsia="仿宋_GB2312"/>
          <w:color w:val="auto"/>
          <w:sz w:val="32"/>
          <w:szCs w:val="32"/>
          <w:highlight w:val="none"/>
        </w:rPr>
        <w:t>万元。主要用于</w:t>
      </w:r>
      <w:r>
        <w:rPr>
          <w:rFonts w:hint="eastAsia" w:ascii="仿宋" w:hAnsi="仿宋" w:eastAsia="仿宋"/>
          <w:color w:val="000000"/>
          <w:sz w:val="32"/>
          <w:szCs w:val="32"/>
        </w:rPr>
        <w:t>检察机关执法执勤车辆等所需的公务用车燃料费、维修费、过路过桥费、保险费等</w:t>
      </w:r>
      <w:r>
        <w:rPr>
          <w:rFonts w:hint="eastAsia" w:ascii="仿宋_GB2312" w:eastAsia="仿宋_GB2312"/>
          <w:color w:val="auto"/>
          <w:sz w:val="32"/>
          <w:szCs w:val="32"/>
          <w:highlight w:val="none"/>
        </w:rPr>
        <w:t>支出。</w:t>
      </w:r>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21.05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年公务接待减少</w:t>
      </w:r>
      <w:r>
        <w:rPr>
          <w:rFonts w:hint="eastAsia" w:ascii="仿宋_GB2312" w:eastAsia="仿宋_GB2312"/>
          <w:color w:val="auto"/>
          <w:sz w:val="32"/>
          <w:szCs w:val="32"/>
          <w:highlight w:val="none"/>
        </w:rPr>
        <w:t>。其中：</w:t>
      </w:r>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w:t>
      </w:r>
      <w:r>
        <w:rPr>
          <w:rFonts w:hint="eastAsia" w:ascii="仿宋_GB2312" w:eastAsia="仿宋_GB2312"/>
          <w:color w:val="auto"/>
          <w:sz w:val="32"/>
          <w:szCs w:val="32"/>
          <w:highlight w:val="none"/>
        </w:rPr>
        <w:t>万元，主要用于</w:t>
      </w:r>
      <w:r>
        <w:rPr>
          <w:rFonts w:hint="eastAsia" w:ascii="仿宋" w:hAnsi="仿宋" w:eastAsia="仿宋"/>
          <w:color w:val="000000"/>
          <w:sz w:val="32"/>
          <w:szCs w:val="32"/>
        </w:rPr>
        <w:t>执行公务、开展业务活动开支的用餐费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主要用于检察系统办案人员及其他县公务来访人员的接待</w:t>
      </w:r>
      <w:r>
        <w:rPr>
          <w:rFonts w:hint="eastAsia" w:ascii="仿宋_GB2312" w:eastAsia="仿宋_GB2312"/>
          <w:color w:val="auto"/>
          <w:sz w:val="32"/>
          <w:szCs w:val="32"/>
          <w:highlight w:val="none"/>
        </w:rPr>
        <w:t>。</w:t>
      </w:r>
    </w:p>
    <w:p>
      <w:pPr>
        <w:pageBreakBefore w:val="0"/>
        <w:kinsoku/>
        <w:wordWrap/>
        <w:overflowPunct/>
        <w:topLinePunct w:val="0"/>
        <w:bidi w:val="0"/>
        <w:spacing w:line="560" w:lineRule="exact"/>
        <w:ind w:firstLine="643" w:firstLineChars="200"/>
        <w:textAlignment w:val="auto"/>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59" w:name="_Toc15396610"/>
      <w:bookmarkStart w:id="60" w:name="_Toc15377218"/>
    </w:p>
    <w:p>
      <w:pPr>
        <w:pageBreakBefore w:val="0"/>
        <w:kinsoku/>
        <w:wordWrap/>
        <w:overflowPunct/>
        <w:topLinePunct w:val="0"/>
        <w:bidi w:val="0"/>
        <w:spacing w:line="560" w:lineRule="exact"/>
        <w:ind w:firstLine="640"/>
        <w:textAlignment w:val="auto"/>
        <w:outlineLvl w:val="1"/>
        <w:rPr>
          <w:rStyle w:val="29"/>
          <w:rFonts w:ascii="黑体" w:hAnsi="黑体" w:eastAsia="黑体"/>
          <w:color w:val="auto"/>
          <w:highlight w:val="none"/>
        </w:rPr>
      </w:pPr>
      <w:bookmarkStart w:id="61" w:name="_Toc6418"/>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59"/>
      <w:bookmarkEnd w:id="60"/>
      <w:bookmarkEnd w:id="61"/>
    </w:p>
    <w:p>
      <w:pPr>
        <w:pageBreakBefore w:val="0"/>
        <w:kinsoku/>
        <w:wordWrap/>
        <w:overflowPunct/>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2"/>
        </w:numPr>
        <w:kinsoku/>
        <w:wordWrap/>
        <w:overflowPunct/>
        <w:topLinePunct w:val="0"/>
        <w:bidi w:val="0"/>
        <w:spacing w:line="560" w:lineRule="exact"/>
        <w:ind w:firstLine="640"/>
        <w:textAlignment w:val="auto"/>
        <w:outlineLvl w:val="1"/>
        <w:rPr>
          <w:rStyle w:val="29"/>
          <w:rFonts w:ascii="黑体" w:hAnsi="黑体" w:eastAsia="黑体"/>
          <w:b w:val="0"/>
          <w:color w:val="auto"/>
          <w:highlight w:val="none"/>
        </w:rPr>
      </w:pPr>
      <w:bookmarkStart w:id="62" w:name="_Toc14989"/>
      <w:bookmarkStart w:id="63" w:name="_Toc15396611"/>
      <w:bookmarkStart w:id="64" w:name="_Toc15377219"/>
      <w:r>
        <w:rPr>
          <w:rStyle w:val="29"/>
          <w:rFonts w:hint="eastAsia" w:ascii="黑体" w:hAnsi="黑体" w:eastAsia="黑体"/>
          <w:b w:val="0"/>
          <w:color w:val="auto"/>
          <w:highlight w:val="none"/>
        </w:rPr>
        <w:t>国有资本经营预算支出决算情况说明</w:t>
      </w:r>
      <w:bookmarkEnd w:id="62"/>
      <w:bookmarkEnd w:id="63"/>
      <w:bookmarkEnd w:id="64"/>
    </w:p>
    <w:p>
      <w:pPr>
        <w:pageBreakBefore w:val="0"/>
        <w:kinsoku/>
        <w:wordWrap/>
        <w:overflowPunct/>
        <w:topLinePunct w:val="0"/>
        <w:bidi w:val="0"/>
        <w:spacing w:line="560" w:lineRule="exact"/>
        <w:ind w:firstLine="640"/>
        <w:textAlignment w:val="auto"/>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2"/>
        </w:numPr>
        <w:kinsoku/>
        <w:wordWrap/>
        <w:overflowPunct/>
        <w:topLinePunct w:val="0"/>
        <w:bidi w:val="0"/>
        <w:spacing w:line="560" w:lineRule="exact"/>
        <w:ind w:firstLine="640"/>
        <w:textAlignment w:val="auto"/>
        <w:outlineLvl w:val="1"/>
        <w:rPr>
          <w:rStyle w:val="29"/>
          <w:rFonts w:hint="eastAsia" w:ascii="黑体" w:hAnsi="黑体" w:eastAsia="黑体"/>
          <w:b w:val="0"/>
          <w:color w:val="auto"/>
          <w:highlight w:val="none"/>
        </w:rPr>
      </w:pPr>
      <w:bookmarkStart w:id="65" w:name="_Toc15377221"/>
      <w:bookmarkStart w:id="66" w:name="_Toc30716"/>
      <w:bookmarkStart w:id="67" w:name="_Toc15396612"/>
      <w:r>
        <w:rPr>
          <w:rStyle w:val="29"/>
          <w:rFonts w:hint="eastAsia" w:ascii="黑体" w:hAnsi="黑体" w:eastAsia="黑体"/>
          <w:b w:val="0"/>
          <w:color w:val="auto"/>
          <w:highlight w:val="none"/>
        </w:rPr>
        <w:t>其他重要事项的情况说明</w:t>
      </w:r>
      <w:bookmarkEnd w:id="65"/>
      <w:bookmarkEnd w:id="66"/>
      <w:bookmarkEnd w:id="67"/>
    </w:p>
    <w:p>
      <w:pPr>
        <w:pageBreakBefore w:val="0"/>
        <w:kinsoku/>
        <w:wordWrap/>
        <w:overflowPunct/>
        <w:topLinePunct w:val="0"/>
        <w:bidi w:val="0"/>
        <w:spacing w:line="560" w:lineRule="exact"/>
        <w:ind w:firstLine="643" w:firstLineChars="200"/>
        <w:textAlignment w:val="auto"/>
        <w:outlineLvl w:val="2"/>
        <w:rPr>
          <w:rFonts w:ascii="仿宋" w:hAnsi="仿宋" w:eastAsia="仿宋"/>
          <w:color w:val="auto"/>
          <w:sz w:val="32"/>
          <w:szCs w:val="32"/>
          <w:highlight w:val="none"/>
        </w:rPr>
      </w:pPr>
      <w:bookmarkStart w:id="68" w:name="_Toc15377222"/>
      <w:r>
        <w:rPr>
          <w:rFonts w:hint="eastAsia" w:ascii="仿宋" w:hAnsi="仿宋" w:eastAsia="仿宋"/>
          <w:b/>
          <w:color w:val="auto"/>
          <w:sz w:val="32"/>
          <w:szCs w:val="32"/>
          <w:highlight w:val="none"/>
        </w:rPr>
        <w:t>（一）机关运行经费支出情况</w:t>
      </w:r>
      <w:bookmarkEnd w:id="68"/>
    </w:p>
    <w:p>
      <w:pPr>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巴中市巴州区人民检察院</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193.42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17.18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预算口径改变，单位压缩了开支。</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auto"/>
          <w:sz w:val="32"/>
          <w:szCs w:val="32"/>
          <w:highlight w:val="none"/>
        </w:rPr>
      </w:pPr>
      <w:bookmarkStart w:id="69" w:name="_Toc15377223"/>
      <w:r>
        <w:rPr>
          <w:rFonts w:hint="eastAsia" w:ascii="仿宋" w:hAnsi="仿宋" w:eastAsia="仿宋"/>
          <w:b/>
          <w:color w:val="auto"/>
          <w:sz w:val="32"/>
          <w:szCs w:val="32"/>
          <w:highlight w:val="none"/>
        </w:rPr>
        <w:t>（二）政府采购支出情况</w:t>
      </w:r>
      <w:bookmarkEnd w:id="69"/>
    </w:p>
    <w:p>
      <w:pPr>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巴中市巴州区人民检察院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auto"/>
          <w:sz w:val="32"/>
          <w:szCs w:val="32"/>
          <w:highlight w:val="none"/>
        </w:rPr>
      </w:pPr>
      <w:bookmarkStart w:id="70" w:name="_Toc15377224"/>
      <w:r>
        <w:rPr>
          <w:rFonts w:hint="eastAsia" w:ascii="仿宋" w:hAnsi="仿宋" w:eastAsia="仿宋"/>
          <w:b/>
          <w:color w:val="auto"/>
          <w:sz w:val="32"/>
          <w:szCs w:val="32"/>
          <w:highlight w:val="none"/>
        </w:rPr>
        <w:t>（三）国有资产占有使用情况</w:t>
      </w:r>
      <w:bookmarkEnd w:id="70"/>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巴中市巴州区人民检察院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辆，其中：</w:t>
      </w:r>
      <w:r>
        <w:rPr>
          <w:rFonts w:hint="eastAsia" w:ascii="仿宋" w:hAnsi="仿宋" w:eastAsia="仿宋"/>
          <w:color w:val="000000"/>
          <w:sz w:val="32"/>
          <w:szCs w:val="32"/>
        </w:rPr>
        <w:t>一般执法执勤用车5辆、特种作业用车1辆</w:t>
      </w:r>
      <w:r>
        <w:rPr>
          <w:rFonts w:hint="eastAsia" w:ascii="仿宋" w:hAnsi="仿宋" w:eastAsia="仿宋"/>
          <w:color w:val="000000"/>
          <w:sz w:val="32"/>
          <w:szCs w:val="32"/>
          <w:lang w:eastAsia="zh-CN"/>
        </w:rPr>
        <w:t>。</w:t>
      </w:r>
      <w:r>
        <w:rPr>
          <w:rFonts w:hint="eastAsia" w:ascii="仿宋_GB2312" w:eastAsia="仿宋_GB2312"/>
          <w:color w:val="auto"/>
          <w:sz w:val="32"/>
          <w:szCs w:val="32"/>
          <w:highlight w:val="none"/>
          <w:lang w:eastAsia="zh-CN"/>
        </w:rPr>
        <w:t>主要用于检察机关办案、办公使用。</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政法转移支付资金、聘用制书记员、检察办案业务经费</w:t>
      </w:r>
      <w:r>
        <w:rPr>
          <w:rFonts w:hint="eastAsia" w:ascii="仿宋_GB2312" w:hAnsi="仿宋_GB2312" w:eastAsia="仿宋_GB2312" w:cs="仿宋_GB2312"/>
          <w:color w:val="auto"/>
          <w:sz w:val="32"/>
          <w:szCs w:val="32"/>
          <w:highlight w:val="none"/>
        </w:rPr>
        <w:t>项目</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组织对2022年度一般公共预算全面开展绩效自评，形成</w:t>
      </w:r>
      <w:r>
        <w:rPr>
          <w:rFonts w:hint="eastAsia" w:ascii="仿宋_GB2312" w:hAnsi="仿宋_GB2312" w:eastAsia="仿宋_GB2312" w:cs="仿宋_GB2312"/>
          <w:color w:val="auto"/>
          <w:sz w:val="32"/>
          <w:szCs w:val="32"/>
          <w:highlight w:val="none"/>
          <w:lang w:eastAsia="zh-CN"/>
        </w:rPr>
        <w:t>巴中市巴州区人民检察院</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政法转移支付资金</w:t>
      </w:r>
      <w:r>
        <w:rPr>
          <w:rFonts w:hint="eastAsia" w:ascii="仿宋_GB2312" w:hAnsi="仿宋_GB2312" w:eastAsia="仿宋_GB2312" w:cs="仿宋_GB2312"/>
          <w:color w:val="auto"/>
          <w:sz w:val="32"/>
          <w:szCs w:val="32"/>
          <w:highlight w:val="none"/>
        </w:rPr>
        <w:t>专项预算项目绩效自评报告，其中，</w:t>
      </w:r>
      <w:r>
        <w:rPr>
          <w:rFonts w:hint="eastAsia" w:ascii="仿宋_GB2312" w:hAnsi="仿宋_GB2312" w:eastAsia="仿宋_GB2312" w:cs="仿宋_GB2312"/>
          <w:color w:val="auto"/>
          <w:sz w:val="32"/>
          <w:szCs w:val="32"/>
          <w:highlight w:val="none"/>
          <w:lang w:eastAsia="zh-CN"/>
        </w:rPr>
        <w:t>巴中市巴州区人民检察院</w:t>
      </w:r>
      <w:r>
        <w:rPr>
          <w:rFonts w:hint="eastAsia" w:ascii="仿宋_GB2312" w:hAnsi="仿宋_GB2312" w:eastAsia="仿宋_GB2312" w:cs="仿宋_GB2312"/>
          <w:color w:val="auto"/>
          <w:sz w:val="32"/>
          <w:szCs w:val="32"/>
          <w:highlight w:val="none"/>
        </w:rPr>
        <w:t>部门整体（含部门预算项目）绩效自评得分为</w:t>
      </w:r>
      <w:r>
        <w:rPr>
          <w:rFonts w:hint="eastAsia" w:hAnsi="仿宋_GB2312" w:cs="仿宋_GB2312"/>
          <w:color w:val="auto"/>
          <w:sz w:val="32"/>
          <w:szCs w:val="32"/>
          <w:highlight w:val="none"/>
          <w:lang w:val="en-US" w:eastAsia="zh-CN"/>
        </w:rPr>
        <w:t>88</w:t>
      </w:r>
      <w:r>
        <w:rPr>
          <w:rFonts w:hint="eastAsia" w:ascii="仿宋_GB2312" w:hAnsi="仿宋_GB2312" w:eastAsia="仿宋_GB2312" w:cs="仿宋_GB2312"/>
          <w:color w:val="auto"/>
          <w:sz w:val="32"/>
          <w:szCs w:val="32"/>
          <w:highlight w:val="none"/>
        </w:rPr>
        <w:t>分，绩效自评综述</w:t>
      </w:r>
      <w:r>
        <w:rPr>
          <w:rFonts w:hint="eastAsia" w:hAnsi="仿宋_GB2312" w:cs="仿宋_GB2312"/>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全年基本支出保证了部门的正常运行和日常工作的正常开展，项目支出保障了全年的重点工作，绩效目标基本实现。</w:t>
      </w:r>
      <w:r>
        <w:rPr>
          <w:rFonts w:hint="eastAsia" w:ascii="仿宋_GB2312" w:hAnsi="仿宋_GB2312" w:eastAsia="仿宋_GB2312" w:cs="仿宋_GB2312"/>
          <w:color w:val="auto"/>
          <w:sz w:val="32"/>
          <w:szCs w:val="32"/>
          <w:highlight w:val="none"/>
        </w:rPr>
        <w:t>绩效自评报告详见附件。</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pStyle w:val="2"/>
        <w:rPr>
          <w:rFonts w:hint="eastAsia"/>
        </w:rPr>
      </w:pPr>
    </w:p>
    <w:p>
      <w:pPr>
        <w:pageBreakBefore w:val="0"/>
        <w:numPr>
          <w:ilvl w:val="0"/>
          <w:numId w:val="3"/>
        </w:numPr>
        <w:kinsoku/>
        <w:wordWrap/>
        <w:overflowPunct/>
        <w:topLinePunct w:val="0"/>
        <w:bidi w:val="0"/>
        <w:spacing w:line="560" w:lineRule="exact"/>
        <w:ind w:firstLine="660" w:firstLineChars="150"/>
        <w:jc w:val="center"/>
        <w:textAlignment w:val="auto"/>
        <w:outlineLvl w:val="0"/>
        <w:rPr>
          <w:rStyle w:val="28"/>
          <w:rFonts w:ascii="黑体" w:hAnsi="黑体" w:eastAsia="黑体"/>
          <w:b w:val="0"/>
          <w:color w:val="auto"/>
          <w:highlight w:val="none"/>
        </w:rPr>
      </w:pPr>
      <w:bookmarkStart w:id="71" w:name="_Toc15396613"/>
      <w:bookmarkStart w:id="72" w:name="_Toc23740"/>
      <w:bookmarkStart w:id="73"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71"/>
      <w:bookmarkEnd w:id="72"/>
      <w:bookmarkEnd w:id="73"/>
    </w:p>
    <w:p>
      <w:pPr>
        <w:pageBreakBefore w:val="0"/>
        <w:kinsoku/>
        <w:wordWrap/>
        <w:overflowPunct/>
        <w:topLinePunct w:val="0"/>
        <w:bidi w:val="0"/>
        <w:spacing w:line="560" w:lineRule="exact"/>
        <w:jc w:val="left"/>
        <w:textAlignment w:val="auto"/>
        <w:rPr>
          <w:rFonts w:ascii="宋体"/>
          <w:b/>
          <w:color w:val="auto"/>
          <w:sz w:val="44"/>
          <w:szCs w:val="44"/>
          <w:highlight w:val="none"/>
        </w:rPr>
      </w:pPr>
    </w:p>
    <w:p>
      <w:pPr>
        <w:pStyle w:val="26"/>
        <w:spacing w:line="560" w:lineRule="exact"/>
        <w:ind w:firstLine="640" w:firstLineChars="200"/>
        <w:rPr>
          <w:rFonts w:hAnsi="仿宋" w:cs="Times New Roman"/>
          <w:kern w:val="2"/>
          <w:sz w:val="32"/>
          <w:szCs w:val="32"/>
        </w:rPr>
      </w:pPr>
      <w:bookmarkStart w:id="74" w:name="_Toc15396614"/>
      <w:bookmarkStart w:id="75" w:name="_Toc28035"/>
      <w:bookmarkStart w:id="76" w:name="_Toc15377226"/>
      <w:r>
        <w:rPr>
          <w:rFonts w:hAnsi="仿宋" w:cs="Times New Roman"/>
          <w:kern w:val="2"/>
          <w:sz w:val="32"/>
          <w:szCs w:val="32"/>
        </w:rPr>
        <w:t>1.</w:t>
      </w:r>
      <w:r>
        <w:rPr>
          <w:rFonts w:hint="eastAsia" w:hAnsi="仿宋" w:cs="Times New Roman"/>
          <w:kern w:val="2"/>
          <w:sz w:val="32"/>
          <w:szCs w:val="32"/>
        </w:rPr>
        <w:t>财政拨款收入：指单位从同级财政部门取得的财政预算资金。</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2.</w:t>
      </w:r>
      <w:r>
        <w:rPr>
          <w:rFonts w:hint="eastAsia" w:hAnsi="仿宋" w:cs="Times New Roman"/>
          <w:kern w:val="2"/>
          <w:sz w:val="32"/>
          <w:szCs w:val="32"/>
        </w:rPr>
        <w:t>事业收入：指事业单位开展专业业务活动及辅助活动取得的收入。</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3.</w:t>
      </w:r>
      <w:r>
        <w:rPr>
          <w:rFonts w:hint="eastAsia" w:hAnsi="仿宋" w:cs="Times New Roman"/>
          <w:kern w:val="2"/>
          <w:sz w:val="32"/>
          <w:szCs w:val="32"/>
        </w:rPr>
        <w:t>经营收入：指事业单位在专业业务活动及其辅助活动之外开展非独立核算经营活动取得的收入。</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4.</w:t>
      </w:r>
      <w:r>
        <w:rPr>
          <w:rFonts w:hint="eastAsia" w:hAnsi="仿宋" w:cs="Times New Roman"/>
          <w:kern w:val="2"/>
          <w:sz w:val="32"/>
          <w:szCs w:val="32"/>
        </w:rPr>
        <w:t>其他收入：指单位取得的除上述收入以外的各项收入。</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5.</w:t>
      </w:r>
      <w:r>
        <w:rPr>
          <w:rFonts w:hint="eastAsia" w:hAnsi="仿宋" w:cs="Times New Roman"/>
          <w:kern w:val="2"/>
          <w:sz w:val="32"/>
          <w:szCs w:val="32"/>
        </w:rPr>
        <w:t>使用非财政拨款结余：指事业单位使用以前年度积累的非财政拨款结余弥补当年收支差额的金额。</w:t>
      </w:r>
      <w:r>
        <w:rPr>
          <w:rFonts w:hAnsi="仿宋" w:cs="Times New Roman"/>
          <w:kern w:val="2"/>
          <w:sz w:val="32"/>
          <w:szCs w:val="32"/>
        </w:rPr>
        <w:t xml:space="preserve"> </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6.</w:t>
      </w:r>
      <w:r>
        <w:rPr>
          <w:rFonts w:hint="eastAsia" w:hAnsi="仿宋" w:cs="Times New Roman"/>
          <w:kern w:val="2"/>
          <w:sz w:val="32"/>
          <w:szCs w:val="32"/>
        </w:rPr>
        <w:t>年初结转和结余：指以前年度尚未完成、结转到本年按有关规定继续使用的资金。</w:t>
      </w:r>
      <w:r>
        <w:rPr>
          <w:rFonts w:hAnsi="仿宋" w:cs="Times New Roman"/>
          <w:kern w:val="2"/>
          <w:sz w:val="32"/>
          <w:szCs w:val="32"/>
        </w:rPr>
        <w:t xml:space="preserve"> </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7.</w:t>
      </w:r>
      <w:r>
        <w:rPr>
          <w:rFonts w:hint="eastAsia" w:hAnsi="仿宋" w:cs="Times New Roman"/>
          <w:kern w:val="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hAnsi="仿宋" w:cs="Times New Roman"/>
          <w:kern w:val="2"/>
          <w:sz w:val="32"/>
          <w:szCs w:val="32"/>
        </w:rPr>
      </w:pPr>
      <w:r>
        <w:rPr>
          <w:rFonts w:hAnsi="仿宋" w:cs="Times New Roman"/>
          <w:kern w:val="2"/>
          <w:sz w:val="32"/>
          <w:szCs w:val="32"/>
        </w:rPr>
        <w:t>8</w:t>
      </w:r>
      <w:r>
        <w:rPr>
          <w:rFonts w:hint="eastAsia" w:hAnsi="仿宋" w:cs="Times New Roman"/>
          <w:kern w:val="2"/>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一般公共服务（类）其他一般公共服务支出（款）其他一般公共服务支出（项）：指开展一般公共服务方面的经费支出。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0</w:t>
      </w:r>
      <w:r>
        <w:rPr>
          <w:rFonts w:ascii="仿宋" w:hAnsi="仿宋" w:eastAsia="仿宋"/>
          <w:color w:val="000000"/>
          <w:sz w:val="32"/>
          <w:szCs w:val="32"/>
        </w:rPr>
        <w:t>.</w:t>
      </w:r>
      <w:r>
        <w:rPr>
          <w:rFonts w:hint="eastAsia" w:ascii="仿宋" w:hAnsi="仿宋" w:eastAsia="仿宋"/>
          <w:color w:val="000000"/>
          <w:sz w:val="32"/>
          <w:szCs w:val="32"/>
        </w:rPr>
        <w:t>公共安全（类）检察（款）行政运行（项）：指检察机关用于保障机构正常运行、开展日常工作的基本支出。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ascii="仿宋" w:hAnsi="仿宋" w:eastAsia="仿宋"/>
          <w:color w:val="000000"/>
          <w:sz w:val="32"/>
          <w:szCs w:val="32"/>
        </w:rPr>
        <w:t>.</w:t>
      </w:r>
      <w:r>
        <w:rPr>
          <w:rFonts w:hint="eastAsia" w:ascii="仿宋" w:hAnsi="仿宋" w:eastAsia="仿宋"/>
          <w:color w:val="000000"/>
          <w:sz w:val="32"/>
          <w:szCs w:val="32"/>
        </w:rPr>
        <w:t xml:space="preserve"> 公共安全（类）检察（款）一般行政管理事务（项）：指检察机关开展检察综合业务未单独设置项级的其他项目支出。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 xml:space="preserve"> 公共安全（类）检察（款）检察监督（项）：指检察机关依法履行检察监督职能时的支出。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社会保障和就业（类）行政事业单位离退休（款）机关事业单位基本养老保险缴费支出（项）：指部门实施养老保险制度由单位缴纳的养老保险费的支出。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 xml:space="preserve"> 社会保障和就业（类）行政事业单位离退休（款）机关事业单位职业年金缴费支出（项）：指部门实施养老保险制度由单位缴纳的职业年金的支出。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 xml:space="preserve"> 医疗卫生与计划生育（类）行政事业单位医疗（款）行政单位医疗（项）：指检察机关用于缴纳单位基本医疗保险支出。</w:t>
      </w:r>
    </w:p>
    <w:p>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6 住房保障（类）住房保障支出（款）住房公积金（项）：指反映行政事业单位按规定为职工缴纳的住房公积金。</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17</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19</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hAnsi="仿宋" w:cs="Times New Roman"/>
          <w:kern w:val="2"/>
          <w:sz w:val="32"/>
          <w:szCs w:val="32"/>
        </w:rPr>
      </w:pPr>
      <w:r>
        <w:rPr>
          <w:rFonts w:hint="eastAsia" w:hAnsi="仿宋" w:cs="Times New Roman"/>
          <w:kern w:val="2"/>
          <w:sz w:val="32"/>
          <w:szCs w:val="32"/>
        </w:rPr>
        <w:t>20</w:t>
      </w:r>
      <w:r>
        <w:rPr>
          <w:rFonts w:hAnsi="仿宋" w:cs="Times New Roman"/>
          <w:kern w:val="2"/>
          <w:sz w:val="32"/>
          <w:szCs w:val="32"/>
        </w:rPr>
        <w:t>.</w:t>
      </w:r>
      <w:r>
        <w:rPr>
          <w:rFonts w:hint="eastAsia" w:hAnsi="仿宋" w:cs="Times New Roman"/>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hAnsi="仿宋" w:cs="Times New Roman"/>
          <w:kern w:val="2"/>
          <w:sz w:val="32"/>
          <w:szCs w:val="32"/>
        </w:rPr>
        <w:t>2</w:t>
      </w:r>
      <w:r>
        <w:rPr>
          <w:rFonts w:hAnsi="仿宋" w:cs="Times New Roman"/>
          <w:kern w:val="2"/>
          <w:sz w:val="32"/>
          <w:szCs w:val="32"/>
        </w:rPr>
        <w:t>1.</w:t>
      </w:r>
      <w:r>
        <w:rPr>
          <w:rFonts w:hint="eastAsia" w:hAnsi="仿宋" w:cs="Times New Roman"/>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textAlignment w:val="auto"/>
        <w:outlineLvl w:val="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br w:type="page"/>
      </w:r>
    </w:p>
    <w:p>
      <w:pPr>
        <w:pageBreakBefore w:val="0"/>
        <w:kinsoku/>
        <w:wordWrap/>
        <w:overflowPunct/>
        <w:topLinePunct w:val="0"/>
        <w:bidi w:val="0"/>
        <w:spacing w:line="560" w:lineRule="exact"/>
        <w:jc w:val="center"/>
        <w:textAlignment w:val="auto"/>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74"/>
      <w:bookmarkEnd w:id="75"/>
    </w:p>
    <w:p>
      <w:pPr>
        <w:keepNext w:val="0"/>
        <w:keepLines w:val="0"/>
        <w:pageBreakBefore w:val="0"/>
        <w:kinsoku/>
        <w:wordWrap/>
        <w:overflowPunct/>
        <w:topLinePunct w:val="0"/>
        <w:autoSpaceDE/>
        <w:autoSpaceDN/>
        <w:bidi w:val="0"/>
        <w:spacing w:line="560"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77" w:name="_Toc26800"/>
      <w:r>
        <w:rPr>
          <w:rFonts w:hint="eastAsia" w:ascii="黑体" w:hAnsi="黑体" w:eastAsia="黑体" w:cs="黑体"/>
          <w:color w:val="auto"/>
          <w:sz w:val="32"/>
          <w:szCs w:val="32"/>
          <w:highlight w:val="none"/>
        </w:rPr>
        <w:t>附件</w:t>
      </w:r>
      <w:bookmarkEnd w:id="77"/>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eastAsia="zh-CN"/>
        </w:rPr>
        <w:t>度</w:t>
      </w:r>
      <w:r>
        <w:rPr>
          <w:rFonts w:hint="eastAsia" w:ascii="宋体" w:hAnsi="宋体" w:eastAsia="宋体"/>
          <w:b/>
          <w:color w:val="auto"/>
          <w:sz w:val="32"/>
          <w:szCs w:val="32"/>
          <w:highlight w:val="none"/>
          <w:shd w:val="clear" w:color="auto" w:fill="FFFFFF"/>
        </w:rPr>
        <w:t>部门整体绩效评价报告</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78" w:name="_Toc3865"/>
      <w:r>
        <w:rPr>
          <w:rFonts w:hint="eastAsia" w:ascii="黑体" w:hAnsi="宋体" w:eastAsia="黑体" w:cs="宋体"/>
          <w:color w:val="auto"/>
          <w:kern w:val="0"/>
          <w:sz w:val="32"/>
          <w:szCs w:val="32"/>
          <w:highlight w:val="none"/>
          <w:shd w:val="clear" w:color="auto" w:fill="FFFFFF"/>
          <w:lang w:val="zh-CN"/>
        </w:rPr>
        <w:t>部门（单位）基本情况</w:t>
      </w:r>
      <w:bookmarkEnd w:id="78"/>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lang w:val="en-US" w:eastAsia="zh-CN"/>
        </w:rPr>
      </w:pPr>
      <w:r>
        <w:rPr>
          <w:rFonts w:hint="eastAsia"/>
          <w:lang w:val="zh-CN"/>
        </w:rPr>
        <w:t>巴中市巴州区人民检察院共设立</w:t>
      </w:r>
      <w:r>
        <w:rPr>
          <w:rFonts w:hint="eastAsia"/>
          <w:lang w:val="en-US" w:eastAsia="zh-CN"/>
        </w:rPr>
        <w:t>8个内设部门，分别是办公室、政治部、第一检察部、第二检察部、第三检察部、第四检察部、第五检察部、案件管理办公室。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default"/>
          <w:lang w:val="en-US" w:eastAsia="zh-CN"/>
        </w:rPr>
      </w:pPr>
      <w:r>
        <w:rPr>
          <w:rFonts w:hint="eastAsia"/>
          <w:lang w:val="en-US" w:eastAsia="zh-CN"/>
        </w:rPr>
        <w:t>巴中市巴州区人民检察院是财政一级预算单位，全额拨款行政单位，无下属二级单位。</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机构职能和人员概况。</w:t>
      </w:r>
    </w:p>
    <w:p>
      <w:pPr>
        <w:ind w:firstLine="600" w:firstLineChars="200"/>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主要职能。一是对区人民代表大会及其常务委员会负责并报告工作，接受其监督；接受上级人民检察院的领导并对其负责。二是依法向区人民代表大会及其常务委员会提出议案。三是对于危害国家安全以及严重破坏国家的政策、法律、政令统一实施的重大犯罪案件，行使检察权。四是对于直接受理的国家工作人员利用职权实施的犯罪案件，进行侦查。五是对于公安机关、国家安全机关侦查的案件以及自行侦查的案件进行审查，决定是否逮捕、起诉或者不起诉。并对侦查活动是否合法实行监督。六是对刑事案件提起公诉，支持公诉；对于人民法院的刑事判决、裁定是否正确和审判活动是否合法实行监督。七是对人民法院的民事审判和行政诉讼活动实行法律监督，对人民法院已经发生效力的民事行政判决、裁定，有违反法律、法规规定的，依法提出抗诉。八是开展职务犯罪的预防工作。九是对社区矫正活动是否合法实施监督。十是负责其他应由本院承办的事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zh-CN" w:eastAsia="zh-CN" w:bidi="ar-SA"/>
        </w:rPr>
        <w:t>机构人员。202</w:t>
      </w:r>
      <w:r>
        <w:rPr>
          <w:rFonts w:hint="eastAsia" w:cs="Times New Roman"/>
          <w:kern w:val="0"/>
          <w:sz w:val="30"/>
          <w:szCs w:val="24"/>
          <w:lang w:val="en-US" w:eastAsia="zh-CN" w:bidi="ar-SA"/>
        </w:rPr>
        <w:t>2</w:t>
      </w:r>
      <w:r>
        <w:rPr>
          <w:rFonts w:hint="eastAsia" w:ascii="仿宋_GB2312" w:hAnsi="Times New Roman" w:eastAsia="仿宋_GB2312" w:cs="Times New Roman"/>
          <w:kern w:val="0"/>
          <w:sz w:val="30"/>
          <w:szCs w:val="24"/>
          <w:lang w:val="zh-CN" w:eastAsia="zh-CN" w:bidi="ar-SA"/>
        </w:rPr>
        <w:t>年末，</w:t>
      </w:r>
      <w:r>
        <w:rPr>
          <w:rFonts w:hint="eastAsia" w:cs="Times New Roman"/>
          <w:kern w:val="0"/>
          <w:sz w:val="30"/>
          <w:szCs w:val="24"/>
          <w:lang w:val="zh-CN" w:eastAsia="zh-CN" w:bidi="ar-SA"/>
        </w:rPr>
        <w:t>巴中市巴州区人民检察</w:t>
      </w:r>
      <w:r>
        <w:rPr>
          <w:rFonts w:hint="eastAsia" w:ascii="仿宋_GB2312" w:hAnsi="Times New Roman" w:eastAsia="仿宋_GB2312" w:cs="Times New Roman"/>
          <w:kern w:val="0"/>
          <w:sz w:val="30"/>
          <w:szCs w:val="24"/>
          <w:lang w:val="zh-CN" w:eastAsia="zh-CN" w:bidi="ar-SA"/>
        </w:rPr>
        <w:t>院编制数为59</w:t>
      </w:r>
      <w:r>
        <w:rPr>
          <w:rFonts w:hint="eastAsia" w:cs="Times New Roman"/>
          <w:kern w:val="0"/>
          <w:sz w:val="30"/>
          <w:szCs w:val="24"/>
          <w:lang w:val="zh-CN" w:eastAsia="zh-CN" w:bidi="ar-SA"/>
        </w:rPr>
        <w:t>个</w:t>
      </w:r>
      <w:r>
        <w:rPr>
          <w:rFonts w:hint="eastAsia" w:ascii="仿宋_GB2312" w:hAnsi="Times New Roman" w:eastAsia="仿宋_GB2312" w:cs="Times New Roman"/>
          <w:kern w:val="0"/>
          <w:sz w:val="30"/>
          <w:szCs w:val="24"/>
          <w:lang w:val="zh-CN" w:eastAsia="zh-CN" w:bidi="ar-SA"/>
        </w:rPr>
        <w:t>，其中中央政法专项编制</w:t>
      </w:r>
      <w:r>
        <w:rPr>
          <w:rFonts w:hint="eastAsia" w:cs="Times New Roman"/>
          <w:kern w:val="0"/>
          <w:sz w:val="30"/>
          <w:szCs w:val="24"/>
          <w:lang w:val="en-US" w:eastAsia="zh-CN" w:bidi="ar-SA"/>
        </w:rPr>
        <w:t>51</w:t>
      </w:r>
      <w:r>
        <w:rPr>
          <w:rFonts w:hint="eastAsia" w:cs="Times New Roman"/>
          <w:kern w:val="0"/>
          <w:sz w:val="30"/>
          <w:szCs w:val="24"/>
          <w:lang w:val="zh-CN" w:eastAsia="zh-CN" w:bidi="ar-SA"/>
        </w:rPr>
        <w:t>个</w:t>
      </w:r>
      <w:r>
        <w:rPr>
          <w:rFonts w:hint="eastAsia" w:ascii="仿宋_GB2312" w:hAnsi="Times New Roman" w:eastAsia="仿宋_GB2312" w:cs="Times New Roman"/>
          <w:kern w:val="0"/>
          <w:sz w:val="30"/>
          <w:szCs w:val="24"/>
          <w:lang w:val="zh-CN" w:eastAsia="zh-CN" w:bidi="ar-SA"/>
        </w:rPr>
        <w:t>，事业编制8</w:t>
      </w:r>
      <w:r>
        <w:rPr>
          <w:rFonts w:hint="eastAsia" w:cs="Times New Roman"/>
          <w:kern w:val="0"/>
          <w:sz w:val="30"/>
          <w:szCs w:val="24"/>
          <w:lang w:val="zh-CN" w:eastAsia="zh-CN" w:bidi="ar-SA"/>
        </w:rPr>
        <w:t>个</w:t>
      </w:r>
      <w:r>
        <w:rPr>
          <w:rFonts w:hint="eastAsia" w:ascii="仿宋_GB2312" w:hAnsi="Times New Roman" w:eastAsia="仿宋_GB2312" w:cs="Times New Roman"/>
          <w:kern w:val="0"/>
          <w:sz w:val="30"/>
          <w:szCs w:val="24"/>
          <w:lang w:val="zh-CN" w:eastAsia="zh-CN" w:bidi="ar-SA"/>
        </w:rPr>
        <w:t>，工勤编制2</w:t>
      </w:r>
      <w:r>
        <w:rPr>
          <w:rFonts w:hint="eastAsia" w:cs="Times New Roman"/>
          <w:kern w:val="0"/>
          <w:sz w:val="30"/>
          <w:szCs w:val="24"/>
          <w:lang w:val="zh-CN" w:eastAsia="zh-CN" w:bidi="ar-SA"/>
        </w:rPr>
        <w:t>个</w:t>
      </w:r>
      <w:r>
        <w:rPr>
          <w:rFonts w:hint="eastAsia" w:ascii="仿宋_GB2312" w:hAnsi="Times New Roman" w:eastAsia="仿宋_GB2312" w:cs="Times New Roman"/>
          <w:kern w:val="0"/>
          <w:sz w:val="30"/>
          <w:szCs w:val="24"/>
          <w:lang w:val="zh-CN" w:eastAsia="zh-CN" w:bidi="ar-SA"/>
        </w:rPr>
        <w:t>。在职人员7</w:t>
      </w:r>
      <w:r>
        <w:rPr>
          <w:rFonts w:hint="eastAsia" w:cs="Times New Roman"/>
          <w:kern w:val="0"/>
          <w:sz w:val="30"/>
          <w:szCs w:val="24"/>
          <w:lang w:val="en-US" w:eastAsia="zh-CN" w:bidi="ar-SA"/>
        </w:rPr>
        <w:t>8</w:t>
      </w:r>
      <w:r>
        <w:rPr>
          <w:rFonts w:hint="eastAsia" w:ascii="仿宋_GB2312" w:hAnsi="Times New Roman" w:eastAsia="仿宋_GB2312" w:cs="Times New Roman"/>
          <w:kern w:val="0"/>
          <w:sz w:val="30"/>
          <w:szCs w:val="24"/>
          <w:lang w:val="zh-CN" w:eastAsia="zh-CN" w:bidi="ar-SA"/>
        </w:rPr>
        <w:t>名，其中中央政法专项编制人员43名，工勤编制人员2名，事业编制人员7名，聘用制书记员1</w:t>
      </w:r>
      <w:r>
        <w:rPr>
          <w:rFonts w:hint="eastAsia" w:cs="Times New Roman"/>
          <w:kern w:val="0"/>
          <w:sz w:val="30"/>
          <w:szCs w:val="24"/>
          <w:lang w:val="en-US" w:eastAsia="zh-CN" w:bidi="ar-SA"/>
        </w:rPr>
        <w:t>9</w:t>
      </w:r>
      <w:r>
        <w:rPr>
          <w:rFonts w:hint="eastAsia" w:ascii="仿宋_GB2312" w:hAnsi="Times New Roman" w:eastAsia="仿宋_GB2312" w:cs="Times New Roman"/>
          <w:kern w:val="0"/>
          <w:sz w:val="30"/>
          <w:szCs w:val="24"/>
          <w:lang w:val="zh-CN" w:eastAsia="zh-CN" w:bidi="ar-SA"/>
        </w:rPr>
        <w:t>名</w:t>
      </w:r>
      <w:r>
        <w:rPr>
          <w:rFonts w:hint="eastAsia" w:cs="Times New Roman"/>
          <w:kern w:val="0"/>
          <w:sz w:val="30"/>
          <w:szCs w:val="24"/>
          <w:lang w:val="zh-CN" w:eastAsia="zh-CN" w:bidi="ar-SA"/>
        </w:rPr>
        <w:t>，</w:t>
      </w:r>
      <w:r>
        <w:rPr>
          <w:rFonts w:hint="eastAsia" w:ascii="仿宋_GB2312" w:hAnsi="Times New Roman" w:eastAsia="仿宋_GB2312" w:cs="Times New Roman"/>
          <w:kern w:val="0"/>
          <w:sz w:val="30"/>
          <w:szCs w:val="24"/>
          <w:lang w:val="zh-CN" w:eastAsia="zh-CN" w:bidi="ar-SA"/>
        </w:rPr>
        <w:t>合同制工勤人员7名。退休人员45名，全部为中央政法专项编制人员。另有长赡人员</w:t>
      </w:r>
      <w:r>
        <w:rPr>
          <w:rFonts w:hint="eastAsia" w:cs="Times New Roman"/>
          <w:kern w:val="0"/>
          <w:sz w:val="30"/>
          <w:szCs w:val="24"/>
          <w:lang w:val="en-US" w:eastAsia="zh-CN" w:bidi="ar-SA"/>
        </w:rPr>
        <w:t>1</w:t>
      </w:r>
      <w:r>
        <w:rPr>
          <w:rFonts w:hint="eastAsia" w:ascii="仿宋_GB2312" w:hAnsi="Times New Roman" w:eastAsia="仿宋_GB2312" w:cs="Times New Roman"/>
          <w:kern w:val="0"/>
          <w:sz w:val="30"/>
          <w:szCs w:val="24"/>
          <w:lang w:val="zh-CN" w:eastAsia="zh-CN" w:bidi="ar-SA"/>
        </w:rPr>
        <w:t>名。</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年度主要工作任务。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Times New Roman" w:eastAsia="仿宋_GB2312" w:cs="Times New Roman"/>
          <w:kern w:val="0"/>
          <w:sz w:val="30"/>
          <w:szCs w:val="24"/>
          <w:lang w:val="zh-CN" w:eastAsia="zh-CN" w:bidi="ar-SA"/>
        </w:rPr>
      </w:pPr>
      <w:r>
        <w:rPr>
          <w:rFonts w:hint="eastAsia" w:ascii="仿宋_GB2312" w:hAnsi="Times New Roman" w:eastAsia="仿宋_GB2312" w:cs="Times New Roman"/>
          <w:kern w:val="0"/>
          <w:sz w:val="30"/>
          <w:szCs w:val="24"/>
          <w:lang w:val="en-US" w:eastAsia="zh-CN" w:bidi="ar-SA"/>
        </w:rPr>
        <w:t>2022年，巴中市巴州区人民检察院在区委和市检察院的坚强领导下，深入贯彻习近平新时代中国特色社会主义思想和习近平法治思想，以党的二十大精神为指引，认真落实《中共中央关于加强新时代检察机关法律监督工作的意见》和区委办责任清单要求，依法能动履职尽责，稳步有序推进各项检察工作，为“建设清爽奋进幸福巴州”贡献力量。</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部门整体支出绩效目标。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_GB2312" w:hAnsi="Times New Roman" w:eastAsia="仿宋_GB2312" w:cs="Times New Roman"/>
          <w:kern w:val="0"/>
          <w:sz w:val="30"/>
          <w:szCs w:val="24"/>
          <w:lang w:val="zh-CN" w:eastAsia="zh-CN" w:bidi="ar-SA"/>
        </w:rPr>
      </w:pPr>
      <w:r>
        <w:rPr>
          <w:rFonts w:hint="eastAsia" w:cs="Times New Roman"/>
          <w:kern w:val="0"/>
          <w:sz w:val="30"/>
          <w:szCs w:val="24"/>
          <w:lang w:val="en-US" w:eastAsia="zh-CN" w:bidi="ar-SA"/>
        </w:rPr>
        <w:t>2022年，巴中市巴州区人民检察院将</w:t>
      </w:r>
      <w:r>
        <w:rPr>
          <w:rFonts w:hint="eastAsia" w:ascii="仿宋_GB2312" w:hAnsi="Times New Roman" w:eastAsia="仿宋_GB2312" w:cs="Times New Roman"/>
          <w:kern w:val="0"/>
          <w:sz w:val="30"/>
          <w:szCs w:val="24"/>
          <w:lang w:val="zh-CN" w:eastAsia="zh-CN" w:bidi="ar-SA"/>
        </w:rPr>
        <w:t>以习近平新时代中国特色社会主义思想和习近平法治思想为指导，以《中共中央关于加强新时代检察机关法律监督工作的意见》为遵循，围绕市院1234工作思路和“四个有效提升”五年目标，聚焦市委“三市两地一枢纽”发展定位和区委建设“清爽奋进幸福巴州”部署要求，以“提质量树品牌强素质”为目标，以“质量建设年”为抓手，聚焦巴州高质量发展依法能动履职，为党的二十大顺利召开营造平稳健康的经济环境、国泰民安的社会环境、风清气正的整治环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9" w:name="_Toc1790"/>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79"/>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pageBreakBefore w:val="0"/>
        <w:kinsoku/>
        <w:wordWrap/>
        <w:overflowPunct/>
        <w:topLinePunct w:val="0"/>
        <w:bidi w:val="0"/>
        <w:spacing w:line="560" w:lineRule="exact"/>
        <w:ind w:firstLine="640" w:firstLineChars="200"/>
        <w:textAlignment w:val="auto"/>
        <w:outlineLvl w:val="1"/>
        <w:rPr>
          <w:rFonts w:hint="eastAsia"/>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部门总体</w:t>
      </w:r>
      <w:r>
        <w:rPr>
          <w:rFonts w:hint="eastAsia" w:ascii="仿宋" w:hAnsi="仿宋" w:eastAsia="仿宋"/>
          <w:color w:val="auto"/>
          <w:sz w:val="32"/>
          <w:szCs w:val="32"/>
          <w:highlight w:val="none"/>
        </w:rPr>
        <w:t>收入合计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部门总体</w:t>
      </w:r>
      <w:r>
        <w:rPr>
          <w:rFonts w:hint="eastAsia" w:ascii="仿宋" w:hAnsi="仿宋" w:eastAsia="仿宋"/>
          <w:color w:val="auto"/>
          <w:sz w:val="32"/>
          <w:szCs w:val="32"/>
          <w:highlight w:val="none"/>
        </w:rPr>
        <w:t>支出合计</w:t>
      </w:r>
      <w:r>
        <w:rPr>
          <w:rFonts w:hint="eastAsia" w:ascii="仿宋" w:hAnsi="仿宋" w:eastAsia="仿宋"/>
          <w:color w:val="auto"/>
          <w:sz w:val="32"/>
          <w:szCs w:val="32"/>
          <w:highlight w:val="none"/>
          <w:lang w:val="en-US" w:eastAsia="zh-CN"/>
        </w:rPr>
        <w:t>1192.9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916.77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76.85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部门无结转结余资金。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hAnsi="仿宋_GB2312" w:cs="仿宋_GB2312"/>
          <w:b w:val="0"/>
          <w:bCs w:val="0"/>
          <w:color w:val="auto"/>
          <w:kern w:val="0"/>
          <w:sz w:val="32"/>
          <w:szCs w:val="32"/>
          <w:highlight w:val="none"/>
          <w:shd w:val="clear" w:color="auto" w:fill="FFFFFF"/>
          <w:lang w:val="en-US" w:eastAsia="zh-CN"/>
        </w:rPr>
        <w:t>2022年部门财政拨款收入合计1192.9万元，均为一般公共预算财政拨款收入。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lang w:val="en-US" w:eastAsia="zh-CN"/>
        </w:rPr>
      </w:pPr>
      <w:r>
        <w:rPr>
          <w:rFonts w:hint="eastAsia"/>
          <w:lang w:val="en-US" w:eastAsia="zh-CN"/>
        </w:rPr>
        <w:t>2022年部门财政拨款支出合计1192.9万元，</w:t>
      </w:r>
      <w:r>
        <w:rPr>
          <w:rFonts w:hint="eastAsia" w:ascii="仿宋" w:hAnsi="仿宋" w:eastAsia="仿宋"/>
          <w:color w:val="auto"/>
          <w:sz w:val="32"/>
          <w:szCs w:val="32"/>
          <w:highlight w:val="none"/>
        </w:rPr>
        <w:t>其中：基本支出</w:t>
      </w:r>
      <w:r>
        <w:rPr>
          <w:rFonts w:hint="eastAsia" w:ascii="仿宋" w:hAnsi="仿宋" w:eastAsia="仿宋"/>
          <w:color w:val="auto"/>
          <w:sz w:val="32"/>
          <w:szCs w:val="32"/>
          <w:highlight w:val="none"/>
          <w:lang w:val="en-US" w:eastAsia="zh-CN"/>
        </w:rPr>
        <w:t>916.77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76.85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276.12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lang w:val="en-US" w:eastAsia="zh-CN"/>
        </w:rPr>
      </w:pPr>
      <w:r>
        <w:rPr>
          <w:rFonts w:hint="eastAsia"/>
          <w:lang w:val="en-US" w:eastAsia="zh-CN"/>
        </w:rPr>
        <w:t>本部门无财政拨款结转结余资金。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2022年，我部门共申报15个人员类项目，</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按照预算绩效管理相关规定要求，我部门在编制年初预算时，为提高预算精细化、科学化管理水平，通过科学合理的方法，客观公正的制定人员类项目预算绩效目标，预算执行过程中重视绩效目标实现情况及支出控制，对出现的问题及时处置，资金支付依据合法，不存在低效率、无效率现象，坚决杜绝违规违纪现象出现。年末组织对人员类项目进行了绩效自评，自评结果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2022年，部门有运转类项目7个，主要用于保障单位日常运转，按照预算绩效目标管理相关要求，均编制了年度绩效目标表，年末对项目进行了绩效自评，自评结果较好。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部门有特定目标类项目5个，主要用于保障检察机关办案开支费用及履职检察职能时发生的特殊费用（如国家赔偿金等），在编制年初预算时均编制了年度绩效目标表，预算执行中进行了项目中期评估，对部分特定目标项目进行项目监督，年末进行了绩效目标自评，确保预算绩效目标全面实现，支出严格控制，经费使用合理合规。</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围绕部门整体绩效目标完成情况和部门履职情况进行绩效分析。</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2022年我院</w:t>
      </w:r>
      <w:r>
        <w:rPr>
          <w:rFonts w:hint="eastAsia" w:ascii="仿宋_GB2312" w:hAnsi="Times New Roman" w:eastAsia="仿宋_GB2312" w:cs="Times New Roman"/>
          <w:kern w:val="0"/>
          <w:sz w:val="30"/>
          <w:szCs w:val="24"/>
          <w:lang w:val="en-US" w:eastAsia="zh-CN" w:bidi="ar-SA"/>
        </w:rPr>
        <w:t>12个集体获评“全国文明接待室”“全省优秀办案团队”“全市三八红旗集体”“全市扫黑除恶斗争先进集体”等表彰奖励，14名干警获省、市、区先进个人荣誉；扫黑除恶、未成年人检察、依法治区等10余项工作在上级会议做交流发言；10余件典型案件被《今日说法》等媒体报道；8项工作获市级领导批示，定时定点公开听证工作获最高检、省市院推广。聚焦主责主业，严惩各类刑事犯罪，审查逮捕186件273人，审查起诉1080件1383人，切实维护国家安全、社会安定、人民安宁；共发放救助金25.5万元，积极服务保障乡村振兴战略实施；共办理支持起诉案件30件，支持农民工讨薪维权，帮助讨回血汗钱22万余元；共办理各类公益诉讼案件46件，紧盯群众关心的非法捕捞、空气污染、乱占耕地、国有资产流失等热点、难点、堵点问题，制发检察建议29份，推动行政机关和违法主体主动履职纠错；积极响应“双报到”号召，共参与疫情防控、创建文明城市、志愿服务等800余人次。</w:t>
      </w:r>
      <w:r>
        <w:rPr>
          <w:rFonts w:hint="eastAsia" w:ascii="仿宋_GB2312" w:eastAsia="仿宋_GB2312" w:cs="Times New Roman"/>
          <w:kern w:val="0"/>
          <w:sz w:val="30"/>
          <w:szCs w:val="24"/>
          <w:lang w:val="en-US" w:eastAsia="zh-CN" w:bidi="ar-SA"/>
        </w:rPr>
        <w:t>较好的完成了部门整体支出绩效目标任务。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spacing w:line="360" w:lineRule="auto"/>
        <w:ind w:firstLineChars="200"/>
        <w:jc w:val="left"/>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为进一步提高部门内部管理水平和风险防控能力，规范内部控制，加强廉政风险防控机制建设，我院有针对性的对部分制度进行了专门的修订。</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另我院积极响应财政部门“全方位、全过程、全覆盖”的预算绩效管理要求，高度重视预算绩效管理工作，进一步压实预算绩效管理主体责任、细化预算绩效管理目标，不断探索预算绩效管理新思路、新方法，推动机关预算绩效管理工作更深更实、高质高效。一是抓好绩效目标编制，及时报送绩效目标。二是探索绩效跟踪监控，要求加强过程监控。三是深入开展财政支出绩效评价，对项目资金实施绩效自评。四是强化评价结果应用，组织绩效自评，对发现的问题及时改进，加强评价结果与项目资金安排的衔接。五是健全绩效管理工作机制，明确职责分工，努力提高绩效管理水平。</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包括2022年我部门参照主要职责和任务完成情况详细进行了自评报告的编制工作，自评报告包括我院部门整体支出情况和项目完成情况，内容较为全面、系统、完整、客观。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0" w:name="_Toc1313"/>
      <w:r>
        <w:rPr>
          <w:rFonts w:hint="eastAsia" w:ascii="黑体" w:hAnsi="宋体" w:eastAsia="黑体" w:cs="宋体"/>
          <w:color w:val="auto"/>
          <w:kern w:val="0"/>
          <w:sz w:val="32"/>
          <w:szCs w:val="32"/>
          <w:highlight w:val="none"/>
          <w:shd w:val="clear" w:color="auto" w:fill="FFFFFF"/>
        </w:rPr>
        <w:t>四、评价结论及建议</w:t>
      </w:r>
      <w:bookmarkEnd w:id="8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本部门按要求对2022年部门整体支出开展绩效自评，从评价情况来看，部门整体支出绩效评价自评</w:t>
      </w:r>
      <w:r>
        <w:rPr>
          <w:rFonts w:hint="eastAsia" w:hAnsi="仿宋_GB2312" w:cs="仿宋_GB2312"/>
          <w:b w:val="0"/>
          <w:bCs w:val="0"/>
          <w:color w:val="auto"/>
          <w:kern w:val="0"/>
          <w:sz w:val="32"/>
          <w:szCs w:val="32"/>
          <w:highlight w:val="none"/>
          <w:shd w:val="clear" w:color="auto" w:fill="FFFFFF"/>
          <w:lang w:val="en-US" w:eastAsia="zh-CN"/>
        </w:rPr>
        <w:t>得分88分，</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结果良好，全年基本支出保证了部门的正常运行和日常工作的正常开展，项目支出保障了全年的重点工作，绩效目标基本实现。</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整体来说，我部门各项目标任务及工作推进梳理，基本能达成各项目预期目标，但也还存在预算绩效目标设置不是很精确、预算执行率不够、专项项目全用于办案，很难制定具体的实施方案等问题。</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lang w:val="zh-CN"/>
        </w:rPr>
      </w:pPr>
      <w:r>
        <w:rPr>
          <w:rFonts w:hint="eastAsia" w:ascii="仿宋_GB2312" w:hAnsi="仿宋_GB2312" w:eastAsia="仿宋_GB2312" w:cs="仿宋_GB2312"/>
          <w:color w:val="auto"/>
          <w:kern w:val="2"/>
          <w:sz w:val="32"/>
          <w:szCs w:val="32"/>
          <w:highlight w:val="none"/>
          <w:lang w:val="en-US" w:eastAsia="zh-CN" w:bidi="ar-SA"/>
        </w:rPr>
        <w:t>加强预算管理，与内设各部门加强沟通协调，合理推进预算执行率，强化对预算项目的中期评估和预算监控，使预算绩效目标设置更科学、精准、合理。</w:t>
      </w:r>
    </w:p>
    <w:p>
      <w:pPr>
        <w:pStyle w:val="14"/>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4"/>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pStyle w:val="2"/>
        <w:pageBreakBefore w:val="0"/>
        <w:kinsoku/>
        <w:wordWrap/>
        <w:overflowPunct/>
        <w:topLinePunct w:val="0"/>
        <w:bidi w:val="0"/>
        <w:spacing w:beforeLines="0" w:line="560" w:lineRule="exact"/>
        <w:textAlignment w:val="auto"/>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4"/>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2022年度专项资金预算项目绩效自评报告</w:t>
      </w:r>
    </w:p>
    <w:p>
      <w:pPr>
        <w:pStyle w:val="34"/>
        <w:keepNext w:val="0"/>
        <w:keepLines w:val="0"/>
        <w:pageBreakBefore w:val="0"/>
        <w:widowControl w:val="0"/>
        <w:kinsoku/>
        <w:wordWrap/>
        <w:overflowPunct/>
        <w:topLinePunct w:val="0"/>
        <w:autoSpaceDE/>
        <w:autoSpaceDN/>
        <w:bidi w:val="0"/>
        <w:spacing w:line="560"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highlight w:val="none"/>
          <w:lang w:val="zh-CN"/>
        </w:rPr>
      </w:pPr>
      <w:bookmarkStart w:id="81" w:name="_Toc9143"/>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81"/>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名称为政法转移支付资金，此项目是中央财政根据国家法律法规和中央有关政策规定，按照一定的比例分配给地方的专项资金，主要用于支持地方政法机关的日常工作和重点项目建设。政法转移支付资金的分配和使用，是中央和地方政府共同推进政法事业发展的重要举措。</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color w:val="auto"/>
          <w:kern w:val="0"/>
          <w:sz w:val="18"/>
          <w:szCs w:val="18"/>
          <w:highlight w:val="none"/>
          <w:u w:val="none"/>
          <w:shd w:val="clear" w:color="auto" w:fill="FFFFFF"/>
          <w:lang w:val="zh-CN"/>
        </w:rPr>
      </w:pPr>
      <w:r>
        <w:rPr>
          <w:rFonts w:hint="eastAsia" w:ascii="楷体_GB2312" w:hAnsi="宋体" w:eastAsia="楷体_GB2312"/>
          <w:b/>
          <w:color w:val="auto"/>
          <w:sz w:val="32"/>
          <w:szCs w:val="32"/>
          <w:highlight w:val="none"/>
          <w:u w:val="none"/>
          <w:lang w:val="zh-CN"/>
        </w:rPr>
        <w:t>（二）项目绩效目标。</w:t>
      </w:r>
    </w:p>
    <w:p>
      <w:pPr>
        <w:adjustRightInd w:val="0"/>
        <w:snapToGrid w:val="0"/>
        <w:spacing w:line="520" w:lineRule="exact"/>
        <w:ind w:firstLine="640" w:firstLineChars="200"/>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宋体" w:eastAsia="仿宋_GB2312"/>
          <w:sz w:val="32"/>
          <w:szCs w:val="32"/>
        </w:rPr>
        <w:t>该项目为中央政法纪检监察转移支付资金，主要用于引导和支持基层检察机关开展业务工作，帮助提高办案和装备经费保障水平，引导地方加大对基层检察机关办案和装备资金的投入力度，从而推动“四大检察”、“十大业务”全面协调充分发展。设立这个项目符合中央的决策部署，既保障了检察机关各项工作的正常开展，为营造平稳健康的经济环境、国泰民安的社会环境、风清气正的政治环境奠定了坚实的经费保障基础，也具有现实需要，有明显的社会、可持续性效益等必要性。主要设立了产出、效益、满意度三个大的绩效指标，具体为：数量指标为办理各类案件1000件、</w:t>
      </w:r>
      <w:r>
        <w:rPr>
          <w:rFonts w:hint="eastAsia" w:ascii="仿宋_GB2312" w:hAnsi="宋体" w:eastAsia="仿宋_GB2312"/>
          <w:sz w:val="32"/>
          <w:szCs w:val="32"/>
          <w:lang w:eastAsia="zh-CN"/>
        </w:rPr>
        <w:t>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rPr>
        <w:t>质量指标为提高</w:t>
      </w:r>
      <w:r>
        <w:rPr>
          <w:rFonts w:hint="eastAsia" w:ascii="仿宋_GB2312" w:hAnsi="宋体" w:eastAsia="仿宋_GB2312"/>
          <w:sz w:val="32"/>
          <w:szCs w:val="32"/>
          <w:lang w:eastAsia="zh-CN"/>
        </w:rPr>
        <w:t>办案质量，持续提高</w:t>
      </w:r>
      <w:r>
        <w:rPr>
          <w:rFonts w:hint="eastAsia" w:ascii="仿宋_GB2312" w:hAnsi="宋体" w:eastAsia="仿宋_GB2312"/>
          <w:sz w:val="32"/>
          <w:szCs w:val="32"/>
        </w:rPr>
        <w:t>。实效指标为</w:t>
      </w:r>
      <w:r>
        <w:rPr>
          <w:rFonts w:hint="eastAsia" w:ascii="仿宋_GB2312" w:hAnsi="宋体" w:eastAsia="仿宋_GB2312"/>
          <w:sz w:val="32"/>
          <w:szCs w:val="32"/>
          <w:lang w:eastAsia="zh-CN"/>
        </w:rPr>
        <w:t>结案率超</w:t>
      </w:r>
      <w:r>
        <w:rPr>
          <w:rFonts w:hint="eastAsia" w:ascii="仿宋_GB2312" w:hAnsi="宋体" w:eastAsia="仿宋_GB2312"/>
          <w:sz w:val="32"/>
          <w:szCs w:val="32"/>
          <w:lang w:val="en-US" w:eastAsia="zh-CN"/>
        </w:rPr>
        <w:t>90%</w:t>
      </w:r>
      <w:r>
        <w:rPr>
          <w:rFonts w:hint="eastAsia" w:ascii="仿宋_GB2312" w:hAnsi="宋体" w:eastAsia="仿宋_GB2312"/>
          <w:sz w:val="32"/>
          <w:szCs w:val="32"/>
        </w:rPr>
        <w:t>。</w:t>
      </w:r>
      <w:r>
        <w:rPr>
          <w:rFonts w:hint="eastAsia" w:ascii="仿宋_GB2312" w:hAnsi="宋体" w:eastAsia="仿宋_GB2312"/>
          <w:sz w:val="32"/>
          <w:szCs w:val="32"/>
          <w:lang w:eastAsia="zh-CN"/>
        </w:rPr>
        <w:t>可持续影响指标为提升干警从检能力、对基层检察机关办案经费、装备经费保障力度持续加强</w:t>
      </w:r>
      <w:r>
        <w:rPr>
          <w:rFonts w:hint="eastAsia" w:ascii="仿宋_GB2312" w:hAnsi="宋体" w:eastAsia="仿宋_GB2312"/>
          <w:sz w:val="32"/>
          <w:szCs w:val="32"/>
        </w:rPr>
        <w:t>。服务对象满意度指标为</w:t>
      </w:r>
      <w:r>
        <w:rPr>
          <w:rFonts w:hint="eastAsia" w:ascii="仿宋_GB2312" w:hAnsi="宋体" w:eastAsia="仿宋_GB2312"/>
          <w:sz w:val="32"/>
          <w:szCs w:val="32"/>
          <w:lang w:eastAsia="zh-CN"/>
        </w:rPr>
        <w:t>社会公众满意度</w:t>
      </w:r>
      <w:r>
        <w:rPr>
          <w:rFonts w:hint="eastAsia" w:ascii="仿宋_GB2312" w:hAnsi="宋体" w:eastAsia="仿宋_GB2312"/>
          <w:sz w:val="32"/>
          <w:szCs w:val="32"/>
        </w:rPr>
        <w:t>大于等于90%、检察干警满意度大于等于9</w:t>
      </w: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hint="eastAsia" w:ascii="仿宋_GB2312" w:hAnsi="宋体" w:eastAsia="仿宋_GB2312"/>
          <w:sz w:val="32"/>
          <w:szCs w:val="32"/>
          <w:lang w:eastAsia="zh-CN"/>
        </w:rPr>
        <w:t>绩效目标的设置与实际相符，具有合理性和可操作性。</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项目绩效自评采用部门自评方式，由部门内的办公室组织人员实施，全程由相关人员进行监督进行。</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highlight w:val="none"/>
          <w:u w:val="none"/>
        </w:rPr>
      </w:pPr>
      <w:bookmarkStart w:id="82" w:name="_Toc23972"/>
      <w:r>
        <w:rPr>
          <w:rFonts w:hint="eastAsia" w:ascii="黑体" w:hAnsi="宋体" w:eastAsia="黑体"/>
          <w:color w:val="auto"/>
          <w:sz w:val="32"/>
          <w:szCs w:val="32"/>
          <w:highlight w:val="none"/>
          <w:u w:val="none"/>
        </w:rPr>
        <w:t>二、项目资金申报及使用情况</w:t>
      </w:r>
      <w:bookmarkEnd w:id="82"/>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中央和省级年初下达政法转移支付资金</w:t>
      </w:r>
      <w:r>
        <w:rPr>
          <w:rFonts w:hint="eastAsia" w:ascii="仿宋_GB2312" w:hAnsi="仿宋_GB2312" w:eastAsia="仿宋_GB2312" w:cs="仿宋_GB2312"/>
          <w:color w:val="auto"/>
          <w:kern w:val="0"/>
          <w:sz w:val="32"/>
          <w:szCs w:val="32"/>
          <w:highlight w:val="none"/>
          <w:u w:val="none"/>
          <w:shd w:val="clear" w:color="auto" w:fill="FFFFFF"/>
          <w:lang w:val="en-US" w:eastAsia="zh-CN"/>
        </w:rPr>
        <w:t>142万元，年中调整下达80万元，全年下达资金222万元</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1．资金计划。次项目全部为中央和省级下达资金，无地方财政资金及自筹资金。。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2．资金到位。项目资金为政法转移支付资金，故到位率</w:t>
      </w:r>
      <w:r>
        <w:rPr>
          <w:rFonts w:hint="eastAsia" w:ascii="仿宋_GB2312" w:hAnsi="仿宋_GB2312" w:eastAsia="仿宋_GB2312" w:cs="仿宋_GB2312"/>
          <w:color w:val="auto"/>
          <w:kern w:val="0"/>
          <w:sz w:val="32"/>
          <w:szCs w:val="32"/>
          <w:highlight w:val="none"/>
          <w:u w:val="none"/>
          <w:shd w:val="clear" w:color="auto" w:fill="FFFFFF"/>
          <w:lang w:val="en-US" w:eastAsia="zh-CN"/>
        </w:rPr>
        <w:t>100%，资金到位及时</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我部门严格按照政法转移支付资金使用要求严格控制支付进度及支付范围，实行专款专用，专门核算，年初编制项目绩效目标，年末进行专门的项目绩效目标自评，执行中强化对该项目的绩效监督，确保资金使用效率。</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bookmarkStart w:id="83" w:name="_Toc3264"/>
      <w:r>
        <w:rPr>
          <w:rFonts w:hint="eastAsia" w:ascii="仿宋_GB2312" w:hAnsi="仿宋_GB2312" w:eastAsia="仿宋_GB2312" w:cs="仿宋_GB2312"/>
          <w:color w:val="auto"/>
          <w:kern w:val="0"/>
          <w:sz w:val="32"/>
          <w:szCs w:val="32"/>
          <w:highlight w:val="none"/>
          <w:u w:val="none"/>
          <w:shd w:val="clear" w:color="auto" w:fill="FFFFFF"/>
          <w:lang w:val="zh-CN"/>
        </w:rPr>
        <w:t>我部门严格执行最高检、财政部关于《检察业务费开支范围和管理办法的规定》及政府采购制度、合同法等相关财务管理规定，保障了中央转移支付资金的安全，上级院、同级财政及审计部门检查均无违规违纪问题。</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bookmarkEnd w:id="83"/>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84" w:name="_Toc20210"/>
      <w:r>
        <w:rPr>
          <w:rFonts w:hint="eastAsia" w:ascii="仿宋_GB2312" w:hAnsi="仿宋_GB2312" w:eastAsia="仿宋_GB2312" w:cs="仿宋_GB2312"/>
          <w:color w:val="auto"/>
          <w:kern w:val="0"/>
          <w:sz w:val="32"/>
          <w:szCs w:val="32"/>
          <w:highlight w:val="none"/>
          <w:u w:val="none"/>
          <w:shd w:val="clear" w:color="auto" w:fill="FFFFFF"/>
          <w:lang w:val="zh-CN"/>
        </w:rPr>
        <w:t>我院领导高度重视对中央政法纪检监察转移支付资金的管理使用，按照预定的绩效目标，围绕“用于办案业务、装备购置等相关支出”的经费规定用途，坚持“量入为出、保障重点、兼顾一般”的原则，厉行精简节约，注重资金使用效益，确保资金管理安全、规范、高效，全力保障检察业务有序开展。</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bookmarkEnd w:id="84"/>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bookmarkStart w:id="85" w:name="_Toc10046"/>
      <w:r>
        <w:rPr>
          <w:rFonts w:hint="eastAsia" w:ascii="仿宋_GB2312" w:hAnsi="仿宋_GB2312" w:eastAsia="仿宋_GB2312" w:cs="仿宋_GB2312"/>
          <w:color w:val="auto"/>
          <w:kern w:val="0"/>
          <w:sz w:val="32"/>
          <w:szCs w:val="32"/>
          <w:highlight w:val="none"/>
          <w:u w:val="none"/>
          <w:shd w:val="clear" w:color="auto" w:fill="FFFFFF"/>
          <w:lang w:val="zh-CN"/>
        </w:rPr>
        <w:t>（1）产出指标完成情况分析</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1.数量指标完成情况：202</w:t>
      </w:r>
      <w:r>
        <w:rPr>
          <w:rFonts w:hint="eastAsia" w:ascii="仿宋_GB2312" w:hAnsi="仿宋_GB2312" w:eastAsia="仿宋_GB2312" w:cs="仿宋_GB2312"/>
          <w:color w:val="auto"/>
          <w:kern w:val="0"/>
          <w:sz w:val="32"/>
          <w:szCs w:val="32"/>
          <w:highlight w:val="none"/>
          <w:u w:val="none"/>
          <w:shd w:val="clear" w:color="auto" w:fill="FFFFFF"/>
          <w:lang w:val="en-US" w:eastAsia="zh-CN"/>
        </w:rPr>
        <w:t>2</w:t>
      </w:r>
      <w:r>
        <w:rPr>
          <w:rFonts w:hint="eastAsia" w:ascii="仿宋_GB2312" w:hAnsi="仿宋_GB2312" w:eastAsia="仿宋_GB2312" w:cs="仿宋_GB2312"/>
          <w:color w:val="auto"/>
          <w:kern w:val="0"/>
          <w:sz w:val="32"/>
          <w:szCs w:val="32"/>
          <w:highlight w:val="none"/>
          <w:u w:val="none"/>
          <w:shd w:val="clear" w:color="auto" w:fill="FFFFFF"/>
          <w:lang w:val="zh-CN"/>
        </w:rPr>
        <w:t>年，共办理审查逮捕、审查起诉、民事、行政、公益诉讼、各类信访案件等</w:t>
      </w:r>
      <w:r>
        <w:rPr>
          <w:rFonts w:hint="eastAsia" w:ascii="仿宋_GB2312" w:hAnsi="仿宋_GB2312" w:eastAsia="仿宋_GB2312" w:cs="仿宋_GB2312"/>
          <w:color w:val="auto"/>
          <w:kern w:val="0"/>
          <w:sz w:val="32"/>
          <w:szCs w:val="32"/>
          <w:highlight w:val="none"/>
          <w:u w:val="none"/>
          <w:shd w:val="clear" w:color="auto" w:fill="FFFFFF"/>
          <w:lang w:val="en-US" w:eastAsia="zh-CN"/>
        </w:rPr>
        <w:t>1525</w:t>
      </w:r>
      <w:r>
        <w:rPr>
          <w:rFonts w:hint="eastAsia" w:ascii="仿宋_GB2312" w:hAnsi="仿宋_GB2312" w:eastAsia="仿宋_GB2312" w:cs="仿宋_GB2312"/>
          <w:color w:val="auto"/>
          <w:kern w:val="0"/>
          <w:sz w:val="32"/>
          <w:szCs w:val="32"/>
          <w:highlight w:val="none"/>
          <w:u w:val="none"/>
          <w:shd w:val="clear" w:color="auto" w:fill="FFFFFF"/>
          <w:lang w:val="zh-CN"/>
        </w:rPr>
        <w:t>余件；转移支付资金到位率</w:t>
      </w:r>
      <w:r>
        <w:rPr>
          <w:rFonts w:hint="eastAsia" w:ascii="仿宋_GB2312" w:hAnsi="仿宋_GB2312" w:eastAsia="仿宋_GB2312" w:cs="仿宋_GB2312"/>
          <w:color w:val="auto"/>
          <w:kern w:val="0"/>
          <w:sz w:val="32"/>
          <w:szCs w:val="32"/>
          <w:highlight w:val="none"/>
          <w:u w:val="none"/>
          <w:shd w:val="clear" w:color="auto" w:fill="FFFFFF"/>
          <w:lang w:val="en-US" w:eastAsia="zh-CN"/>
        </w:rPr>
        <w:t>100%</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2.质量指标完成情况：持续提高办案质量；</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3.时效指标完成情况：案件办结率</w:t>
      </w:r>
      <w:r>
        <w:rPr>
          <w:rFonts w:hint="eastAsia" w:ascii="仿宋_GB2312" w:hAnsi="仿宋_GB2312" w:eastAsia="仿宋_GB2312" w:cs="仿宋_GB2312"/>
          <w:color w:val="auto"/>
          <w:kern w:val="0"/>
          <w:sz w:val="32"/>
          <w:szCs w:val="32"/>
          <w:highlight w:val="none"/>
          <w:u w:val="none"/>
          <w:shd w:val="clear" w:color="auto" w:fill="FFFFFF"/>
          <w:lang w:val="en-US" w:eastAsia="zh-CN"/>
        </w:rPr>
        <w:t>9</w:t>
      </w:r>
      <w:r>
        <w:rPr>
          <w:rFonts w:hint="eastAsia" w:ascii="仿宋_GB2312" w:hAnsi="仿宋_GB2312" w:eastAsia="仿宋_GB2312" w:cs="仿宋_GB2312"/>
          <w:color w:val="auto"/>
          <w:kern w:val="0"/>
          <w:sz w:val="32"/>
          <w:szCs w:val="32"/>
          <w:highlight w:val="none"/>
          <w:u w:val="none"/>
          <w:shd w:val="clear" w:color="auto" w:fill="FFFFFF"/>
          <w:lang w:val="zh-CN"/>
        </w:rPr>
        <w:t>0%；</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（2）效益指标完成情况分析</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可持续影响指标完成情况：202</w:t>
      </w:r>
      <w:r>
        <w:rPr>
          <w:rFonts w:hint="eastAsia" w:ascii="仿宋_GB2312" w:hAnsi="仿宋_GB2312" w:eastAsia="仿宋_GB2312" w:cs="仿宋_GB2312"/>
          <w:color w:val="auto"/>
          <w:kern w:val="0"/>
          <w:sz w:val="32"/>
          <w:szCs w:val="32"/>
          <w:highlight w:val="none"/>
          <w:u w:val="none"/>
          <w:shd w:val="clear" w:color="auto" w:fill="FFFFFF"/>
          <w:lang w:val="en-US" w:eastAsia="zh-CN"/>
        </w:rPr>
        <w:t>2</w:t>
      </w:r>
      <w:r>
        <w:rPr>
          <w:rFonts w:hint="eastAsia" w:ascii="仿宋_GB2312" w:hAnsi="仿宋_GB2312" w:eastAsia="仿宋_GB2312" w:cs="仿宋_GB2312"/>
          <w:color w:val="auto"/>
          <w:kern w:val="0"/>
          <w:sz w:val="32"/>
          <w:szCs w:val="32"/>
          <w:highlight w:val="none"/>
          <w:u w:val="none"/>
          <w:shd w:val="clear" w:color="auto" w:fill="FFFFFF"/>
          <w:lang w:val="zh-CN"/>
        </w:rPr>
        <w:t>年度中央对基层检察机关办案经费、业务装备保障力度持续加强，我院干警从检能力持续提升，多次获得上级部门的表彰。</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（3）满意度指标完成情况分析</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社会公众满意度≥</w:t>
      </w:r>
      <w:r>
        <w:rPr>
          <w:rFonts w:hint="eastAsia" w:ascii="仿宋_GB2312" w:hAnsi="仿宋_GB2312" w:eastAsia="仿宋_GB2312" w:cs="仿宋_GB2312"/>
          <w:color w:val="auto"/>
          <w:kern w:val="0"/>
          <w:sz w:val="32"/>
          <w:szCs w:val="32"/>
          <w:highlight w:val="none"/>
          <w:u w:val="none"/>
          <w:shd w:val="clear" w:color="auto" w:fill="FFFFFF"/>
          <w:lang w:val="en-US" w:eastAsia="zh-CN"/>
        </w:rPr>
        <w:t>9</w:t>
      </w:r>
      <w:r>
        <w:rPr>
          <w:rFonts w:hint="eastAsia" w:ascii="仿宋_GB2312" w:hAnsi="仿宋_GB2312" w:eastAsia="仿宋_GB2312" w:cs="仿宋_GB2312"/>
          <w:color w:val="auto"/>
          <w:kern w:val="0"/>
          <w:sz w:val="32"/>
          <w:szCs w:val="32"/>
          <w:highlight w:val="none"/>
          <w:u w:val="none"/>
          <w:shd w:val="clear" w:color="auto" w:fill="FFFFFF"/>
          <w:lang w:val="zh-CN"/>
        </w:rPr>
        <w:t>0%；检察干警满意度≥</w:t>
      </w:r>
      <w:r>
        <w:rPr>
          <w:rFonts w:hint="eastAsia" w:ascii="仿宋_GB2312" w:hAnsi="仿宋_GB2312" w:eastAsia="仿宋_GB2312" w:cs="仿宋_GB2312"/>
          <w:color w:val="auto"/>
          <w:kern w:val="0"/>
          <w:sz w:val="32"/>
          <w:szCs w:val="32"/>
          <w:highlight w:val="none"/>
          <w:u w:val="none"/>
          <w:shd w:val="clear" w:color="auto" w:fill="FFFFFF"/>
          <w:lang w:val="en-US" w:eastAsia="zh-CN"/>
        </w:rPr>
        <w:t>95</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outlineLvl w:val="1"/>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bookmarkEnd w:id="85"/>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此项目自评得分</w:t>
      </w:r>
      <w:r>
        <w:rPr>
          <w:rFonts w:hint="eastAsia" w:ascii="仿宋_GB2312" w:hAnsi="仿宋_GB2312" w:eastAsia="仿宋_GB2312" w:cs="仿宋_GB2312"/>
          <w:color w:val="auto"/>
          <w:kern w:val="0"/>
          <w:sz w:val="32"/>
          <w:szCs w:val="32"/>
          <w:highlight w:val="none"/>
          <w:u w:val="none"/>
          <w:shd w:val="clear" w:color="auto" w:fill="FFFFFF"/>
          <w:lang w:val="en-US" w:eastAsia="zh-CN"/>
        </w:rPr>
        <w:t>100分，自评结果较优，该项目是保障检察机关正常、规范履职的重要部分，设立政法转移支付资金有进一步实施的必要性</w:t>
      </w:r>
      <w:r>
        <w:rPr>
          <w:rFonts w:hint="eastAsia" w:ascii="仿宋_GB2312" w:hAnsi="仿宋_GB2312" w:eastAsia="仿宋_GB2312" w:cs="仿宋_GB2312"/>
          <w:color w:val="auto"/>
          <w:kern w:val="0"/>
          <w:sz w:val="32"/>
          <w:szCs w:val="32"/>
          <w:highlight w:val="none"/>
          <w:u w:val="none"/>
          <w:shd w:val="clear" w:color="auto" w:fill="FFFFFF"/>
          <w:lang w:val="zh-CN" w:eastAsia="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巴中市巴州区人民检察院按质按量全面完成区域绩效目标，无偏离绩效目标现象</w:t>
      </w:r>
      <w:r>
        <w:rPr>
          <w:rFonts w:hint="eastAsia" w:ascii="仿宋_GB2312" w:hAnsi="仿宋_GB2312" w:eastAsia="仿宋_GB2312" w:cs="仿宋_GB2312"/>
          <w:color w:val="auto"/>
          <w:kern w:val="0"/>
          <w:sz w:val="32"/>
          <w:szCs w:val="32"/>
          <w:highlight w:val="none"/>
          <w:u w:val="none"/>
          <w:shd w:val="clear" w:color="auto" w:fill="FFFFFF"/>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Style w:val="28"/>
          <w:rFonts w:ascii="黑体" w:hAnsi="黑体" w:eastAsia="黑体"/>
          <w:b w:val="0"/>
          <w:color w:val="auto"/>
          <w:sz w:val="32"/>
          <w:szCs w:val="32"/>
          <w:highlight w:val="none"/>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pPr>
        <w:rPr>
          <w:rFonts w:hint="eastAsia" w:ascii="仿宋_GB2312" w:hAnsi="仿宋_GB2312" w:eastAsia="仿宋_GB2312" w:cs="仿宋_GB2312"/>
          <w:color w:val="auto"/>
          <w:sz w:val="32"/>
          <w:szCs w:val="32"/>
          <w:highlight w:val="none"/>
          <w:lang w:val="en-US" w:eastAsia="zh-CN"/>
        </w:rPr>
      </w:pPr>
      <w:bookmarkStart w:id="86" w:name="_Toc22884"/>
      <w:bookmarkStart w:id="87" w:name="_Toc15396618"/>
      <w:r>
        <w:rPr>
          <w:rFonts w:hint="eastAsia" w:ascii="仿宋_GB2312" w:hAnsi="仿宋_GB2312" w:eastAsia="仿宋_GB2312" w:cs="仿宋_GB2312"/>
          <w:color w:val="auto"/>
          <w:sz w:val="32"/>
          <w:szCs w:val="32"/>
          <w:highlight w:val="none"/>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center"/>
        <w:textAlignment w:val="auto"/>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76"/>
      <w:bookmarkEnd w:id="86"/>
      <w:bookmarkEnd w:id="87"/>
      <w:bookmarkStart w:id="88" w:name="_Toc15396619"/>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89" w:name="_Toc2757"/>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88"/>
      <w:bookmarkEnd w:id="89"/>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90" w:name="_Toc29781"/>
      <w:bookmarkStart w:id="91"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90"/>
      <w:bookmarkEnd w:id="91"/>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92" w:name="_Toc32502"/>
      <w:bookmarkStart w:id="93"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92"/>
      <w:bookmarkEnd w:id="93"/>
    </w:p>
    <w:p>
      <w:pPr>
        <w:pStyle w:val="5"/>
        <w:pageBreakBefore w:val="0"/>
        <w:kinsoku/>
        <w:wordWrap/>
        <w:overflowPunct/>
        <w:topLinePunct w:val="0"/>
        <w:bidi w:val="0"/>
        <w:spacing w:before="0" w:after="0" w:line="560" w:lineRule="exact"/>
        <w:textAlignment w:val="auto"/>
        <w:rPr>
          <w:rFonts w:ascii="仿宋" w:hAnsi="仿宋" w:eastAsia="仿宋"/>
          <w:b w:val="0"/>
          <w:color w:val="auto"/>
          <w:highlight w:val="none"/>
        </w:rPr>
      </w:pPr>
      <w:bookmarkStart w:id="94" w:name="_Toc15396622"/>
      <w:bookmarkStart w:id="95" w:name="_Toc2005"/>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94"/>
      <w:bookmarkEnd w:id="95"/>
    </w:p>
    <w:p>
      <w:pPr>
        <w:pStyle w:val="5"/>
        <w:pageBreakBefore w:val="0"/>
        <w:kinsoku/>
        <w:wordWrap/>
        <w:overflowPunct/>
        <w:topLinePunct w:val="0"/>
        <w:bidi w:val="0"/>
        <w:spacing w:before="0" w:after="0" w:line="560" w:lineRule="exact"/>
        <w:textAlignment w:val="auto"/>
        <w:rPr>
          <w:rStyle w:val="29"/>
          <w:rFonts w:ascii="仿宋" w:hAnsi="仿宋" w:eastAsia="仿宋"/>
          <w:b w:val="0"/>
          <w:bCs w:val="0"/>
          <w:color w:val="auto"/>
          <w:highlight w:val="none"/>
        </w:rPr>
      </w:pPr>
      <w:bookmarkStart w:id="96" w:name="_Toc14055"/>
      <w:bookmarkStart w:id="97"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96"/>
      <w:bookmarkEnd w:id="97"/>
      <w:bookmarkStart w:id="98" w:name="_Toc15396624"/>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99" w:name="_Toc16595"/>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98"/>
      <w:bookmarkEnd w:id="99"/>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00" w:name="_Toc15396625"/>
      <w:bookmarkStart w:id="101" w:name="_Toc16663"/>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100"/>
      <w:bookmarkEnd w:id="101"/>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02" w:name="_Toc31712"/>
      <w:bookmarkStart w:id="103"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02"/>
      <w:bookmarkEnd w:id="103"/>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04" w:name="_Toc15396627"/>
      <w:bookmarkStart w:id="105" w:name="_Toc607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04"/>
      <w:bookmarkEnd w:id="105"/>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06" w:name="_Toc15396628"/>
      <w:bookmarkStart w:id="107" w:name="_Toc8880"/>
      <w:r>
        <w:rPr>
          <w:rStyle w:val="29"/>
          <w:rFonts w:hint="eastAsia" w:ascii="仿宋" w:hAnsi="仿宋" w:eastAsia="仿宋"/>
          <w:b w:val="0"/>
          <w:bCs w:val="0"/>
          <w:color w:val="auto"/>
          <w:highlight w:val="none"/>
        </w:rPr>
        <w:t>十、</w:t>
      </w:r>
      <w:bookmarkEnd w:id="106"/>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07"/>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08" w:name="_Toc15396629"/>
      <w:bookmarkStart w:id="109" w:name="_Toc23717"/>
      <w:r>
        <w:rPr>
          <w:rStyle w:val="29"/>
          <w:rFonts w:hint="eastAsia" w:ascii="仿宋" w:hAnsi="仿宋" w:eastAsia="仿宋"/>
          <w:b w:val="0"/>
          <w:bCs w:val="0"/>
          <w:color w:val="auto"/>
          <w:highlight w:val="none"/>
        </w:rPr>
        <w:t>十一、</w:t>
      </w:r>
      <w:bookmarkEnd w:id="108"/>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09"/>
    </w:p>
    <w:p>
      <w:pPr>
        <w:pStyle w:val="5"/>
        <w:pageBreakBefore w:val="0"/>
        <w:kinsoku/>
        <w:wordWrap/>
        <w:overflowPunct/>
        <w:topLinePunct w:val="0"/>
        <w:bidi w:val="0"/>
        <w:spacing w:before="0" w:after="0" w:line="560" w:lineRule="exact"/>
        <w:textAlignment w:val="auto"/>
        <w:rPr>
          <w:rFonts w:ascii="仿宋" w:hAnsi="仿宋" w:eastAsia="仿宋"/>
          <w:color w:val="auto"/>
          <w:highlight w:val="none"/>
        </w:rPr>
      </w:pPr>
      <w:bookmarkStart w:id="110" w:name="_Toc15396630"/>
      <w:bookmarkStart w:id="111" w:name="_Toc31497"/>
      <w:r>
        <w:rPr>
          <w:rStyle w:val="29"/>
          <w:rFonts w:hint="eastAsia" w:ascii="仿宋" w:hAnsi="仿宋" w:eastAsia="仿宋"/>
          <w:b w:val="0"/>
          <w:bCs w:val="0"/>
          <w:color w:val="auto"/>
          <w:highlight w:val="none"/>
        </w:rPr>
        <w:t>十二、</w:t>
      </w:r>
      <w:bookmarkEnd w:id="110"/>
      <w:r>
        <w:rPr>
          <w:rStyle w:val="29"/>
          <w:rFonts w:hint="eastAsia" w:ascii="仿宋" w:hAnsi="仿宋" w:eastAsia="仿宋"/>
          <w:b w:val="0"/>
          <w:bCs w:val="0"/>
          <w:color w:val="auto"/>
          <w:highlight w:val="none"/>
          <w:lang w:eastAsia="zh-CN"/>
        </w:rPr>
        <w:t>国有资本经营预算财政拨款支出决算表</w:t>
      </w:r>
      <w:bookmarkEnd w:id="111"/>
    </w:p>
    <w:p>
      <w:pPr>
        <w:pStyle w:val="5"/>
        <w:pageBreakBefore w:val="0"/>
        <w:kinsoku/>
        <w:wordWrap/>
        <w:overflowPunct/>
        <w:topLinePunct w:val="0"/>
        <w:bidi w:val="0"/>
        <w:spacing w:before="0" w:after="0" w:line="560" w:lineRule="exact"/>
        <w:textAlignment w:val="auto"/>
        <w:rPr>
          <w:rFonts w:hint="eastAsia" w:eastAsia="仿宋"/>
          <w:color w:val="auto"/>
          <w:highlight w:val="none"/>
          <w:lang w:eastAsia="zh-CN"/>
        </w:rPr>
      </w:pPr>
      <w:bookmarkStart w:id="112" w:name="_Toc15396631"/>
      <w:bookmarkStart w:id="113" w:name="_Toc25862"/>
      <w:r>
        <w:rPr>
          <w:rStyle w:val="29"/>
          <w:rFonts w:hint="eastAsia" w:ascii="仿宋" w:hAnsi="仿宋" w:eastAsia="仿宋"/>
          <w:b w:val="0"/>
          <w:bCs w:val="0"/>
          <w:color w:val="auto"/>
          <w:highlight w:val="none"/>
        </w:rPr>
        <w:t>十三、</w:t>
      </w:r>
      <w:bookmarkEnd w:id="112"/>
      <w:r>
        <w:rPr>
          <w:rStyle w:val="29"/>
          <w:rFonts w:hint="eastAsia" w:ascii="仿宋" w:hAnsi="仿宋" w:eastAsia="仿宋"/>
          <w:b w:val="0"/>
          <w:bCs w:val="0"/>
          <w:color w:val="auto"/>
          <w:highlight w:val="none"/>
          <w:lang w:eastAsia="zh-CN"/>
        </w:rPr>
        <w:t>财政拨款“三公”经费支出决算表</w:t>
      </w:r>
      <w:bookmarkEnd w:id="113"/>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45F9E3-2D65-4722-B4B5-07DFB2C6AC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F2AEBCE-7B2B-4D0B-90E0-C1B2E074EF5D}"/>
  </w:font>
  <w:font w:name="Cambria">
    <w:panose1 w:val="02040503050406030204"/>
    <w:charset w:val="00"/>
    <w:family w:val="roman"/>
    <w:pitch w:val="default"/>
    <w:sig w:usb0="E00002FF" w:usb1="400004FF" w:usb2="00000000" w:usb3="00000000" w:csb0="2000019F" w:csb1="00000000"/>
    <w:embedRegular r:id="rId3" w:fontKey="{9491FB0A-D67F-4521-B0E6-CD212572550F}"/>
  </w:font>
  <w:font w:name="仿宋_GB2312">
    <w:panose1 w:val="02010609030101010101"/>
    <w:charset w:val="86"/>
    <w:family w:val="modern"/>
    <w:pitch w:val="default"/>
    <w:sig w:usb0="00000000" w:usb1="00000000" w:usb2="00000000" w:usb3="00000000" w:csb0="00000000" w:csb1="00000000"/>
    <w:embedRegular r:id="rId4" w:fontKey="{0D264138-5042-4769-B609-D7072FA14D61}"/>
  </w:font>
  <w:font w:name="仿宋">
    <w:panose1 w:val="02010609060101010101"/>
    <w:charset w:val="86"/>
    <w:family w:val="modern"/>
    <w:pitch w:val="default"/>
    <w:sig w:usb0="800002BF" w:usb1="38CF7CFA" w:usb2="00000016" w:usb3="00000000" w:csb0="00040001" w:csb1="00000000"/>
    <w:embedRegular r:id="rId5" w:fontKey="{AAF55099-26E7-46D2-A094-9766CC42D4E7}"/>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0" w:usb1="00000000" w:usb2="00000000" w:usb3="00000000" w:csb0="00000000" w:csb1="00000000"/>
    <w:embedRegular r:id="rId6" w:fontKey="{085467B2-4890-46F9-B882-1CD5E1AFF64F}"/>
  </w:font>
  <w:font w:name="楷体_GB2312">
    <w:altName w:val="楷体"/>
    <w:panose1 w:val="02010609030101010101"/>
    <w:charset w:val="86"/>
    <w:family w:val="auto"/>
    <w:pitch w:val="default"/>
    <w:sig w:usb0="00000000" w:usb1="00000000" w:usb2="00000000" w:usb3="00000000" w:csb0="00040000" w:csb1="00000000"/>
    <w:embedRegular r:id="rId7" w:fontKey="{CC87F143-581E-48DC-A377-1FB8C52A9B4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D1667"/>
    <w:multiLevelType w:val="singleLevel"/>
    <w:tmpl w:val="990D1667"/>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FF674BC"/>
    <w:multiLevelType w:val="singleLevel"/>
    <w:tmpl w:val="FFF674BC"/>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E025C31"/>
    <w:multiLevelType w:val="singleLevel"/>
    <w:tmpl w:val="2E025C31"/>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ZmMyMGQzNmZlNTM3YmNjYmYzZGJlZDVmMGE2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0A6E"/>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3E02"/>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DB51DE"/>
    <w:rsid w:val="02143E91"/>
    <w:rsid w:val="04556B5B"/>
    <w:rsid w:val="04711668"/>
    <w:rsid w:val="059A4631"/>
    <w:rsid w:val="05C31B1C"/>
    <w:rsid w:val="066E0107"/>
    <w:rsid w:val="07996F6E"/>
    <w:rsid w:val="07AB0289"/>
    <w:rsid w:val="09CD1A6C"/>
    <w:rsid w:val="0A004D31"/>
    <w:rsid w:val="0A2032A3"/>
    <w:rsid w:val="0D6C59D7"/>
    <w:rsid w:val="0DD72404"/>
    <w:rsid w:val="0F017F9D"/>
    <w:rsid w:val="0F5158A7"/>
    <w:rsid w:val="0F98263C"/>
    <w:rsid w:val="1005057A"/>
    <w:rsid w:val="101860EC"/>
    <w:rsid w:val="10A77365"/>
    <w:rsid w:val="10C055FF"/>
    <w:rsid w:val="118107EC"/>
    <w:rsid w:val="13D50BC4"/>
    <w:rsid w:val="15D84F84"/>
    <w:rsid w:val="16BB723D"/>
    <w:rsid w:val="17726B6E"/>
    <w:rsid w:val="18D843C3"/>
    <w:rsid w:val="1A6B3537"/>
    <w:rsid w:val="1A8F1F49"/>
    <w:rsid w:val="1BD20317"/>
    <w:rsid w:val="1BD55350"/>
    <w:rsid w:val="1BE8440E"/>
    <w:rsid w:val="1C056A8E"/>
    <w:rsid w:val="1C091FCA"/>
    <w:rsid w:val="1C4200EF"/>
    <w:rsid w:val="1D155CEE"/>
    <w:rsid w:val="1DC13172"/>
    <w:rsid w:val="1FF35744"/>
    <w:rsid w:val="200754C8"/>
    <w:rsid w:val="20564C22"/>
    <w:rsid w:val="20771679"/>
    <w:rsid w:val="21511B6E"/>
    <w:rsid w:val="219D6E35"/>
    <w:rsid w:val="21F65F07"/>
    <w:rsid w:val="227E2CBC"/>
    <w:rsid w:val="22B076E0"/>
    <w:rsid w:val="23860B96"/>
    <w:rsid w:val="239D7635"/>
    <w:rsid w:val="23C81C1D"/>
    <w:rsid w:val="240371BF"/>
    <w:rsid w:val="26727C5E"/>
    <w:rsid w:val="27270B6C"/>
    <w:rsid w:val="279C3CED"/>
    <w:rsid w:val="2916613D"/>
    <w:rsid w:val="293F11A2"/>
    <w:rsid w:val="29FD04D3"/>
    <w:rsid w:val="2C8A61B5"/>
    <w:rsid w:val="2DBA21DF"/>
    <w:rsid w:val="2DCE36EB"/>
    <w:rsid w:val="2DF04E50"/>
    <w:rsid w:val="2F040D46"/>
    <w:rsid w:val="2F084858"/>
    <w:rsid w:val="319F7F4E"/>
    <w:rsid w:val="3304709D"/>
    <w:rsid w:val="3405442D"/>
    <w:rsid w:val="34F61F82"/>
    <w:rsid w:val="3521334F"/>
    <w:rsid w:val="353A5592"/>
    <w:rsid w:val="353D01D8"/>
    <w:rsid w:val="36AA5135"/>
    <w:rsid w:val="36CA5EE1"/>
    <w:rsid w:val="376D39B2"/>
    <w:rsid w:val="37787DA1"/>
    <w:rsid w:val="37E16F03"/>
    <w:rsid w:val="387602DD"/>
    <w:rsid w:val="38D469F0"/>
    <w:rsid w:val="39862A5E"/>
    <w:rsid w:val="3BF6312D"/>
    <w:rsid w:val="3D157971"/>
    <w:rsid w:val="3D98207C"/>
    <w:rsid w:val="3DF70933"/>
    <w:rsid w:val="3E78745D"/>
    <w:rsid w:val="3E8F203A"/>
    <w:rsid w:val="3EEA075E"/>
    <w:rsid w:val="41646150"/>
    <w:rsid w:val="44E268DA"/>
    <w:rsid w:val="45537B16"/>
    <w:rsid w:val="4A627F82"/>
    <w:rsid w:val="4B0E749A"/>
    <w:rsid w:val="4B4F25DA"/>
    <w:rsid w:val="4BD6528C"/>
    <w:rsid w:val="4BE068DB"/>
    <w:rsid w:val="4D577224"/>
    <w:rsid w:val="4E8F75FC"/>
    <w:rsid w:val="4EAB630A"/>
    <w:rsid w:val="4EB52C96"/>
    <w:rsid w:val="4ECE2238"/>
    <w:rsid w:val="4EE15766"/>
    <w:rsid w:val="4EFF22C0"/>
    <w:rsid w:val="4FDB5857"/>
    <w:rsid w:val="50885EFD"/>
    <w:rsid w:val="52767B24"/>
    <w:rsid w:val="536A4E1A"/>
    <w:rsid w:val="537E6D0A"/>
    <w:rsid w:val="538A4431"/>
    <w:rsid w:val="559B2FF3"/>
    <w:rsid w:val="56882083"/>
    <w:rsid w:val="57C04AA7"/>
    <w:rsid w:val="584C4C34"/>
    <w:rsid w:val="586A3645"/>
    <w:rsid w:val="5AA70D0C"/>
    <w:rsid w:val="5AF92295"/>
    <w:rsid w:val="5C512F08"/>
    <w:rsid w:val="5CD71FC4"/>
    <w:rsid w:val="5D4E0CB6"/>
    <w:rsid w:val="5DBD0273"/>
    <w:rsid w:val="5DE43477"/>
    <w:rsid w:val="5F686C0A"/>
    <w:rsid w:val="5FDD495A"/>
    <w:rsid w:val="60A122C6"/>
    <w:rsid w:val="61492151"/>
    <w:rsid w:val="62B7182D"/>
    <w:rsid w:val="63C150DE"/>
    <w:rsid w:val="64224831"/>
    <w:rsid w:val="687C7CAD"/>
    <w:rsid w:val="6C0024D4"/>
    <w:rsid w:val="6C4A05C8"/>
    <w:rsid w:val="6D59598C"/>
    <w:rsid w:val="6DAE32FB"/>
    <w:rsid w:val="6E034984"/>
    <w:rsid w:val="6E7E3605"/>
    <w:rsid w:val="6FF5CC65"/>
    <w:rsid w:val="7014481D"/>
    <w:rsid w:val="715C0E4B"/>
    <w:rsid w:val="72734D90"/>
    <w:rsid w:val="72D76F17"/>
    <w:rsid w:val="731B3135"/>
    <w:rsid w:val="731B631D"/>
    <w:rsid w:val="73AD73D5"/>
    <w:rsid w:val="73B6EB34"/>
    <w:rsid w:val="744731E5"/>
    <w:rsid w:val="748B0D8A"/>
    <w:rsid w:val="74F63F29"/>
    <w:rsid w:val="76631F28"/>
    <w:rsid w:val="76E3355F"/>
    <w:rsid w:val="77622F54"/>
    <w:rsid w:val="778769C8"/>
    <w:rsid w:val="77B92AA3"/>
    <w:rsid w:val="79520B4F"/>
    <w:rsid w:val="79EE5BA4"/>
    <w:rsid w:val="7A894339"/>
    <w:rsid w:val="7A8D711B"/>
    <w:rsid w:val="7AC43464"/>
    <w:rsid w:val="7CA054AD"/>
    <w:rsid w:val="7DA34B7F"/>
    <w:rsid w:val="7E6F60A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styleId="3">
    <w:name w:val="Plain Text"/>
    <w:basedOn w:val="1"/>
    <w:next w:val="1"/>
    <w:qFormat/>
    <w:uiPriority w:val="0"/>
    <w:rPr>
      <w:rFonts w:ascii="宋体" w:hAnsi="Courier New" w:cs="Courier New"/>
      <w:sz w:val="21"/>
      <w:szCs w:val="21"/>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4052;&#24030;&#21306;&#26816;&#23519;&#38498;2023&#24180;&#21306;&#32423;&#36130;&#25919;&#39044;&#31639;&#36164;&#3732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4052;&#24030;&#21306;&#26816;&#23519;&#38498;2023&#24180;&#21306;&#32423;&#36130;&#25919;&#39044;&#31639;&#36164;&#37329;&#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52;&#24030;&#21306;&#26816;&#23519;&#38498;2023&#24180;&#21306;&#32423;&#36130;&#25919;&#39044;&#31639;&#36164;&#37329;&#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4052;&#24030;&#21306;&#26816;&#23519;&#38498;2023&#24180;&#21306;&#32423;&#36130;&#25919;&#39044;&#31639;&#36164;&#37329;&#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4052;&#24030;&#21306;&#26816;&#23519;&#38498;2023&#24180;&#21306;&#32423;&#36130;&#25919;&#39044;&#31639;&#36164;&#37329;&#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4052;&#24030;&#21306;&#38498;2022&#24180;&#19994;&#21153;&#35013;&#22791;&#37197;&#22791;&#23454;&#26045;&#35745;&#21010;&#32534;&#25253;&#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4052;&#24030;&#21306;&#38498;2022&#24180;&#19994;&#21153;&#35013;&#22791;&#37197;&#22791;&#23454;&#26045;&#35745;&#21010;&#32534;&#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[巴州区检察院2023年区级财政预算资金表.xlsx]Sheet1!$A$3</c:f>
              <c:strCache>
                <c:ptCount val="1"/>
                <c:pt idx="0">
                  <c:v>2021年</c:v>
                </c:pt>
              </c:strCache>
            </c:strRef>
          </c:tx>
          <c:spPr>
            <a:solidFill>
              <a:schemeClr val="accent1"/>
            </a:solidFill>
            <a:ln>
              <a:noFill/>
            </a:ln>
            <a:effectLst/>
          </c:spPr>
          <c:invertIfNegative val="0"/>
          <c:dLbls>
            <c:delete val="1"/>
          </c:dLbls>
          <c:cat>
            <c:strRef>
              <c:f>[巴州区检察院2023年区级财政预算资金表.xlsx]Sheet1!$B$2:$C$2</c:f>
              <c:strCache>
                <c:ptCount val="2"/>
                <c:pt idx="0">
                  <c:v>收入</c:v>
                </c:pt>
                <c:pt idx="1">
                  <c:v>支出</c:v>
                </c:pt>
              </c:strCache>
            </c:strRef>
          </c:cat>
          <c:val>
            <c:numRef>
              <c:f>[巴州区检察院2023年区级财政预算资金表.xlsx]Sheet1!$B$3:$C$3</c:f>
              <c:numCache>
                <c:formatCode>General</c:formatCode>
                <c:ptCount val="2"/>
                <c:pt idx="0">
                  <c:v>1193.33</c:v>
                </c:pt>
                <c:pt idx="1">
                  <c:v>1552.74</c:v>
                </c:pt>
              </c:numCache>
            </c:numRef>
          </c:val>
        </c:ser>
        <c:ser>
          <c:idx val="1"/>
          <c:order val="1"/>
          <c:tx>
            <c:strRef>
              <c:f>[巴州区检察院2023年区级财政预算资金表.xlsx]Sheet1!$A$4</c:f>
              <c:strCache>
                <c:ptCount val="1"/>
                <c:pt idx="0">
                  <c:v>2022年</c:v>
                </c:pt>
              </c:strCache>
            </c:strRef>
          </c:tx>
          <c:spPr>
            <a:solidFill>
              <a:schemeClr val="accent2"/>
            </a:solidFill>
            <a:ln>
              <a:noFill/>
            </a:ln>
            <a:effectLst/>
          </c:spPr>
          <c:invertIfNegative val="0"/>
          <c:dLbls>
            <c:delete val="1"/>
          </c:dLbls>
          <c:cat>
            <c:strRef>
              <c:f>[巴州区检察院2023年区级财政预算资金表.xlsx]Sheet1!$B$2:$C$2</c:f>
              <c:strCache>
                <c:ptCount val="2"/>
                <c:pt idx="0">
                  <c:v>收入</c:v>
                </c:pt>
                <c:pt idx="1">
                  <c:v>支出</c:v>
                </c:pt>
              </c:strCache>
            </c:strRef>
          </c:cat>
          <c:val>
            <c:numRef>
              <c:f>[巴州区检察院2023年区级财政预算资金表.xlsx]Sheet1!$B$4:$C$4</c:f>
              <c:numCache>
                <c:formatCode>General</c:formatCode>
                <c:ptCount val="2"/>
                <c:pt idx="0">
                  <c:v>1192.9</c:v>
                </c:pt>
                <c:pt idx="1">
                  <c:v>1192.9</c:v>
                </c:pt>
              </c:numCache>
            </c:numRef>
          </c:val>
        </c:ser>
        <c:dLbls>
          <c:showLegendKey val="0"/>
          <c:showVal val="0"/>
          <c:showCatName val="0"/>
          <c:showSerName val="0"/>
          <c:showPercent val="0"/>
          <c:showBubbleSize val="0"/>
        </c:dLbls>
        <c:gapWidth val="219"/>
        <c:overlap val="-27"/>
        <c:axId val="102478651"/>
        <c:axId val="199045000"/>
      </c:barChart>
      <c:catAx>
        <c:axId val="1024786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045000"/>
        <c:crosses val="autoZero"/>
        <c:auto val="1"/>
        <c:lblAlgn val="ctr"/>
        <c:lblOffset val="100"/>
        <c:noMultiLvlLbl val="0"/>
      </c:catAx>
      <c:valAx>
        <c:axId val="199045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786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[巴州区检察院2023年区级财政预算资金表.xlsx]Sheet1!$A$2</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delete val="1"/>
          </c:dLbls>
          <c:val>
            <c:numRef>
              <c:f>[巴州区检察院2023年区级财政预算资金表.xlsx]Sheet1!$B$2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[巴州区检察院2023年区级财政预算资金表.xlsx]Sheet1!$B$1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[巴州区检察院2023年区级财政预算资金表.xlsx]Sheet1!$A$2:$A$3</c:f>
              <c:strCache>
                <c:ptCount val="2"/>
                <c:pt idx="0">
                  <c:v>基本支出</c:v>
                </c:pt>
                <c:pt idx="1">
                  <c:v>项目支出</c:v>
                </c:pt>
              </c:strCache>
            </c:strRef>
          </c:cat>
          <c:val>
            <c:numRef>
              <c:f>[巴州区检察院2023年区级财政预算资金表.xlsx]Sheet1!$B$2:$B$3</c:f>
              <c:numCache>
                <c:formatCode>0.00%</c:formatCode>
                <c:ptCount val="2"/>
                <c:pt idx="0">
                  <c:v>0.7685</c:v>
                </c:pt>
                <c:pt idx="1">
                  <c:v>0.2315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[巴州区检察院2023年区级财政预算资金表.xlsx]Sheet1!$A$2</c:f>
              <c:strCache>
                <c:ptCount val="1"/>
                <c:pt idx="0">
                  <c:v>2021年</c:v>
                </c:pt>
              </c:strCache>
            </c:strRef>
          </c:tx>
          <c:spPr>
            <a:solidFill>
              <a:schemeClr val="accent1"/>
            </a:solidFill>
            <a:ln>
              <a:noFill/>
            </a:ln>
            <a:effectLst/>
          </c:spPr>
          <c:invertIfNegative val="0"/>
          <c:dLbls>
            <c:delete val="1"/>
          </c:dLbls>
          <c:cat>
            <c:strRef>
              <c:f>[巴州区检察院2023年区级财政预算资金表.xlsx]Sheet1!$B$1:$C$1</c:f>
              <c:strCache>
                <c:ptCount val="2"/>
                <c:pt idx="0">
                  <c:v>财政拨款收入</c:v>
                </c:pt>
                <c:pt idx="1">
                  <c:v>财政拨款支出</c:v>
                </c:pt>
              </c:strCache>
            </c:strRef>
          </c:cat>
          <c:val>
            <c:numRef>
              <c:f>[巴州区检察院2023年区级财政预算资金表.xlsx]Sheet1!$B$2:$C$2</c:f>
              <c:numCache>
                <c:formatCode>General</c:formatCode>
                <c:ptCount val="2"/>
                <c:pt idx="0">
                  <c:v>1193.99</c:v>
                </c:pt>
                <c:pt idx="1">
                  <c:v>1552.74</c:v>
                </c:pt>
              </c:numCache>
            </c:numRef>
          </c:val>
        </c:ser>
        <c:ser>
          <c:idx val="1"/>
          <c:order val="1"/>
          <c:tx>
            <c:strRef>
              <c:f>[巴州区检察院2023年区级财政预算资金表.xlsx]Sheet1!$A$3</c:f>
              <c:strCache>
                <c:ptCount val="1"/>
                <c:pt idx="0">
                  <c:v>2022年</c:v>
                </c:pt>
              </c:strCache>
            </c:strRef>
          </c:tx>
          <c:spPr>
            <a:solidFill>
              <a:schemeClr val="accent2"/>
            </a:solidFill>
            <a:ln>
              <a:noFill/>
            </a:ln>
            <a:effectLst/>
          </c:spPr>
          <c:invertIfNegative val="0"/>
          <c:dLbls>
            <c:delete val="1"/>
          </c:dLbls>
          <c:cat>
            <c:strRef>
              <c:f>[巴州区检察院2023年区级财政预算资金表.xlsx]Sheet1!$B$1:$C$1</c:f>
              <c:strCache>
                <c:ptCount val="2"/>
                <c:pt idx="0">
                  <c:v>财政拨款收入</c:v>
                </c:pt>
                <c:pt idx="1">
                  <c:v>财政拨款支出</c:v>
                </c:pt>
              </c:strCache>
            </c:strRef>
          </c:cat>
          <c:val>
            <c:numRef>
              <c:f>[巴州区检察院2023年区级财政预算资金表.xlsx]Sheet1!$B$3:$C$3</c:f>
              <c:numCache>
                <c:formatCode>General</c:formatCode>
                <c:ptCount val="2"/>
                <c:pt idx="0">
                  <c:v>1192.9</c:v>
                </c:pt>
                <c:pt idx="1">
                  <c:v>1192.9</c:v>
                </c:pt>
              </c:numCache>
            </c:numRef>
          </c:val>
        </c:ser>
        <c:dLbls>
          <c:showLegendKey val="0"/>
          <c:showVal val="0"/>
          <c:showCatName val="0"/>
          <c:showSerName val="0"/>
          <c:showPercent val="0"/>
          <c:showBubbleSize val="0"/>
        </c:dLbls>
        <c:gapWidth val="219"/>
        <c:overlap val="-27"/>
        <c:axId val="594884631"/>
        <c:axId val="183938002"/>
      </c:barChart>
      <c:catAx>
        <c:axId val="5948846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938002"/>
        <c:crosses val="autoZero"/>
        <c:auto val="1"/>
        <c:lblAlgn val="ctr"/>
        <c:lblOffset val="100"/>
        <c:noMultiLvlLbl val="0"/>
      </c:catAx>
      <c:valAx>
        <c:axId val="1839380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8846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[巴州区检察院2023年区级财政预算资金表.xlsx]Sheet1!$A$2</c:f>
              <c:strCache>
                <c:ptCount val="1"/>
                <c:pt idx="0">
                  <c:v>2021年</c:v>
                </c:pt>
              </c:strCache>
            </c:strRef>
          </c:tx>
          <c:spPr>
            <a:solidFill>
              <a:schemeClr val="accent1"/>
            </a:solidFill>
            <a:ln>
              <a:noFill/>
            </a:ln>
            <a:effectLst/>
          </c:spPr>
          <c:invertIfNegative val="0"/>
          <c:dLbls>
            <c:delete val="1"/>
          </c:dLbls>
          <c:cat>
            <c:strRef>
              <c:f>[巴州区检察院2023年区级财政预算资金表.xlsx]Sheet1!$B$1</c:f>
              <c:strCache>
                <c:ptCount val="1"/>
                <c:pt idx="0">
                  <c:v>一般公共预算财政拨款支出</c:v>
                </c:pt>
              </c:strCache>
            </c:strRef>
          </c:cat>
          <c:val>
            <c:numRef>
              <c:f>[巴州区检察院2023年区级财政预算资金表.xlsx]Sheet1!$B$2</c:f>
              <c:numCache>
                <c:formatCode>General</c:formatCode>
                <c:ptCount val="1"/>
                <c:pt idx="0">
                  <c:v>1552.74</c:v>
                </c:pt>
              </c:numCache>
            </c:numRef>
          </c:val>
        </c:ser>
        <c:ser>
          <c:idx val="1"/>
          <c:order val="1"/>
          <c:tx>
            <c:strRef>
              <c:f>[巴州区检察院2023年区级财政预算资金表.xlsx]Sheet1!$A$3</c:f>
              <c:strCache>
                <c:ptCount val="1"/>
                <c:pt idx="0">
                  <c:v>2022年</c:v>
                </c:pt>
              </c:strCache>
            </c:strRef>
          </c:tx>
          <c:spPr>
            <a:solidFill>
              <a:schemeClr val="accent2"/>
            </a:solidFill>
            <a:ln>
              <a:noFill/>
            </a:ln>
            <a:effectLst/>
          </c:spPr>
          <c:invertIfNegative val="0"/>
          <c:dLbls>
            <c:delete val="1"/>
          </c:dLbls>
          <c:cat>
            <c:strRef>
              <c:f>[巴州区检察院2023年区级财政预算资金表.xlsx]Sheet1!$B$1</c:f>
              <c:strCache>
                <c:ptCount val="1"/>
                <c:pt idx="0">
                  <c:v>一般公共预算财政拨款支出</c:v>
                </c:pt>
              </c:strCache>
            </c:strRef>
          </c:cat>
          <c:val>
            <c:numRef>
              <c:f>[巴州区检察院2023年区级财政预算资金表.xlsx]Sheet1!$B$3</c:f>
              <c:numCache>
                <c:formatCode>General</c:formatCode>
                <c:ptCount val="1"/>
                <c:pt idx="0">
                  <c:v>1192.9</c:v>
                </c:pt>
              </c:numCache>
            </c:numRef>
          </c:val>
        </c:ser>
        <c:dLbls>
          <c:showLegendKey val="0"/>
          <c:showVal val="0"/>
          <c:showCatName val="0"/>
          <c:showSerName val="0"/>
          <c:showPercent val="0"/>
          <c:showBubbleSize val="0"/>
        </c:dLbls>
        <c:gapWidth val="219"/>
        <c:overlap val="-27"/>
        <c:axId val="594884631"/>
        <c:axId val="183938002"/>
      </c:barChart>
      <c:catAx>
        <c:axId val="5948846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938002"/>
        <c:crosses val="autoZero"/>
        <c:auto val="1"/>
        <c:lblAlgn val="ctr"/>
        <c:lblOffset val="100"/>
        <c:noMultiLvlLbl val="0"/>
      </c:catAx>
      <c:valAx>
        <c:axId val="1839380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48846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[巴州区院2022年业务装备配备实施计划编报表.xls]Sheet1!$B$1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[巴州区院2022年业务装备配备实施计划编报表.xls]Sheet1!$A$2:$A$5</c:f>
              <c:strCache>
                <c:ptCount val="4"/>
                <c:pt idx="0">
                  <c:v>公共安全支出</c:v>
                </c:pt>
                <c:pt idx="1">
                  <c:v>社会保障和就业支出</c:v>
                </c:pt>
                <c:pt idx="2">
                  <c:v>卫生健康支出</c:v>
                </c:pt>
                <c:pt idx="3">
                  <c:v>住房保障支出</c:v>
                </c:pt>
              </c:strCache>
            </c:strRef>
          </c:cat>
          <c:val>
            <c:numRef>
              <c:f>[巴州区院2022年业务装备配备实施计划编报表.xls]Sheet1!$B$2:$B$5</c:f>
              <c:numCache>
                <c:formatCode>General</c:formatCode>
                <c:ptCount val="4"/>
                <c:pt idx="0">
                  <c:v>1025.41</c:v>
                </c:pt>
                <c:pt idx="1">
                  <c:v>70.14</c:v>
                </c:pt>
                <c:pt idx="2">
                  <c:v>46.54</c:v>
                </c:pt>
                <c:pt idx="3">
                  <c:v>50.81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[巴州区院2022年业务装备配备实施计划编报表.xls]Sheet1!$B$1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[巴州区院2022年业务装备配备实施计划编报表.xls]Sheet1!$A$2:$A$4</c:f>
              <c:strCache>
                <c:ptCount val="3"/>
                <c:pt idx="0">
                  <c:v>因公出国（境）费支出</c:v>
                </c:pt>
                <c:pt idx="1">
                  <c:v>公务用车购置及运行维护费支出</c:v>
                </c:pt>
                <c:pt idx="2">
                  <c:v>公务接待费支出</c:v>
                </c:pt>
              </c:strCache>
            </c:strRef>
          </c:cat>
          <c:val>
            <c:numRef>
              <c:f>[巴州区院2022年业务装备配备实施计划编报表.xls]Sheet1!$B$2:$B$4</c:f>
              <c:numCache>
                <c:formatCode>General</c:formatCode>
                <c:ptCount val="3"/>
                <c:pt idx="0">
                  <c:v>0</c:v>
                </c:pt>
                <c:pt idx="1">
                  <c:v>15.6</c:v>
                </c:pt>
                <c:pt idx="2">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56</TotalTime>
  <ScaleCrop>false</ScaleCrop>
  <LinksUpToDate>false</LinksUpToDate>
  <CharactersWithSpaces>8692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2024-09-14T03:17:08Z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890C28EDF7EA48CB940EEFCAD2DBFF04_12</vt:lpwstr>
  </property>
</Properties>
</file>